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443230</wp:posOffset>
            </wp:positionV>
            <wp:extent cx="713803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1430"/>
                    </a:xfrm>
                    <a:prstGeom prst="rect">
                      <a:avLst/>
                    </a:prstGeom>
                    <a:noFill/>
                  </pic:spPr>
                </pic:pic>
              </a:graphicData>
            </a:graphic>
          </wp:anchor>
        </w:drawing>
        <w:t>UNITED STATES</w:t>
      </w:r>
    </w:p>
    <w:p>
      <w:pPr>
        <w:spacing w:after="0" w:line="2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1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 w:lineRule="exact"/>
        <w:rPr>
          <w:sz w:val="24"/>
          <w:szCs w:val="24"/>
          <w:color w:val="auto"/>
        </w:rPr>
      </w:pPr>
    </w:p>
    <w:p>
      <w:pPr>
        <w:ind w:left="5008"/>
        <w:spacing w:after="0"/>
        <w:rPr>
          <w:sz w:val="20"/>
          <w:szCs w:val="20"/>
          <w:color w:val="auto"/>
        </w:rPr>
      </w:pPr>
      <w:r>
        <w:rPr>
          <w:rFonts w:ascii="Times New Roman" w:cs="Times New Roman" w:eastAsia="Times New Roman" w:hAnsi="Times New Roman"/>
          <w:sz w:val="7"/>
          <w:szCs w:val="7"/>
          <w:color w:val="auto"/>
        </w:rPr>
        <w:t>____________________________________</w:t>
      </w:r>
    </w:p>
    <w:p>
      <w:pPr>
        <w:spacing w:after="0" w:line="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4"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7"/>
          <w:szCs w:val="7"/>
          <w:color w:val="auto"/>
        </w:rPr>
        <w:t>___________________________________</w:t>
      </w:r>
    </w:p>
    <w:p>
      <w:pPr>
        <w:spacing w:after="0" w:line="9" w:lineRule="exact"/>
        <w:rPr>
          <w:sz w:val="24"/>
          <w:szCs w:val="24"/>
          <w:color w:val="auto"/>
        </w:rPr>
      </w:pPr>
    </w:p>
    <w:p>
      <w:pPr>
        <w:ind w:left="808"/>
        <w:spacing w:after="0"/>
        <w:tabs>
          <w:tab w:leader="none" w:pos="3388" w:val="left"/>
        </w:tabs>
        <w:rPr>
          <w:sz w:val="20"/>
          <w:szCs w:val="20"/>
          <w:color w:val="auto"/>
        </w:rPr>
      </w:pPr>
      <w:r>
        <w:rPr>
          <w:rFonts w:ascii="MS PGothic" w:cs="MS PGothic" w:eastAsia="MS PGothic" w:hAnsi="MS PGothic"/>
          <w:sz w:val="10"/>
          <w:szCs w:val="10"/>
          <w:color w:val="auto"/>
        </w:rPr>
        <w:t>☒</w:t>
      </w:r>
      <w:r>
        <w:rPr>
          <w:sz w:val="20"/>
          <w:szCs w:val="20"/>
          <w:color w:val="auto"/>
        </w:rPr>
        <w:tab/>
      </w:r>
      <w:r>
        <w:rPr>
          <w:rFonts w:ascii="Times New Roman" w:cs="Times New Roman" w:eastAsia="Times New Roman" w:hAnsi="Times New Roman"/>
          <w:sz w:val="10"/>
          <w:szCs w:val="10"/>
          <w:b w:val="1"/>
          <w:bCs w:val="1"/>
          <w:color w:val="auto"/>
        </w:rPr>
        <w:t>ANNUAL REPORT PURSUANT TO SECTION 13 OR 15(d) OF THE SECURITIES EXCHANGE ACT OF 1934</w:t>
      </w:r>
    </w:p>
    <w:p>
      <w:pPr>
        <w:spacing w:after="0" w:line="8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2022</w:t>
      </w:r>
    </w:p>
    <w:p>
      <w:pPr>
        <w:spacing w:after="0" w:line="36" w:lineRule="exact"/>
        <w:rPr>
          <w:sz w:val="24"/>
          <w:szCs w:val="24"/>
          <w:color w:val="auto"/>
        </w:rPr>
      </w:pPr>
    </w:p>
    <w:tbl>
      <w:tblPr>
        <w:tblLayout w:type="fixed"/>
        <w:tblInd w:w="808" w:type="dxa"/>
        <w:tblCellMar>
          <w:top w:w="0" w:type="dxa"/>
          <w:left w:w="0" w:type="dxa"/>
          <w:bottom w:w="0" w:type="dxa"/>
          <w:right w:w="0" w:type="dxa"/>
        </w:tblCellMar>
      </w:tblPr>
      <w:tr>
        <w:trPr>
          <w:trHeight w:val="118"/>
        </w:trPr>
        <w:tc>
          <w:tcPr>
            <w:tcW w:w="1300" w:type="dxa"/>
            <w:vAlign w:val="bottom"/>
            <w:vMerge w:val="restart"/>
          </w:tcPr>
          <w:p>
            <w:pPr>
              <w:spacing w:after="0" w:line="101" w:lineRule="exact"/>
              <w:rPr>
                <w:sz w:val="20"/>
                <w:szCs w:val="20"/>
                <w:color w:val="auto"/>
              </w:rPr>
            </w:pPr>
            <w:r>
              <w:rPr>
                <w:rFonts w:ascii="MS PGothic" w:cs="MS PGothic" w:eastAsia="MS PGothic" w:hAnsi="MS PGothic"/>
                <w:sz w:val="10"/>
                <w:szCs w:val="10"/>
                <w:color w:val="auto"/>
              </w:rPr>
              <w:t>☐</w:t>
            </w:r>
          </w:p>
        </w:tc>
        <w:tc>
          <w:tcPr>
            <w:tcW w:w="6380" w:type="dxa"/>
            <w:vAlign w:val="bottom"/>
          </w:tcPr>
          <w:p>
            <w:pPr>
              <w:ind w:left="3700"/>
              <w:spacing w:after="0"/>
              <w:rPr>
                <w:sz w:val="20"/>
                <w:szCs w:val="20"/>
                <w:color w:val="auto"/>
              </w:rPr>
            </w:pPr>
            <w:r>
              <w:rPr>
                <w:rFonts w:ascii="Times New Roman" w:cs="Times New Roman" w:eastAsia="Times New Roman" w:hAnsi="Times New Roman"/>
                <w:sz w:val="9"/>
                <w:szCs w:val="9"/>
                <w:b w:val="1"/>
                <w:bCs w:val="1"/>
                <w:color w:val="auto"/>
              </w:rPr>
              <w:t>OR</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6380" w:type="dxa"/>
            <w:vAlign w:val="bottom"/>
          </w:tcPr>
          <w:p>
            <w:pPr>
              <w:ind w:left="1200"/>
              <w:spacing w:after="0"/>
              <w:rPr>
                <w:sz w:val="20"/>
                <w:szCs w:val="20"/>
                <w:color w:val="auto"/>
              </w:rPr>
            </w:pPr>
            <w:r>
              <w:rPr>
                <w:rFonts w:ascii="Times New Roman" w:cs="Times New Roman" w:eastAsia="Times New Roman" w:hAnsi="Times New Roman"/>
                <w:sz w:val="10"/>
                <w:szCs w:val="10"/>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1068" w:type="dxa"/>
        <w:tblCellMar>
          <w:top w:w="0" w:type="dxa"/>
          <w:left w:w="0" w:type="dxa"/>
          <w:bottom w:w="0" w:type="dxa"/>
          <w:right w:w="0" w:type="dxa"/>
        </w:tblCellMar>
      </w:tblPr>
      <w:tr>
        <w:trPr>
          <w:trHeight w:val="126"/>
        </w:trPr>
        <w:tc>
          <w:tcPr>
            <w:tcW w:w="4900" w:type="dxa"/>
            <w:vAlign w:val="bottom"/>
          </w:tcPr>
          <w:p>
            <w:pPr>
              <w:ind w:left="3480"/>
              <w:spacing w:after="0"/>
              <w:rPr>
                <w:sz w:val="20"/>
                <w:szCs w:val="20"/>
                <w:color w:val="auto"/>
              </w:rPr>
            </w:pPr>
            <w:r>
              <w:rPr>
                <w:rFonts w:ascii="Times New Roman" w:cs="Times New Roman" w:eastAsia="Times New Roman" w:hAnsi="Times New Roman"/>
                <w:sz w:val="11"/>
                <w:szCs w:val="11"/>
                <w:b w:val="1"/>
                <w:bCs w:val="1"/>
                <w:color w:val="auto"/>
                <w:w w:val="98"/>
              </w:rPr>
              <w:t>For the transition period from</w:t>
            </w:r>
          </w:p>
        </w:tc>
        <w:tc>
          <w:tcPr>
            <w:tcW w:w="3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6"/>
              </w:rPr>
              <w:t>to</w:t>
            </w:r>
          </w:p>
        </w:tc>
        <w:tc>
          <w:tcPr>
            <w:tcW w:w="34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24"/>
        </w:trPr>
        <w:tc>
          <w:tcPr>
            <w:tcW w:w="7220" w:type="dxa"/>
            <w:vAlign w:val="bottom"/>
            <w:gridSpan w:val="6"/>
          </w:tcPr>
          <w:p>
            <w:pPr>
              <w:jc w:val="center"/>
              <w:ind w:left="1911"/>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Commission File No. 001-13300</w:t>
            </w:r>
          </w:p>
        </w:tc>
        <w:tc>
          <w:tcPr>
            <w:tcW w:w="2380" w:type="dxa"/>
            <w:vAlign w:val="bottom"/>
          </w:tcPr>
          <w:p>
            <w:pPr>
              <w:spacing w:after="0"/>
              <w:rPr>
                <w:sz w:val="10"/>
                <w:szCs w:val="10"/>
                <w:color w:val="auto"/>
              </w:rPr>
            </w:pPr>
          </w:p>
        </w:tc>
      </w:tr>
      <w:tr>
        <w:trPr>
          <w:trHeight w:val="94"/>
        </w:trPr>
        <w:tc>
          <w:tcPr>
            <w:tcW w:w="5240" w:type="dxa"/>
            <w:vAlign w:val="bottom"/>
            <w:gridSpan w:val="3"/>
          </w:tcPr>
          <w:p>
            <w:pPr>
              <w:jc w:val="center"/>
              <w:ind w:left="3891"/>
              <w:spacing w:after="0"/>
              <w:rPr>
                <w:sz w:val="20"/>
                <w:szCs w:val="20"/>
                <w:color w:val="auto"/>
              </w:rPr>
            </w:pPr>
            <w:r>
              <w:rPr>
                <w:rFonts w:ascii="Times New Roman" w:cs="Times New Roman" w:eastAsia="Times New Roman" w:hAnsi="Times New Roman"/>
                <w:sz w:val="7"/>
                <w:szCs w:val="7"/>
                <w:color w:val="auto"/>
              </w:rPr>
              <w:t>____________________________________</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250"/>
        </w:trPr>
        <w:tc>
          <w:tcPr>
            <w:tcW w:w="7220" w:type="dxa"/>
            <w:vAlign w:val="bottom"/>
            <w:gridSpan w:val="6"/>
          </w:tcPr>
          <w:p>
            <w:pPr>
              <w:jc w:val="center"/>
              <w:ind w:left="1891"/>
              <w:spacing w:after="0"/>
              <w:rPr>
                <w:sz w:val="20"/>
                <w:szCs w:val="20"/>
                <w:color w:val="auto"/>
              </w:rPr>
            </w:pPr>
            <w:r>
              <w:rPr>
                <w:rFonts w:ascii="Times New Roman" w:cs="Times New Roman" w:eastAsia="Times New Roman" w:hAnsi="Times New Roman"/>
                <w:sz w:val="19"/>
                <w:szCs w:val="19"/>
                <w:b w:val="1"/>
                <w:bCs w:val="1"/>
                <w:color w:val="auto"/>
                <w:w w:val="99"/>
              </w:rPr>
              <w:t>CAPITAL ONE FINANCIAL CORPORATION</w:t>
            </w:r>
          </w:p>
        </w:tc>
        <w:tc>
          <w:tcPr>
            <w:tcW w:w="2380" w:type="dxa"/>
            <w:vAlign w:val="bottom"/>
          </w:tcPr>
          <w:p>
            <w:pPr>
              <w:spacing w:after="0"/>
              <w:rPr>
                <w:sz w:val="21"/>
                <w:szCs w:val="21"/>
                <w:color w:val="auto"/>
              </w:rPr>
            </w:pPr>
          </w:p>
        </w:tc>
      </w:tr>
      <w:tr>
        <w:trPr>
          <w:trHeight w:val="124"/>
        </w:trPr>
        <w:tc>
          <w:tcPr>
            <w:tcW w:w="7220" w:type="dxa"/>
            <w:vAlign w:val="bottom"/>
            <w:gridSpan w:val="6"/>
          </w:tcPr>
          <w:p>
            <w:pPr>
              <w:jc w:val="center"/>
              <w:ind w:left="1891"/>
              <w:spacing w:after="0"/>
              <w:rPr>
                <w:sz w:val="20"/>
                <w:szCs w:val="20"/>
                <w:color w:val="auto"/>
              </w:rPr>
            </w:pPr>
            <w:r>
              <w:rPr>
                <w:rFonts w:ascii="Times New Roman" w:cs="Times New Roman" w:eastAsia="Times New Roman" w:hAnsi="Times New Roman"/>
                <w:sz w:val="10"/>
                <w:szCs w:val="10"/>
                <w:b w:val="1"/>
                <w:bCs w:val="1"/>
                <w:color w:val="auto"/>
                <w:w w:val="95"/>
              </w:rPr>
              <w:t>(Exact name of registrant as specified in its charter)</w:t>
            </w:r>
          </w:p>
        </w:tc>
        <w:tc>
          <w:tcPr>
            <w:tcW w:w="2380" w:type="dxa"/>
            <w:vAlign w:val="bottom"/>
          </w:tcPr>
          <w:p>
            <w:pPr>
              <w:spacing w:after="0"/>
              <w:rPr>
                <w:sz w:val="10"/>
                <w:szCs w:val="10"/>
                <w:color w:val="auto"/>
              </w:rPr>
            </w:pPr>
          </w:p>
        </w:tc>
      </w:tr>
      <w:tr>
        <w:trPr>
          <w:trHeight w:val="94"/>
        </w:trPr>
        <w:tc>
          <w:tcPr>
            <w:tcW w:w="5240" w:type="dxa"/>
            <w:vAlign w:val="bottom"/>
            <w:gridSpan w:val="3"/>
          </w:tcPr>
          <w:p>
            <w:pPr>
              <w:jc w:val="center"/>
              <w:ind w:left="3891"/>
              <w:spacing w:after="0"/>
              <w:rPr>
                <w:sz w:val="20"/>
                <w:szCs w:val="20"/>
                <w:color w:val="auto"/>
              </w:rPr>
            </w:pPr>
            <w:r>
              <w:rPr>
                <w:rFonts w:ascii="Times New Roman" w:cs="Times New Roman" w:eastAsia="Times New Roman" w:hAnsi="Times New Roman"/>
                <w:sz w:val="7"/>
                <w:szCs w:val="7"/>
                <w:color w:val="auto"/>
              </w:rPr>
              <w:t>____________________________________</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95"/>
        </w:trPr>
        <w:tc>
          <w:tcPr>
            <w:tcW w:w="5240" w:type="dxa"/>
            <w:vAlign w:val="bottom"/>
            <w:gridSpan w:val="3"/>
          </w:tcPr>
          <w:p>
            <w:pPr>
              <w:jc w:val="center"/>
              <w:ind w:right="640"/>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380" w:type="dxa"/>
            <w:vAlign w:val="bottom"/>
          </w:tcPr>
          <w:p>
            <w:pPr>
              <w:jc w:val="right"/>
              <w:ind w:right="1192"/>
              <w:spacing w:after="0"/>
              <w:rPr>
                <w:sz w:val="20"/>
                <w:szCs w:val="20"/>
                <w:color w:val="auto"/>
              </w:rPr>
            </w:pPr>
            <w:r>
              <w:rPr>
                <w:rFonts w:ascii="Times New Roman" w:cs="Times New Roman" w:eastAsia="Times New Roman" w:hAnsi="Times New Roman"/>
                <w:sz w:val="10"/>
                <w:szCs w:val="10"/>
                <w:b w:val="1"/>
                <w:bCs w:val="1"/>
                <w:color w:val="auto"/>
              </w:rPr>
              <w:t>54-1719854</w:t>
            </w:r>
          </w:p>
        </w:tc>
      </w:tr>
      <w:tr>
        <w:trPr>
          <w:trHeight w:val="135"/>
        </w:trPr>
        <w:tc>
          <w:tcPr>
            <w:tcW w:w="5240" w:type="dxa"/>
            <w:vAlign w:val="bottom"/>
            <w:gridSpan w:val="3"/>
          </w:tcPr>
          <w:p>
            <w:pPr>
              <w:jc w:val="center"/>
              <w:ind w:right="640"/>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380" w:type="dxa"/>
            <w:vAlign w:val="bottom"/>
          </w:tcPr>
          <w:p>
            <w:pPr>
              <w:jc w:val="center"/>
              <w:ind w:right="512"/>
              <w:spacing w:after="0"/>
              <w:rPr>
                <w:sz w:val="20"/>
                <w:szCs w:val="20"/>
                <w:color w:val="auto"/>
              </w:rPr>
            </w:pPr>
            <w:r>
              <w:rPr>
                <w:rFonts w:ascii="Times New Roman" w:cs="Times New Roman" w:eastAsia="Times New Roman" w:hAnsi="Times New Roman"/>
                <w:sz w:val="10"/>
                <w:szCs w:val="10"/>
                <w:b w:val="1"/>
                <w:bCs w:val="1"/>
                <w:color w:val="auto"/>
                <w:w w:val="95"/>
              </w:rPr>
              <w:t>(I.R.S. Employer Identification No.)</w:t>
            </w:r>
          </w:p>
        </w:tc>
      </w:tr>
      <w:tr>
        <w:trPr>
          <w:trHeight w:val="135"/>
        </w:trPr>
        <w:tc>
          <w:tcPr>
            <w:tcW w:w="5240" w:type="dxa"/>
            <w:vAlign w:val="bottom"/>
            <w:gridSpan w:val="3"/>
          </w:tcPr>
          <w:p>
            <w:pPr>
              <w:jc w:val="center"/>
              <w:ind w:right="640"/>
              <w:spacing w:after="0"/>
              <w:rPr>
                <w:sz w:val="20"/>
                <w:szCs w:val="20"/>
                <w:color w:val="auto"/>
              </w:rPr>
            </w:pPr>
            <w:r>
              <w:rPr>
                <w:rFonts w:ascii="Times New Roman" w:cs="Times New Roman" w:eastAsia="Times New Roman" w:hAnsi="Times New Roman"/>
                <w:sz w:val="10"/>
                <w:szCs w:val="10"/>
                <w:b w:val="1"/>
                <w:bCs w:val="1"/>
                <w:color w:val="auto"/>
                <w:w w:val="96"/>
              </w:rPr>
              <w:t>1680 Capital One Drive,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35"/>
        </w:trPr>
        <w:tc>
          <w:tcPr>
            <w:tcW w:w="5240" w:type="dxa"/>
            <w:vAlign w:val="bottom"/>
            <w:gridSpan w:val="3"/>
          </w:tcPr>
          <w:p>
            <w:pPr>
              <w:ind w:left="1920"/>
              <w:spacing w:after="0"/>
              <w:rPr>
                <w:sz w:val="20"/>
                <w:szCs w:val="20"/>
                <w:color w:val="auto"/>
              </w:rPr>
            </w:pPr>
            <w:r>
              <w:rPr>
                <w:rFonts w:ascii="Times New Roman" w:cs="Times New Roman" w:eastAsia="Times New Roman" w:hAnsi="Times New Roman"/>
                <w:sz w:val="10"/>
                <w:szCs w:val="10"/>
                <w:b w:val="1"/>
                <w:bCs w:val="1"/>
                <w:color w:val="auto"/>
              </w:rPr>
              <w:t>McLean, Virginia</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380" w:type="dxa"/>
            <w:vAlign w:val="bottom"/>
          </w:tcPr>
          <w:p>
            <w:pPr>
              <w:jc w:val="right"/>
              <w:ind w:right="1312"/>
              <w:spacing w:after="0"/>
              <w:rPr>
                <w:sz w:val="20"/>
                <w:szCs w:val="20"/>
                <w:color w:val="auto"/>
              </w:rPr>
            </w:pPr>
            <w:r>
              <w:rPr>
                <w:rFonts w:ascii="Times New Roman" w:cs="Times New Roman" w:eastAsia="Times New Roman" w:hAnsi="Times New Roman"/>
                <w:sz w:val="10"/>
                <w:szCs w:val="10"/>
                <w:b w:val="1"/>
                <w:bCs w:val="1"/>
                <w:color w:val="auto"/>
              </w:rPr>
              <w:t>22102</w:t>
            </w:r>
          </w:p>
        </w:tc>
      </w:tr>
      <w:tr>
        <w:trPr>
          <w:trHeight w:val="135"/>
        </w:trPr>
        <w:tc>
          <w:tcPr>
            <w:tcW w:w="5240" w:type="dxa"/>
            <w:vAlign w:val="bottom"/>
            <w:gridSpan w:val="3"/>
          </w:tcPr>
          <w:p>
            <w:pPr>
              <w:jc w:val="center"/>
              <w:ind w:right="640"/>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380" w:type="dxa"/>
            <w:vAlign w:val="bottom"/>
          </w:tcPr>
          <w:p>
            <w:pPr>
              <w:jc w:val="center"/>
              <w:ind w:right="512"/>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179"/>
        </w:trPr>
        <w:tc>
          <w:tcPr>
            <w:tcW w:w="7220" w:type="dxa"/>
            <w:vAlign w:val="bottom"/>
            <w:gridSpan w:val="6"/>
          </w:tcPr>
          <w:p>
            <w:pPr>
              <w:jc w:val="center"/>
              <w:ind w:left="1891"/>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 (703) 720-1000</w:t>
            </w:r>
          </w:p>
        </w:tc>
        <w:tc>
          <w:tcPr>
            <w:tcW w:w="2380" w:type="dxa"/>
            <w:vAlign w:val="bottom"/>
          </w:tcPr>
          <w:p>
            <w:pPr>
              <w:spacing w:after="0"/>
              <w:rPr>
                <w:sz w:val="15"/>
                <w:szCs w:val="15"/>
                <w:color w:val="auto"/>
              </w:rPr>
            </w:pPr>
          </w:p>
        </w:tc>
      </w:tr>
      <w:tr>
        <w:trPr>
          <w:trHeight w:val="94"/>
        </w:trPr>
        <w:tc>
          <w:tcPr>
            <w:tcW w:w="5240" w:type="dxa"/>
            <w:vAlign w:val="bottom"/>
            <w:gridSpan w:val="3"/>
          </w:tcPr>
          <w:p>
            <w:pPr>
              <w:jc w:val="center"/>
              <w:ind w:left="3891"/>
              <w:spacing w:after="0"/>
              <w:rPr>
                <w:sz w:val="20"/>
                <w:szCs w:val="20"/>
                <w:color w:val="auto"/>
              </w:rPr>
            </w:pPr>
            <w:r>
              <w:rPr>
                <w:rFonts w:ascii="Times New Roman" w:cs="Times New Roman" w:eastAsia="Times New Roman" w:hAnsi="Times New Roman"/>
                <w:sz w:val="7"/>
                <w:szCs w:val="7"/>
                <w:color w:val="auto"/>
              </w:rPr>
              <w:t>____________________________________</w:t>
            </w: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380" w:type="dxa"/>
            <w:vAlign w:val="bottom"/>
          </w:tcPr>
          <w:p>
            <w:pPr>
              <w:spacing w:after="0"/>
              <w:rPr>
                <w:sz w:val="8"/>
                <w:szCs w:val="8"/>
                <w:color w:val="auto"/>
              </w:rPr>
            </w:pPr>
          </w:p>
        </w:tc>
      </w:tr>
      <w:tr>
        <w:trPr>
          <w:trHeight w:val="186"/>
        </w:trPr>
        <w:tc>
          <w:tcPr>
            <w:tcW w:w="7220" w:type="dxa"/>
            <w:vAlign w:val="bottom"/>
            <w:gridSpan w:val="6"/>
          </w:tcPr>
          <w:p>
            <w:pPr>
              <w:jc w:val="center"/>
              <w:ind w:left="1911"/>
              <w:spacing w:after="0"/>
              <w:rPr>
                <w:sz w:val="20"/>
                <w:szCs w:val="20"/>
                <w:color w:val="auto"/>
              </w:rPr>
            </w:pPr>
            <w:r>
              <w:rPr>
                <w:rFonts w:ascii="Times New Roman" w:cs="Times New Roman" w:eastAsia="Times New Roman" w:hAnsi="Times New Roman"/>
                <w:sz w:val="10"/>
                <w:szCs w:val="10"/>
                <w:b w:val="1"/>
                <w:bCs w:val="1"/>
                <w:color w:val="auto"/>
                <w:w w:val="95"/>
              </w:rPr>
              <w:t>Securities registered pursuant to Section 12(b) of the Act:</w:t>
            </w:r>
          </w:p>
        </w:tc>
        <w:tc>
          <w:tcPr>
            <w:tcW w:w="2380" w:type="dxa"/>
            <w:vAlign w:val="bottom"/>
          </w:tcPr>
          <w:p>
            <w:pPr>
              <w:spacing w:after="0"/>
              <w:rPr>
                <w:sz w:val="16"/>
                <w:szCs w:val="16"/>
                <w:color w:val="auto"/>
              </w:rPr>
            </w:pPr>
          </w:p>
        </w:tc>
      </w:tr>
      <w:tr>
        <w:trPr>
          <w:trHeight w:val="162"/>
        </w:trPr>
        <w:tc>
          <w:tcPr>
            <w:tcW w:w="52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Title of Each Class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center"/>
              <w:ind w:left="332"/>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b w:val="1"/>
                <w:bCs w:val="1"/>
                <w:color w:val="auto"/>
                <w:w w:val="94"/>
              </w:rPr>
              <w:t>Name of Each Exchange on Which Registered</w:t>
            </w:r>
          </w:p>
        </w:tc>
      </w:tr>
      <w:tr>
        <w:trPr>
          <w:trHeight w:val="135"/>
        </w:trPr>
        <w:tc>
          <w:tcPr>
            <w:tcW w:w="52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color w:val="auto"/>
                <w:w w:val="95"/>
              </w:rPr>
              <w:t>Common Stock (par value $.01 per share)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tcPr>
          <w:p>
            <w:pPr>
              <w:jc w:val="center"/>
              <w:ind w:left="332"/>
              <w:spacing w:after="0"/>
              <w:rPr>
                <w:sz w:val="20"/>
                <w:szCs w:val="20"/>
                <w:color w:val="auto"/>
              </w:rPr>
            </w:pPr>
            <w:r>
              <w:rPr>
                <w:rFonts w:ascii="Times New Roman" w:cs="Times New Roman" w:eastAsia="Times New Roman" w:hAnsi="Times New Roman"/>
                <w:sz w:val="10"/>
                <w:szCs w:val="10"/>
                <w:color w:val="auto"/>
                <w:w w:val="92"/>
              </w:rPr>
              <w:t>COF</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color w:val="auto"/>
                <w:w w:val="93"/>
              </w:rPr>
              <w:t>New York Stock Exchange</w:t>
            </w:r>
          </w:p>
        </w:tc>
      </w:tr>
      <w:tr>
        <w:trPr>
          <w:trHeight w:val="144"/>
        </w:trPr>
        <w:tc>
          <w:tcPr>
            <w:tcW w:w="52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color w:val="auto"/>
                <w:w w:val="95"/>
              </w:rPr>
              <w:t>Depositary Shares, Each Representing a 1/40th Interest in a Share of Fixed Rate Non-Cumulative Perpetual Preferred Stock, Series I</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jc w:val="center"/>
              <w:ind w:left="312"/>
              <w:spacing w:after="0"/>
              <w:rPr>
                <w:sz w:val="20"/>
                <w:szCs w:val="20"/>
                <w:color w:val="auto"/>
              </w:rPr>
            </w:pPr>
            <w:r>
              <w:rPr>
                <w:rFonts w:ascii="Times New Roman" w:cs="Times New Roman" w:eastAsia="Times New Roman" w:hAnsi="Times New Roman"/>
                <w:sz w:val="10"/>
                <w:szCs w:val="10"/>
                <w:color w:val="auto"/>
                <w:w w:val="95"/>
              </w:rPr>
              <w:t>COF PRI</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color w:val="auto"/>
                <w:w w:val="93"/>
              </w:rPr>
              <w:t>New York Stock Exchange</w:t>
            </w:r>
          </w:p>
        </w:tc>
      </w:tr>
      <w:tr>
        <w:trPr>
          <w:trHeight w:val="144"/>
        </w:trPr>
        <w:tc>
          <w:tcPr>
            <w:tcW w:w="52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color w:val="auto"/>
                <w:w w:val="95"/>
              </w:rPr>
              <w:t>Depositary Shares, Each Representing a 1/40th Interest in a Share of Fixed Rate Non-Cumulative Perpetual Preferred Stock, Series J</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jc w:val="center"/>
              <w:ind w:left="332"/>
              <w:spacing w:after="0"/>
              <w:rPr>
                <w:sz w:val="20"/>
                <w:szCs w:val="20"/>
                <w:color w:val="auto"/>
              </w:rPr>
            </w:pPr>
            <w:r>
              <w:rPr>
                <w:rFonts w:ascii="Times New Roman" w:cs="Times New Roman" w:eastAsia="Times New Roman" w:hAnsi="Times New Roman"/>
                <w:sz w:val="10"/>
                <w:szCs w:val="10"/>
                <w:color w:val="auto"/>
                <w:w w:val="99"/>
              </w:rPr>
              <w:t>COF PRJ</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color w:val="auto"/>
                <w:w w:val="93"/>
              </w:rPr>
              <w:t>New York Stock Exchange</w:t>
            </w:r>
          </w:p>
        </w:tc>
      </w:tr>
      <w:tr>
        <w:trPr>
          <w:trHeight w:val="144"/>
        </w:trPr>
        <w:tc>
          <w:tcPr>
            <w:tcW w:w="52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color w:val="auto"/>
                <w:w w:val="95"/>
              </w:rPr>
              <w:t>Depositary Shares, Each Representing a 1/40th Interest in a Share of Fixed Rate Non-Cumulative Perpetual Preferred Stock, Series K</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jc w:val="center"/>
              <w:ind w:left="332"/>
              <w:spacing w:after="0"/>
              <w:rPr>
                <w:sz w:val="20"/>
                <w:szCs w:val="20"/>
                <w:color w:val="auto"/>
              </w:rPr>
            </w:pPr>
            <w:r>
              <w:rPr>
                <w:rFonts w:ascii="Times New Roman" w:cs="Times New Roman" w:eastAsia="Times New Roman" w:hAnsi="Times New Roman"/>
                <w:sz w:val="10"/>
                <w:szCs w:val="10"/>
                <w:color w:val="auto"/>
                <w:w w:val="91"/>
              </w:rPr>
              <w:t>COF PRK</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color w:val="auto"/>
                <w:w w:val="93"/>
              </w:rPr>
              <w:t>New York Stock Exchange</w:t>
            </w:r>
          </w:p>
        </w:tc>
      </w:tr>
      <w:tr>
        <w:trPr>
          <w:trHeight w:val="144"/>
        </w:trPr>
        <w:tc>
          <w:tcPr>
            <w:tcW w:w="52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color w:val="auto"/>
                <w:w w:val="96"/>
              </w:rPr>
              <w:t>Depositary Shares, Each Representing a 1/40th Interest in a Share of Fixed Rate Non-Cumulative Perpetual Preferred Stock, Series L</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jc w:val="center"/>
              <w:ind w:left="332"/>
              <w:spacing w:after="0"/>
              <w:rPr>
                <w:sz w:val="20"/>
                <w:szCs w:val="20"/>
                <w:color w:val="auto"/>
              </w:rPr>
            </w:pPr>
            <w:r>
              <w:rPr>
                <w:rFonts w:ascii="Times New Roman" w:cs="Times New Roman" w:eastAsia="Times New Roman" w:hAnsi="Times New Roman"/>
                <w:sz w:val="10"/>
                <w:szCs w:val="10"/>
                <w:color w:val="auto"/>
                <w:w w:val="94"/>
              </w:rPr>
              <w:t>COF PRL</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color w:val="auto"/>
                <w:w w:val="93"/>
              </w:rPr>
              <w:t>New York Stock Exchange</w:t>
            </w:r>
          </w:p>
        </w:tc>
      </w:tr>
      <w:tr>
        <w:trPr>
          <w:trHeight w:val="144"/>
        </w:trPr>
        <w:tc>
          <w:tcPr>
            <w:tcW w:w="52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color w:val="auto"/>
                <w:w w:val="95"/>
              </w:rPr>
              <w:t>Depositary Shares, Each Representing a 1/40th Interest in a Share of Fixed Rate Non-Cumulative Perpetual Preferred Stock, Series N</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jc w:val="center"/>
              <w:ind w:left="332"/>
              <w:spacing w:after="0"/>
              <w:rPr>
                <w:sz w:val="20"/>
                <w:szCs w:val="20"/>
                <w:color w:val="auto"/>
              </w:rPr>
            </w:pPr>
            <w:r>
              <w:rPr>
                <w:rFonts w:ascii="Times New Roman" w:cs="Times New Roman" w:eastAsia="Times New Roman" w:hAnsi="Times New Roman"/>
                <w:sz w:val="10"/>
                <w:szCs w:val="10"/>
                <w:color w:val="auto"/>
                <w:w w:val="91"/>
              </w:rPr>
              <w:t>COF PRN</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color w:val="auto"/>
                <w:w w:val="93"/>
              </w:rPr>
              <w:t>New York Stock Exchange</w:t>
            </w:r>
          </w:p>
        </w:tc>
      </w:tr>
      <w:tr>
        <w:trPr>
          <w:trHeight w:val="144"/>
        </w:trPr>
        <w:tc>
          <w:tcPr>
            <w:tcW w:w="52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color w:val="auto"/>
                <w:w w:val="96"/>
              </w:rPr>
              <w:t>0.800% Senior Notes Due 2024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jc w:val="center"/>
              <w:ind w:left="332"/>
              <w:spacing w:after="0"/>
              <w:rPr>
                <w:sz w:val="20"/>
                <w:szCs w:val="20"/>
                <w:color w:val="auto"/>
              </w:rPr>
            </w:pPr>
            <w:r>
              <w:rPr>
                <w:rFonts w:ascii="Times New Roman" w:cs="Times New Roman" w:eastAsia="Times New Roman" w:hAnsi="Times New Roman"/>
                <w:sz w:val="10"/>
                <w:szCs w:val="10"/>
                <w:color w:val="auto"/>
              </w:rPr>
              <w:t>COF24</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color w:val="auto"/>
                <w:w w:val="93"/>
              </w:rPr>
              <w:t>New York Stock Exchange</w:t>
            </w:r>
          </w:p>
        </w:tc>
      </w:tr>
      <w:tr>
        <w:trPr>
          <w:trHeight w:val="144"/>
        </w:trPr>
        <w:tc>
          <w:tcPr>
            <w:tcW w:w="52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color w:val="auto"/>
                <w:w w:val="96"/>
              </w:rPr>
              <w:t>1.650% Senior Notes Due 2029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jc w:val="center"/>
              <w:ind w:left="332"/>
              <w:spacing w:after="0"/>
              <w:rPr>
                <w:sz w:val="20"/>
                <w:szCs w:val="20"/>
                <w:color w:val="auto"/>
              </w:rPr>
            </w:pPr>
            <w:r>
              <w:rPr>
                <w:rFonts w:ascii="Times New Roman" w:cs="Times New Roman" w:eastAsia="Times New Roman" w:hAnsi="Times New Roman"/>
                <w:sz w:val="10"/>
                <w:szCs w:val="10"/>
                <w:color w:val="auto"/>
              </w:rPr>
              <w:t>COF29</w:t>
            </w:r>
          </w:p>
        </w:tc>
        <w:tc>
          <w:tcPr>
            <w:tcW w:w="2380" w:type="dxa"/>
            <w:vAlign w:val="bottom"/>
          </w:tcPr>
          <w:p>
            <w:pPr>
              <w:jc w:val="center"/>
              <w:ind w:left="472"/>
              <w:spacing w:after="0"/>
              <w:rPr>
                <w:sz w:val="20"/>
                <w:szCs w:val="20"/>
                <w:color w:val="auto"/>
              </w:rPr>
            </w:pPr>
            <w:r>
              <w:rPr>
                <w:rFonts w:ascii="Times New Roman" w:cs="Times New Roman" w:eastAsia="Times New Roman" w:hAnsi="Times New Roman"/>
                <w:sz w:val="10"/>
                <w:szCs w:val="10"/>
                <w:color w:val="auto"/>
                <w:w w:val="93"/>
              </w:rPr>
              <w:t>New York Stock Exchange</w:t>
            </w:r>
          </w:p>
        </w:tc>
      </w:tr>
    </w:tbl>
    <w:p>
      <w:pPr>
        <w:spacing w:after="0" w:line="6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12(g) of the Act: None</w:t>
      </w:r>
    </w:p>
    <w:p>
      <w:pPr>
        <w:spacing w:after="0" w:line="10" w:lineRule="exact"/>
        <w:rPr>
          <w:sz w:val="24"/>
          <w:szCs w:val="24"/>
          <w:color w:val="auto"/>
        </w:rPr>
      </w:pPr>
    </w:p>
    <w:p>
      <w:pPr>
        <w:ind w:left="5008"/>
        <w:spacing w:after="0"/>
        <w:rPr>
          <w:sz w:val="20"/>
          <w:szCs w:val="20"/>
          <w:color w:val="auto"/>
        </w:rPr>
      </w:pPr>
      <w:r>
        <w:rPr>
          <w:rFonts w:ascii="Times New Roman" w:cs="Times New Roman" w:eastAsia="Times New Roman" w:hAnsi="Times New Roman"/>
          <w:sz w:val="7"/>
          <w:szCs w:val="7"/>
          <w:color w:val="auto"/>
        </w:rPr>
        <w:t>____________________________________</w:t>
      </w:r>
    </w:p>
    <w:p>
      <w:pPr>
        <w:spacing w:after="0" w:line="13" w:lineRule="exact"/>
        <w:rPr>
          <w:sz w:val="24"/>
          <w:szCs w:val="24"/>
          <w:color w:val="auto"/>
        </w:rPr>
      </w:pPr>
    </w:p>
    <w:p>
      <w:pPr>
        <w:ind w:left="8"/>
        <w:spacing w:after="0" w:line="104" w:lineRule="exact"/>
        <w:rPr>
          <w:sz w:val="20"/>
          <w:szCs w:val="20"/>
          <w:color w:val="auto"/>
        </w:rPr>
      </w:pPr>
      <w:r>
        <w:rPr>
          <w:rFonts w:ascii="Times New Roman" w:cs="Times New Roman" w:eastAsia="Times New Roman" w:hAnsi="Times New Roman"/>
          <w:sz w:val="9"/>
          <w:szCs w:val="9"/>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 </w:t>
      </w:r>
      <w:r>
        <w:rPr>
          <w:rFonts w:ascii="MS PGothic" w:cs="MS PGothic" w:eastAsia="MS PGothic" w:hAnsi="MS PGothic"/>
          <w:sz w:val="9"/>
          <w:szCs w:val="9"/>
          <w:color w:val="auto"/>
        </w:rPr>
        <w:t>☐</w:t>
      </w:r>
    </w:p>
    <w:p>
      <w:pPr>
        <w:spacing w:after="0" w:line="10" w:lineRule="exact"/>
        <w:rPr>
          <w:sz w:val="24"/>
          <w:szCs w:val="24"/>
          <w:color w:val="auto"/>
        </w:rPr>
      </w:pPr>
    </w:p>
    <w:p>
      <w:pPr>
        <w:ind w:left="8"/>
        <w:spacing w:after="0" w:line="104" w:lineRule="exact"/>
        <w:rPr>
          <w:sz w:val="20"/>
          <w:szCs w:val="20"/>
          <w:color w:val="auto"/>
        </w:rPr>
      </w:pPr>
      <w:r>
        <w:rPr>
          <w:rFonts w:ascii="Times New Roman" w:cs="Times New Roman" w:eastAsia="Times New Roman" w:hAnsi="Times New Roman"/>
          <w:sz w:val="9"/>
          <w:szCs w:val="9"/>
          <w:color w:val="auto"/>
        </w:rPr>
        <w:t xml:space="preserve">Indicate by check mark if the registrant is not required to file reports pursuant to Section 13 or Section 15(d) of the Act.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 </w:t>
      </w:r>
      <w:r>
        <w:rPr>
          <w:rFonts w:ascii="MS PGothic" w:cs="MS PGothic" w:eastAsia="MS PGothic" w:hAnsi="MS PGothic"/>
          <w:sz w:val="9"/>
          <w:szCs w:val="9"/>
          <w:color w:val="auto"/>
        </w:rPr>
        <w:t>☒</w:t>
      </w:r>
    </w:p>
    <w:p>
      <w:pPr>
        <w:spacing w:after="0" w:line="5" w:lineRule="exact"/>
        <w:rPr>
          <w:sz w:val="24"/>
          <w:szCs w:val="24"/>
          <w:color w:val="auto"/>
        </w:rPr>
      </w:pPr>
    </w:p>
    <w:p>
      <w:pPr>
        <w:ind w:left="8" w:right="420"/>
        <w:spacing w:after="0" w:line="112" w:lineRule="exact"/>
        <w:rPr>
          <w:sz w:val="20"/>
          <w:szCs w:val="20"/>
          <w:color w:val="auto"/>
        </w:rPr>
      </w:pPr>
      <w:r>
        <w:rPr>
          <w:rFonts w:ascii="Times New Roman" w:cs="Times New Roman" w:eastAsia="Times New Roman" w:hAnsi="Times New Roman"/>
          <w:sz w:val="9"/>
          <w:szCs w:val="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 </w:t>
      </w:r>
      <w:r>
        <w:rPr>
          <w:rFonts w:ascii="MS PGothic" w:cs="MS PGothic" w:eastAsia="MS PGothic" w:hAnsi="MS PGothic"/>
          <w:sz w:val="9"/>
          <w:szCs w:val="9"/>
          <w:color w:val="auto"/>
        </w:rPr>
        <w:t>☐</w:t>
      </w:r>
    </w:p>
    <w:p>
      <w:pPr>
        <w:spacing w:after="0" w:line="5" w:lineRule="exact"/>
        <w:rPr>
          <w:sz w:val="24"/>
          <w:szCs w:val="24"/>
          <w:color w:val="auto"/>
        </w:rPr>
      </w:pPr>
    </w:p>
    <w:p>
      <w:pPr>
        <w:ind w:left="8"/>
        <w:spacing w:after="0" w:line="124" w:lineRule="exact"/>
        <w:rPr>
          <w:sz w:val="20"/>
          <w:szCs w:val="20"/>
          <w:color w:val="auto"/>
        </w:rPr>
      </w:pPr>
      <w:r>
        <w:rPr>
          <w:rFonts w:ascii="Times New Roman" w:cs="Times New Roman" w:eastAsia="Times New Roman" w:hAnsi="Times New Roman"/>
          <w:sz w:val="9"/>
          <w:szCs w:val="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 </w:t>
      </w:r>
      <w:r>
        <w:rPr>
          <w:rFonts w:ascii="MS PGothic" w:cs="MS PGothic" w:eastAsia="MS PGothic" w:hAnsi="MS PGothic"/>
          <w:sz w:val="9"/>
          <w:szCs w:val="9"/>
          <w:color w:val="auto"/>
        </w:rPr>
        <w:t>☐</w:t>
      </w:r>
    </w:p>
    <w:p>
      <w:pPr>
        <w:spacing w:after="0" w:line="18" w:lineRule="exact"/>
        <w:rPr>
          <w:sz w:val="24"/>
          <w:szCs w:val="24"/>
          <w:color w:val="auto"/>
        </w:rPr>
      </w:pPr>
    </w:p>
    <w:p>
      <w:pPr>
        <w:ind w:left="8" w:right="20"/>
        <w:spacing w:after="0" w:line="279" w:lineRule="auto"/>
        <w:rPr>
          <w:sz w:val="20"/>
          <w:szCs w:val="20"/>
          <w:color w:val="auto"/>
        </w:rPr>
      </w:pPr>
      <w:r>
        <w:rPr>
          <w:rFonts w:ascii="Times New Roman" w:cs="Times New Roman" w:eastAsia="Times New Roman" w:hAnsi="Times New Roman"/>
          <w:sz w:val="9"/>
          <w:szCs w:val="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8" w:type="dxa"/>
        <w:tblCellMar>
          <w:top w:w="0" w:type="dxa"/>
          <w:left w:w="0" w:type="dxa"/>
          <w:bottom w:w="0" w:type="dxa"/>
          <w:right w:w="0" w:type="dxa"/>
        </w:tblCellMar>
      </w:tblPr>
      <w:tr>
        <w:trPr>
          <w:trHeight w:val="140"/>
        </w:trPr>
        <w:tc>
          <w:tcPr>
            <w:tcW w:w="180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Large accelerated filer</w:t>
            </w:r>
          </w:p>
        </w:tc>
        <w:tc>
          <w:tcPr>
            <w:tcW w:w="3800" w:type="dxa"/>
            <w:vAlign w:val="bottom"/>
            <w:vMerge w:val="restart"/>
          </w:tcPr>
          <w:p>
            <w:pPr>
              <w:ind w:left="980"/>
              <w:spacing w:after="0" w:line="91" w:lineRule="exact"/>
              <w:rPr>
                <w:sz w:val="20"/>
                <w:szCs w:val="20"/>
                <w:color w:val="auto"/>
              </w:rPr>
            </w:pPr>
            <w:r>
              <w:rPr>
                <w:rFonts w:ascii="MS PGothic" w:cs="MS PGothic" w:eastAsia="MS PGothic" w:hAnsi="MS PGothic"/>
                <w:sz w:val="9"/>
                <w:szCs w:val="9"/>
                <w:color w:val="auto"/>
              </w:rPr>
              <w:t>☒</w:t>
            </w:r>
          </w:p>
        </w:tc>
        <w:tc>
          <w:tcPr>
            <w:tcW w:w="4540" w:type="dxa"/>
            <w:vAlign w:val="bottom"/>
            <w:vMerge w:val="restart"/>
          </w:tcPr>
          <w:p>
            <w:pPr>
              <w:ind w:left="2720"/>
              <w:spacing w:after="0"/>
              <w:rPr>
                <w:sz w:val="20"/>
                <w:szCs w:val="20"/>
                <w:color w:val="auto"/>
              </w:rPr>
            </w:pPr>
            <w:r>
              <w:rPr>
                <w:rFonts w:ascii="Times New Roman" w:cs="Times New Roman" w:eastAsia="Times New Roman" w:hAnsi="Times New Roman"/>
                <w:sz w:val="9"/>
                <w:szCs w:val="9"/>
                <w:color w:val="auto"/>
              </w:rPr>
              <w:t>Accelerated filer</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r>
        <w:trPr>
          <w:trHeight w:val="36"/>
        </w:trPr>
        <w:tc>
          <w:tcPr>
            <w:tcW w:w="1800" w:type="dxa"/>
            <w:vAlign w:val="bottom"/>
            <w:vMerge w:val="continue"/>
          </w:tcPr>
          <w:p>
            <w:pPr>
              <w:spacing w:after="0"/>
              <w:rPr>
                <w:sz w:val="3"/>
                <w:szCs w:val="3"/>
                <w:color w:val="auto"/>
              </w:rPr>
            </w:pPr>
          </w:p>
        </w:tc>
        <w:tc>
          <w:tcPr>
            <w:tcW w:w="3800" w:type="dxa"/>
            <w:vAlign w:val="bottom"/>
            <w:vMerge w:val="continue"/>
          </w:tcPr>
          <w:p>
            <w:pPr>
              <w:spacing w:after="0"/>
              <w:rPr>
                <w:sz w:val="3"/>
                <w:szCs w:val="3"/>
                <w:color w:val="auto"/>
              </w:rPr>
            </w:pPr>
          </w:p>
        </w:tc>
        <w:tc>
          <w:tcPr>
            <w:tcW w:w="454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1800" w:type="dxa"/>
            <w:vAlign w:val="bottom"/>
          </w:tcPr>
          <w:p>
            <w:pPr>
              <w:spacing w:after="0"/>
              <w:rPr>
                <w:sz w:val="20"/>
                <w:szCs w:val="20"/>
                <w:color w:val="auto"/>
              </w:rPr>
            </w:pPr>
            <w:r>
              <w:rPr>
                <w:rFonts w:ascii="Times New Roman" w:cs="Times New Roman" w:eastAsia="Times New Roman" w:hAnsi="Times New Roman"/>
                <w:sz w:val="9"/>
                <w:szCs w:val="9"/>
                <w:color w:val="auto"/>
              </w:rPr>
              <w:t>Non-accelerated filer</w:t>
            </w:r>
          </w:p>
        </w:tc>
        <w:tc>
          <w:tcPr>
            <w:tcW w:w="3800" w:type="dxa"/>
            <w:vAlign w:val="bottom"/>
          </w:tcPr>
          <w:p>
            <w:pPr>
              <w:ind w:left="980"/>
              <w:spacing w:after="0" w:line="91" w:lineRule="exact"/>
              <w:rPr>
                <w:sz w:val="20"/>
                <w:szCs w:val="20"/>
                <w:color w:val="auto"/>
              </w:rPr>
            </w:pPr>
            <w:r>
              <w:rPr>
                <w:rFonts w:ascii="MS PGothic" w:cs="MS PGothic" w:eastAsia="MS PGothic" w:hAnsi="MS PGothic"/>
                <w:sz w:val="9"/>
                <w:szCs w:val="9"/>
                <w:color w:val="auto"/>
              </w:rPr>
              <w:t>☐</w:t>
            </w:r>
          </w:p>
        </w:tc>
        <w:tc>
          <w:tcPr>
            <w:tcW w:w="4540" w:type="dxa"/>
            <w:vAlign w:val="bottom"/>
          </w:tcPr>
          <w:p>
            <w:pPr>
              <w:ind w:left="2720"/>
              <w:spacing w:after="0"/>
              <w:rPr>
                <w:sz w:val="20"/>
                <w:szCs w:val="20"/>
                <w:color w:val="auto"/>
              </w:rPr>
            </w:pPr>
            <w:r>
              <w:rPr>
                <w:rFonts w:ascii="Times New Roman" w:cs="Times New Roman" w:eastAsia="Times New Roman" w:hAnsi="Times New Roman"/>
                <w:sz w:val="9"/>
                <w:szCs w:val="9"/>
                <w:color w:val="auto"/>
              </w:rPr>
              <w:t>Smaller reporting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540" w:type="dxa"/>
            <w:vAlign w:val="bottom"/>
          </w:tcPr>
          <w:p>
            <w:pPr>
              <w:ind w:left="2720"/>
              <w:spacing w:after="0"/>
              <w:rPr>
                <w:sz w:val="20"/>
                <w:szCs w:val="20"/>
                <w:color w:val="auto"/>
              </w:rPr>
            </w:pPr>
            <w:r>
              <w:rPr>
                <w:rFonts w:ascii="Times New Roman" w:cs="Times New Roman" w:eastAsia="Times New Roman" w:hAnsi="Times New Roman"/>
                <w:sz w:val="9"/>
                <w:szCs w:val="9"/>
                <w:color w:val="auto"/>
              </w:rPr>
              <w:t>Emerging growth company</w:t>
            </w:r>
          </w:p>
        </w:tc>
        <w:tc>
          <w:tcPr>
            <w:tcW w:w="880" w:type="dxa"/>
            <w:vAlign w:val="bottom"/>
          </w:tcPr>
          <w:p>
            <w:pPr>
              <w:ind w:left="800"/>
              <w:spacing w:after="0" w:line="81" w:lineRule="exact"/>
              <w:rPr>
                <w:sz w:val="20"/>
                <w:szCs w:val="20"/>
                <w:color w:val="auto"/>
              </w:rPr>
            </w:pPr>
            <w:r>
              <w:rPr>
                <w:rFonts w:ascii="MS PGothic" w:cs="MS PGothic" w:eastAsia="MS PGothic" w:hAnsi="MS PGothic"/>
                <w:sz w:val="8"/>
                <w:szCs w:val="8"/>
                <w:color w:val="auto"/>
                <w:w w:val="74"/>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8"/>
        <w:spacing w:after="0" w:line="104" w:lineRule="exact"/>
        <w:rPr>
          <w:sz w:val="20"/>
          <w:szCs w:val="20"/>
          <w:color w:val="auto"/>
        </w:rPr>
      </w:pPr>
      <w:r>
        <w:rPr>
          <w:rFonts w:ascii="Times New Roman" w:cs="Times New Roman" w:eastAsia="Times New Roman" w:hAnsi="Times New Roman"/>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p>
    <w:p>
      <w:pPr>
        <w:spacing w:after="0" w:line="28" w:lineRule="exact"/>
        <w:rPr>
          <w:sz w:val="24"/>
          <w:szCs w:val="24"/>
          <w:color w:val="auto"/>
        </w:rPr>
      </w:pPr>
    </w:p>
    <w:p>
      <w:pPr>
        <w:ind w:left="8"/>
        <w:spacing w:after="0" w:line="107" w:lineRule="exact"/>
        <w:rPr>
          <w:sz w:val="20"/>
          <w:szCs w:val="20"/>
          <w:color w:val="auto"/>
        </w:rPr>
      </w:pPr>
      <w:r>
        <w:rPr>
          <w:rFonts w:ascii="Times New Roman" w:cs="Times New Roman" w:eastAsia="Times New Roman" w:hAnsi="Times New Roman"/>
          <w:sz w:val="9"/>
          <w:szCs w:val="9"/>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9"/>
          <w:szCs w:val="9"/>
          <w:color w:val="auto"/>
        </w:rPr>
        <w:t>☒</w:t>
      </w:r>
    </w:p>
    <w:p>
      <w:pPr>
        <w:spacing w:after="0" w:line="1" w:lineRule="exact"/>
        <w:rPr>
          <w:sz w:val="24"/>
          <w:szCs w:val="24"/>
          <w:color w:val="auto"/>
        </w:rPr>
      </w:pPr>
    </w:p>
    <w:p>
      <w:pPr>
        <w:ind w:left="8"/>
        <w:spacing w:after="0" w:line="104" w:lineRule="exact"/>
        <w:rPr>
          <w:sz w:val="20"/>
          <w:szCs w:val="20"/>
          <w:color w:val="auto"/>
        </w:rPr>
      </w:pPr>
      <w:r>
        <w:rPr>
          <w:rFonts w:ascii="Times New Roman" w:cs="Times New Roman" w:eastAsia="Times New Roman" w:hAnsi="Times New Roman"/>
          <w:sz w:val="9"/>
          <w:szCs w:val="9"/>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9"/>
          <w:szCs w:val="9"/>
          <w:color w:val="auto"/>
        </w:rPr>
        <w:t>☐</w:t>
      </w:r>
    </w:p>
    <w:p>
      <w:pPr>
        <w:spacing w:after="0" w:line="5" w:lineRule="exact"/>
        <w:rPr>
          <w:sz w:val="24"/>
          <w:szCs w:val="24"/>
          <w:color w:val="auto"/>
        </w:rPr>
      </w:pPr>
    </w:p>
    <w:p>
      <w:pPr>
        <w:ind w:left="8" w:right="1780"/>
        <w:spacing w:after="0" w:line="110" w:lineRule="exact"/>
        <w:rPr>
          <w:sz w:val="20"/>
          <w:szCs w:val="20"/>
          <w:color w:val="auto"/>
        </w:rPr>
      </w:pPr>
      <w:r>
        <w:rPr>
          <w:rFonts w:ascii="Times New Roman" w:cs="Times New Roman" w:eastAsia="Times New Roman" w:hAnsi="Times New Roman"/>
          <w:sz w:val="9"/>
          <w:szCs w:val="9"/>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Indicate by check mark whether the registrant is a shell company (as defined in Rule 12b-2 of the Exchange Act).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 </w:t>
      </w:r>
      <w:r>
        <w:rPr>
          <w:rFonts w:ascii="MS PGothic" w:cs="MS PGothic" w:eastAsia="MS PGothic" w:hAnsi="MS PGothic"/>
          <w:sz w:val="9"/>
          <w:szCs w:val="9"/>
          <w:color w:val="auto"/>
        </w:rPr>
        <w:t>☒</w:t>
      </w:r>
    </w:p>
    <w:p>
      <w:pPr>
        <w:ind w:left="8"/>
        <w:spacing w:after="0"/>
        <w:rPr>
          <w:sz w:val="20"/>
          <w:szCs w:val="20"/>
          <w:color w:val="auto"/>
        </w:rPr>
      </w:pPr>
      <w:r>
        <w:rPr>
          <w:rFonts w:ascii="Times New Roman" w:cs="Times New Roman" w:eastAsia="Times New Roman" w:hAnsi="Times New Roman"/>
          <w:sz w:val="9"/>
          <w:szCs w:val="9"/>
          <w:color w:val="auto"/>
        </w:rPr>
        <w:t>The aggregate market value of the voting and non-voting stock held by non-affiliates of the registrant as of the close of business on June 30, 2022 was approximately $39.6 billion. As of January 31, 2023, there were 381,079,743 shares of the registrant’s Common Stock outstanding.</w:t>
      </w:r>
    </w:p>
    <w:p>
      <w:pPr>
        <w:spacing w:after="0" w:line="3" w:lineRule="exact"/>
        <w:rPr>
          <w:sz w:val="24"/>
          <w:szCs w:val="24"/>
          <w:color w:val="auto"/>
        </w:rPr>
      </w:pPr>
    </w:p>
    <w:p>
      <w:pPr>
        <w:ind w:left="4628"/>
        <w:spacing w:after="0"/>
        <w:rPr>
          <w:sz w:val="20"/>
          <w:szCs w:val="20"/>
          <w:color w:val="auto"/>
        </w:rPr>
      </w:pPr>
      <w:r>
        <w:rPr>
          <w:rFonts w:ascii="Times New Roman" w:cs="Times New Roman" w:eastAsia="Times New Roman" w:hAnsi="Times New Roman"/>
          <w:sz w:val="9"/>
          <w:szCs w:val="9"/>
          <w:b w:val="1"/>
          <w:bCs w:val="1"/>
          <w:color w:val="auto"/>
        </w:rPr>
        <w:t>DOCUMENTS INCORPORATED BY REFERENCE</w:t>
      </w:r>
    </w:p>
    <w:p>
      <w:pPr>
        <w:spacing w:after="0" w:line="32" w:lineRule="exact"/>
        <w:rPr>
          <w:sz w:val="24"/>
          <w:szCs w:val="24"/>
          <w:color w:val="auto"/>
        </w:rPr>
      </w:pPr>
    </w:p>
    <w:p>
      <w:pPr>
        <w:ind w:left="268" w:hanging="268"/>
        <w:spacing w:after="0"/>
        <w:tabs>
          <w:tab w:leader="none" w:pos="268" w:val="left"/>
        </w:tabs>
        <w:numPr>
          <w:ilvl w:val="0"/>
          <w:numId w:val="1"/>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9"/>
          <w:szCs w:val="9"/>
          <w:color w:val="auto"/>
        </w:rPr>
        <w:t>Portions of the Proxy Statement for the annual meeting of stockholders to be held on May 4, 2023,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327660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171450</wp:posOffset>
            </wp:positionH>
            <wp:positionV relativeFrom="paragraph">
              <wp:posOffset>43180</wp:posOffset>
            </wp:positionV>
            <wp:extent cx="668083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0835" cy="5715"/>
                    </a:xfrm>
                    <a:prstGeom prst="rect">
                      <a:avLst/>
                    </a:prstGeom>
                    <a:noFill/>
                  </pic:spPr>
                </pic:pic>
              </a:graphicData>
            </a:graphic>
          </wp:anchor>
        </w:drawing>
      </w:r>
    </w:p>
    <w:p>
      <w:pPr>
        <w:sectPr>
          <w:pgSz w:w="11900" w:h="16838" w:orient="portrait"/>
          <w:cols w:equalWidth="0" w:num="1">
            <w:col w:w="11308"/>
          </w:cols>
          <w:pgMar w:left="292" w:top="79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6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620" w:type="dxa"/>
            <w:vAlign w:val="bottom"/>
          </w:tcPr>
          <w:p>
            <w:pPr>
              <w:ind w:left="104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273"/>
        </w:trPr>
        <w:tc>
          <w:tcPr>
            <w:tcW w:w="6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6620" w:type="dxa"/>
            <w:vAlign w:val="bottom"/>
          </w:tcPr>
          <w:p>
            <w:pPr>
              <w:ind w:left="6380"/>
              <w:spacing w:after="0"/>
              <w:rPr>
                <w:sz w:val="20"/>
                <w:szCs w:val="20"/>
                <w:color w:val="auto"/>
              </w:rPr>
            </w:pPr>
            <w:r>
              <w:rPr>
                <w:rFonts w:ascii="Times New Roman" w:cs="Times New Roman" w:eastAsia="Times New Roman" w:hAnsi="Times New Roman"/>
                <w:sz w:val="12"/>
                <w:szCs w:val="12"/>
                <w:b w:val="1"/>
                <w:bCs w:val="1"/>
                <w:color w:val="auto"/>
                <w:w w:val="89"/>
              </w:rPr>
              <w:t>Page</w:t>
            </w:r>
          </w:p>
        </w:tc>
      </w:tr>
      <w:tr>
        <w:trPr>
          <w:trHeight w:val="157"/>
        </w:trPr>
        <w:tc>
          <w:tcPr>
            <w:tcW w:w="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w:t>
            </w:r>
          </w:p>
        </w:tc>
        <w:tc>
          <w:tcPr>
            <w:tcW w:w="3300" w:type="dxa"/>
            <w:vAlign w:val="bottom"/>
          </w:tcPr>
          <w:p>
            <w:pPr>
              <w:spacing w:after="0"/>
              <w:rPr>
                <w:sz w:val="13"/>
                <w:szCs w:val="13"/>
                <w:color w:val="auto"/>
              </w:rPr>
            </w:pPr>
          </w:p>
        </w:tc>
        <w:tc>
          <w:tcPr>
            <w:tcW w:w="6620" w:type="dxa"/>
            <w:vAlign w:val="bottom"/>
          </w:tcPr>
          <w:p>
            <w:pPr>
              <w:jc w:val="center"/>
              <w:ind w:left="6340"/>
              <w:spacing w:after="0"/>
              <w:rPr>
                <w:sz w:val="20"/>
                <w:szCs w:val="20"/>
                <w:color w:val="auto"/>
              </w:rPr>
            </w:pPr>
            <w:r>
              <w:rPr>
                <w:rFonts w:ascii="Times New Roman" w:cs="Times New Roman" w:eastAsia="Times New Roman" w:hAnsi="Times New Roman"/>
                <w:sz w:val="12"/>
                <w:szCs w:val="12"/>
                <w:b w:val="1"/>
                <w:bCs w:val="1"/>
                <w:color w:val="auto"/>
                <w:w w:val="99"/>
              </w:rPr>
              <w:t>4</w:t>
            </w: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1.</w:t>
            </w:r>
          </w:p>
        </w:tc>
        <w:tc>
          <w:tcPr>
            <w:tcW w:w="3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Business</w:t>
            </w:r>
          </w:p>
        </w:tc>
        <w:tc>
          <w:tcPr>
            <w:tcW w:w="6620" w:type="dxa"/>
            <w:vAlign w:val="bottom"/>
          </w:tcPr>
          <w:p>
            <w:pPr>
              <w:jc w:val="center"/>
              <w:ind w:left="6340"/>
              <w:spacing w:after="0"/>
              <w:rPr>
                <w:sz w:val="20"/>
                <w:szCs w:val="20"/>
                <w:color w:val="auto"/>
              </w:rPr>
            </w:pPr>
            <w:r>
              <w:rPr>
                <w:rFonts w:ascii="Times New Roman" w:cs="Times New Roman" w:eastAsia="Times New Roman" w:hAnsi="Times New Roman"/>
                <w:sz w:val="12"/>
                <w:szCs w:val="12"/>
                <w:color w:val="auto"/>
                <w:w w:val="99"/>
              </w:rPr>
              <w:t>4</w:t>
            </w:r>
          </w:p>
        </w:tc>
      </w:tr>
      <w:tr>
        <w:trPr>
          <w:trHeight w:val="153"/>
        </w:trPr>
        <w:tc>
          <w:tcPr>
            <w:tcW w:w="660" w:type="dxa"/>
            <w:vAlign w:val="bottom"/>
          </w:tcPr>
          <w:p>
            <w:pPr>
              <w:spacing w:after="0"/>
              <w:rPr>
                <w:sz w:val="13"/>
                <w:szCs w:val="13"/>
                <w:color w:val="auto"/>
              </w:rPr>
            </w:pPr>
          </w:p>
        </w:tc>
        <w:tc>
          <w:tcPr>
            <w:tcW w:w="3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Overview</w:t>
            </w:r>
          </w:p>
        </w:tc>
        <w:tc>
          <w:tcPr>
            <w:tcW w:w="6620" w:type="dxa"/>
            <w:vAlign w:val="bottom"/>
          </w:tcPr>
          <w:p>
            <w:pPr>
              <w:jc w:val="center"/>
              <w:ind w:left="6340"/>
              <w:spacing w:after="0"/>
              <w:rPr>
                <w:sz w:val="20"/>
                <w:szCs w:val="20"/>
                <w:color w:val="auto"/>
              </w:rPr>
            </w:pPr>
            <w:r>
              <w:rPr>
                <w:rFonts w:ascii="Times New Roman" w:cs="Times New Roman" w:eastAsia="Times New Roman" w:hAnsi="Times New Roman"/>
                <w:sz w:val="12"/>
                <w:szCs w:val="12"/>
                <w:color w:val="auto"/>
                <w:w w:val="99"/>
              </w:rPr>
              <w:t>4</w:t>
            </w:r>
          </w:p>
        </w:tc>
      </w:tr>
      <w:tr>
        <w:trPr>
          <w:trHeight w:val="153"/>
        </w:trPr>
        <w:tc>
          <w:tcPr>
            <w:tcW w:w="660" w:type="dxa"/>
            <w:vAlign w:val="bottom"/>
          </w:tcPr>
          <w:p>
            <w:pPr>
              <w:spacing w:after="0"/>
              <w:rPr>
                <w:sz w:val="13"/>
                <w:szCs w:val="13"/>
                <w:color w:val="auto"/>
              </w:rPr>
            </w:pPr>
          </w:p>
        </w:tc>
        <w:tc>
          <w:tcPr>
            <w:tcW w:w="3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Operations and Business Segments</w:t>
            </w:r>
          </w:p>
        </w:tc>
        <w:tc>
          <w:tcPr>
            <w:tcW w:w="6620" w:type="dxa"/>
            <w:vAlign w:val="bottom"/>
          </w:tcPr>
          <w:p>
            <w:pPr>
              <w:jc w:val="center"/>
              <w:ind w:left="6340"/>
              <w:spacing w:after="0"/>
              <w:rPr>
                <w:sz w:val="20"/>
                <w:szCs w:val="20"/>
                <w:color w:val="auto"/>
              </w:rPr>
            </w:pPr>
            <w:r>
              <w:rPr>
                <w:rFonts w:ascii="Times New Roman" w:cs="Times New Roman" w:eastAsia="Times New Roman" w:hAnsi="Times New Roman"/>
                <w:sz w:val="12"/>
                <w:szCs w:val="12"/>
                <w:color w:val="auto"/>
                <w:w w:val="99"/>
              </w:rPr>
              <w:t>6</w:t>
            </w:r>
          </w:p>
        </w:tc>
      </w:tr>
      <w:tr>
        <w:trPr>
          <w:trHeight w:val="153"/>
        </w:trPr>
        <w:tc>
          <w:tcPr>
            <w:tcW w:w="660" w:type="dxa"/>
            <w:vAlign w:val="bottom"/>
          </w:tcPr>
          <w:p>
            <w:pPr>
              <w:spacing w:after="0"/>
              <w:rPr>
                <w:sz w:val="13"/>
                <w:szCs w:val="13"/>
                <w:color w:val="auto"/>
              </w:rPr>
            </w:pPr>
          </w:p>
        </w:tc>
        <w:tc>
          <w:tcPr>
            <w:tcW w:w="3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Competition</w:t>
            </w:r>
          </w:p>
        </w:tc>
        <w:tc>
          <w:tcPr>
            <w:tcW w:w="6620" w:type="dxa"/>
            <w:vAlign w:val="bottom"/>
          </w:tcPr>
          <w:p>
            <w:pPr>
              <w:jc w:val="center"/>
              <w:ind w:left="6340"/>
              <w:spacing w:after="0"/>
              <w:rPr>
                <w:sz w:val="20"/>
                <w:szCs w:val="20"/>
                <w:color w:val="auto"/>
              </w:rPr>
            </w:pPr>
            <w:r>
              <w:rPr>
                <w:rFonts w:ascii="Times New Roman" w:cs="Times New Roman" w:eastAsia="Times New Roman" w:hAnsi="Times New Roman"/>
                <w:sz w:val="12"/>
                <w:szCs w:val="12"/>
                <w:color w:val="auto"/>
                <w:w w:val="99"/>
              </w:rPr>
              <w:t>7</w:t>
            </w:r>
          </w:p>
        </w:tc>
      </w:tr>
      <w:tr>
        <w:trPr>
          <w:trHeight w:val="153"/>
        </w:trPr>
        <w:tc>
          <w:tcPr>
            <w:tcW w:w="660" w:type="dxa"/>
            <w:vAlign w:val="bottom"/>
          </w:tcPr>
          <w:p>
            <w:pPr>
              <w:spacing w:after="0"/>
              <w:rPr>
                <w:sz w:val="13"/>
                <w:szCs w:val="13"/>
                <w:color w:val="auto"/>
              </w:rPr>
            </w:pPr>
          </w:p>
        </w:tc>
        <w:tc>
          <w:tcPr>
            <w:tcW w:w="3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Supervision and Regulation</w:t>
            </w:r>
          </w:p>
        </w:tc>
        <w:tc>
          <w:tcPr>
            <w:tcW w:w="6620" w:type="dxa"/>
            <w:vAlign w:val="bottom"/>
          </w:tcPr>
          <w:p>
            <w:pPr>
              <w:jc w:val="center"/>
              <w:ind w:left="6340"/>
              <w:spacing w:after="0"/>
              <w:rPr>
                <w:sz w:val="20"/>
                <w:szCs w:val="20"/>
                <w:color w:val="auto"/>
              </w:rPr>
            </w:pPr>
            <w:r>
              <w:rPr>
                <w:rFonts w:ascii="Times New Roman" w:cs="Times New Roman" w:eastAsia="Times New Roman" w:hAnsi="Times New Roman"/>
                <w:sz w:val="12"/>
                <w:szCs w:val="12"/>
                <w:color w:val="auto"/>
                <w:w w:val="99"/>
              </w:rPr>
              <w:t>7</w:t>
            </w:r>
          </w:p>
        </w:tc>
      </w:tr>
      <w:tr>
        <w:trPr>
          <w:trHeight w:val="153"/>
        </w:trPr>
        <w:tc>
          <w:tcPr>
            <w:tcW w:w="660" w:type="dxa"/>
            <w:vAlign w:val="bottom"/>
          </w:tcPr>
          <w:p>
            <w:pPr>
              <w:spacing w:after="0"/>
              <w:rPr>
                <w:sz w:val="13"/>
                <w:szCs w:val="13"/>
                <w:color w:val="auto"/>
              </w:rPr>
            </w:pPr>
          </w:p>
        </w:tc>
        <w:tc>
          <w:tcPr>
            <w:tcW w:w="3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Human Capital Resources</w:t>
            </w:r>
          </w:p>
        </w:tc>
        <w:tc>
          <w:tcPr>
            <w:tcW w:w="6620" w:type="dxa"/>
            <w:vAlign w:val="bottom"/>
          </w:tcPr>
          <w:p>
            <w:pPr>
              <w:jc w:val="center"/>
              <w:ind w:left="6320"/>
              <w:spacing w:after="0"/>
              <w:rPr>
                <w:sz w:val="20"/>
                <w:szCs w:val="20"/>
                <w:color w:val="auto"/>
              </w:rPr>
            </w:pPr>
            <w:r>
              <w:rPr>
                <w:rFonts w:ascii="Times New Roman" w:cs="Times New Roman" w:eastAsia="Times New Roman" w:hAnsi="Times New Roman"/>
                <w:sz w:val="12"/>
                <w:szCs w:val="12"/>
                <w:color w:val="auto"/>
                <w:w w:val="99"/>
              </w:rPr>
              <w:t>17</w:t>
            </w:r>
          </w:p>
        </w:tc>
      </w:tr>
      <w:tr>
        <w:trPr>
          <w:trHeight w:val="153"/>
        </w:trPr>
        <w:tc>
          <w:tcPr>
            <w:tcW w:w="660" w:type="dxa"/>
            <w:vAlign w:val="bottom"/>
          </w:tcPr>
          <w:p>
            <w:pPr>
              <w:spacing w:after="0"/>
              <w:rPr>
                <w:sz w:val="13"/>
                <w:szCs w:val="13"/>
                <w:color w:val="auto"/>
              </w:rPr>
            </w:pPr>
          </w:p>
        </w:tc>
        <w:tc>
          <w:tcPr>
            <w:tcW w:w="3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Technology and Intellectual Property</w:t>
            </w:r>
          </w:p>
        </w:tc>
        <w:tc>
          <w:tcPr>
            <w:tcW w:w="6620" w:type="dxa"/>
            <w:vAlign w:val="bottom"/>
          </w:tcPr>
          <w:p>
            <w:pPr>
              <w:jc w:val="center"/>
              <w:ind w:left="6320"/>
              <w:spacing w:after="0"/>
              <w:rPr>
                <w:sz w:val="20"/>
                <w:szCs w:val="20"/>
                <w:color w:val="auto"/>
              </w:rPr>
            </w:pPr>
            <w:r>
              <w:rPr>
                <w:rFonts w:ascii="Times New Roman" w:cs="Times New Roman" w:eastAsia="Times New Roman" w:hAnsi="Times New Roman"/>
                <w:sz w:val="12"/>
                <w:szCs w:val="12"/>
                <w:color w:val="auto"/>
                <w:w w:val="99"/>
              </w:rPr>
              <w:t>19</w:t>
            </w:r>
          </w:p>
        </w:tc>
      </w:tr>
      <w:tr>
        <w:trPr>
          <w:trHeight w:val="153"/>
        </w:trPr>
        <w:tc>
          <w:tcPr>
            <w:tcW w:w="660" w:type="dxa"/>
            <w:vAlign w:val="bottom"/>
          </w:tcPr>
          <w:p>
            <w:pPr>
              <w:spacing w:after="0"/>
              <w:rPr>
                <w:sz w:val="13"/>
                <w:szCs w:val="13"/>
                <w:color w:val="auto"/>
              </w:rPr>
            </w:pPr>
          </w:p>
        </w:tc>
        <w:tc>
          <w:tcPr>
            <w:tcW w:w="3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Forward-Looking Statements</w:t>
            </w:r>
          </w:p>
        </w:tc>
        <w:tc>
          <w:tcPr>
            <w:tcW w:w="6620" w:type="dxa"/>
            <w:vAlign w:val="bottom"/>
          </w:tcPr>
          <w:p>
            <w:pPr>
              <w:jc w:val="center"/>
              <w:ind w:left="6320"/>
              <w:spacing w:after="0"/>
              <w:rPr>
                <w:sz w:val="20"/>
                <w:szCs w:val="20"/>
                <w:color w:val="auto"/>
              </w:rPr>
            </w:pPr>
            <w:r>
              <w:rPr>
                <w:rFonts w:ascii="Times New Roman" w:cs="Times New Roman" w:eastAsia="Times New Roman" w:hAnsi="Times New Roman"/>
                <w:sz w:val="12"/>
                <w:szCs w:val="12"/>
                <w:color w:val="auto"/>
                <w:w w:val="99"/>
              </w:rPr>
              <w:t>20</w:t>
            </w: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1A.</w:t>
            </w:r>
          </w:p>
        </w:tc>
        <w:tc>
          <w:tcPr>
            <w:tcW w:w="3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Risk Factors</w:t>
            </w:r>
          </w:p>
        </w:tc>
        <w:tc>
          <w:tcPr>
            <w:tcW w:w="6620" w:type="dxa"/>
            <w:vAlign w:val="bottom"/>
          </w:tcPr>
          <w:p>
            <w:pPr>
              <w:jc w:val="center"/>
              <w:ind w:left="6320"/>
              <w:spacing w:after="0"/>
              <w:rPr>
                <w:sz w:val="20"/>
                <w:szCs w:val="20"/>
                <w:color w:val="auto"/>
              </w:rPr>
            </w:pPr>
            <w:r>
              <w:rPr>
                <w:rFonts w:ascii="Times New Roman" w:cs="Times New Roman" w:eastAsia="Times New Roman" w:hAnsi="Times New Roman"/>
                <w:sz w:val="12"/>
                <w:szCs w:val="12"/>
                <w:color w:val="auto"/>
                <w:w w:val="99"/>
              </w:rPr>
              <w:t>21</w:t>
            </w: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1B.</w:t>
            </w:r>
          </w:p>
        </w:tc>
        <w:tc>
          <w:tcPr>
            <w:tcW w:w="3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Unresolved Staff Comments</w:t>
            </w:r>
          </w:p>
        </w:tc>
        <w:tc>
          <w:tcPr>
            <w:tcW w:w="6620" w:type="dxa"/>
            <w:vAlign w:val="bottom"/>
          </w:tcPr>
          <w:p>
            <w:pPr>
              <w:jc w:val="center"/>
              <w:ind w:left="6320"/>
              <w:spacing w:after="0"/>
              <w:rPr>
                <w:sz w:val="20"/>
                <w:szCs w:val="20"/>
                <w:color w:val="auto"/>
              </w:rPr>
            </w:pPr>
            <w:r>
              <w:rPr>
                <w:rFonts w:ascii="Times New Roman" w:cs="Times New Roman" w:eastAsia="Times New Roman" w:hAnsi="Times New Roman"/>
                <w:sz w:val="12"/>
                <w:szCs w:val="12"/>
                <w:color w:val="auto"/>
                <w:w w:val="99"/>
              </w:rPr>
              <w:t>40</w:t>
            </w: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2.</w:t>
            </w:r>
          </w:p>
        </w:tc>
        <w:tc>
          <w:tcPr>
            <w:tcW w:w="3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Properties</w:t>
            </w:r>
          </w:p>
        </w:tc>
        <w:tc>
          <w:tcPr>
            <w:tcW w:w="6620" w:type="dxa"/>
            <w:vAlign w:val="bottom"/>
          </w:tcPr>
          <w:p>
            <w:pPr>
              <w:jc w:val="center"/>
              <w:ind w:left="6320"/>
              <w:spacing w:after="0"/>
              <w:rPr>
                <w:sz w:val="20"/>
                <w:szCs w:val="20"/>
                <w:color w:val="auto"/>
              </w:rPr>
            </w:pPr>
            <w:r>
              <w:rPr>
                <w:rFonts w:ascii="Times New Roman" w:cs="Times New Roman" w:eastAsia="Times New Roman" w:hAnsi="Times New Roman"/>
                <w:sz w:val="12"/>
                <w:szCs w:val="12"/>
                <w:color w:val="auto"/>
                <w:w w:val="99"/>
              </w:rPr>
              <w:t>40</w:t>
            </w: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3.</w:t>
            </w:r>
          </w:p>
        </w:tc>
        <w:tc>
          <w:tcPr>
            <w:tcW w:w="3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Legal Proceedings</w:t>
            </w:r>
          </w:p>
        </w:tc>
        <w:tc>
          <w:tcPr>
            <w:tcW w:w="6620" w:type="dxa"/>
            <w:vAlign w:val="bottom"/>
          </w:tcPr>
          <w:p>
            <w:pPr>
              <w:jc w:val="center"/>
              <w:ind w:left="6320"/>
              <w:spacing w:after="0"/>
              <w:rPr>
                <w:sz w:val="20"/>
                <w:szCs w:val="20"/>
                <w:color w:val="auto"/>
              </w:rPr>
            </w:pPr>
            <w:r>
              <w:rPr>
                <w:rFonts w:ascii="Times New Roman" w:cs="Times New Roman" w:eastAsia="Times New Roman" w:hAnsi="Times New Roman"/>
                <w:sz w:val="12"/>
                <w:szCs w:val="12"/>
                <w:color w:val="auto"/>
                <w:w w:val="99"/>
              </w:rPr>
              <w:t>40</w:t>
            </w:r>
          </w:p>
        </w:tc>
      </w:tr>
      <w:tr>
        <w:trPr>
          <w:trHeight w:val="155"/>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4.</w:t>
            </w:r>
          </w:p>
        </w:tc>
        <w:tc>
          <w:tcPr>
            <w:tcW w:w="3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Mine Safety Disclosures</w:t>
            </w:r>
          </w:p>
        </w:tc>
        <w:tc>
          <w:tcPr>
            <w:tcW w:w="6620" w:type="dxa"/>
            <w:vAlign w:val="bottom"/>
          </w:tcPr>
          <w:p>
            <w:pPr>
              <w:jc w:val="center"/>
              <w:ind w:left="6320"/>
              <w:spacing w:after="0"/>
              <w:rPr>
                <w:sz w:val="20"/>
                <w:szCs w:val="20"/>
                <w:color w:val="auto"/>
              </w:rPr>
            </w:pPr>
            <w:r>
              <w:rPr>
                <w:rFonts w:ascii="Times New Roman" w:cs="Times New Roman" w:eastAsia="Times New Roman" w:hAnsi="Times New Roman"/>
                <w:sz w:val="12"/>
                <w:szCs w:val="12"/>
                <w:color w:val="auto"/>
                <w:w w:val="99"/>
              </w:rPr>
              <w:t>40</w:t>
            </w: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II</w:t>
            </w:r>
          </w:p>
        </w:tc>
        <w:tc>
          <w:tcPr>
            <w:tcW w:w="7320" w:type="dxa"/>
            <w:vAlign w:val="bottom"/>
          </w:tcPr>
          <w:p>
            <w:pPr>
              <w:spacing w:after="0"/>
              <w:rPr>
                <w:sz w:val="13"/>
                <w:szCs w:val="13"/>
                <w:color w:val="auto"/>
              </w:rPr>
            </w:pP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b w:val="1"/>
                <w:bCs w:val="1"/>
                <w:color w:val="auto"/>
                <w:w w:val="99"/>
              </w:rPr>
              <w:t>41</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5.</w:t>
            </w:r>
          </w:p>
        </w:tc>
        <w:tc>
          <w:tcPr>
            <w:tcW w:w="73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Market for Registrant’s Common Equity, Related Stockholder Matters and Issuer Purchases of Equity Securities</w:t>
            </w:r>
          </w:p>
        </w:tc>
        <w:tc>
          <w:tcPr>
            <w:tcW w:w="3320" w:type="dxa"/>
            <w:vAlign w:val="bottom"/>
            <w:vMerge w:val="restart"/>
          </w:tcPr>
          <w:p>
            <w:pPr>
              <w:jc w:val="center"/>
              <w:ind w:left="1580"/>
              <w:spacing w:after="0"/>
              <w:rPr>
                <w:sz w:val="20"/>
                <w:szCs w:val="20"/>
                <w:color w:val="auto"/>
              </w:rPr>
            </w:pPr>
            <w:r>
              <w:rPr>
                <w:rFonts w:ascii="Times New Roman" w:cs="Times New Roman" w:eastAsia="Times New Roman" w:hAnsi="Times New Roman"/>
                <w:sz w:val="12"/>
                <w:szCs w:val="12"/>
                <w:color w:val="auto"/>
                <w:w w:val="99"/>
              </w:rPr>
              <w:t>41</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6.</w:t>
            </w:r>
          </w:p>
        </w:tc>
        <w:tc>
          <w:tcPr>
            <w:tcW w:w="73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[Reserved]</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44</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7.</w:t>
            </w:r>
          </w:p>
        </w:tc>
        <w:tc>
          <w:tcPr>
            <w:tcW w:w="73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 (“MD&amp;A”)</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44</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Selected Financial Data</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45</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Executive Summary</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48</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Consolidated Results of Operations</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49</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Consolidated Balance Sheets Analysis</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54</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Off-Balance Sheet Arrangements</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56</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Business Segment Financial Performance</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56</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Critical Accounting Policies and Estimates</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65</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Accounting Changes and Developments</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69</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Capital Management</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70</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Risk Management</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75</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Credit Risk Profile</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81</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Liquidity Risk Profile</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92</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Market Risk Profile</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99"/>
              </w:rPr>
              <w:t>97</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Supplemental Tables</w:t>
            </w:r>
          </w:p>
        </w:tc>
        <w:tc>
          <w:tcPr>
            <w:tcW w:w="33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102</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Glossary and Acronyms</w:t>
            </w:r>
          </w:p>
        </w:tc>
        <w:tc>
          <w:tcPr>
            <w:tcW w:w="33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104</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7A.</w:t>
            </w:r>
          </w:p>
        </w:tc>
        <w:tc>
          <w:tcPr>
            <w:tcW w:w="73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Quantitative and Qualitative Disclosures about Market Risk</w:t>
            </w:r>
          </w:p>
        </w:tc>
        <w:tc>
          <w:tcPr>
            <w:tcW w:w="3320" w:type="dxa"/>
            <w:vAlign w:val="bottom"/>
          </w:tcPr>
          <w:p>
            <w:pPr>
              <w:jc w:val="center"/>
              <w:ind w:left="1580"/>
              <w:spacing w:after="0"/>
              <w:rPr>
                <w:sz w:val="20"/>
                <w:szCs w:val="20"/>
                <w:color w:val="auto"/>
              </w:rPr>
            </w:pPr>
            <w:r>
              <w:rPr>
                <w:rFonts w:ascii="Times New Roman" w:cs="Times New Roman" w:eastAsia="Times New Roman" w:hAnsi="Times New Roman"/>
                <w:sz w:val="12"/>
                <w:szCs w:val="12"/>
                <w:color w:val="auto"/>
                <w:w w:val="88"/>
              </w:rPr>
              <w:t>111</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Item 8.</w:t>
            </w:r>
          </w:p>
        </w:tc>
        <w:tc>
          <w:tcPr>
            <w:tcW w:w="73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Financial Statements and Supplementary Data</w:t>
            </w:r>
          </w:p>
        </w:tc>
        <w:tc>
          <w:tcPr>
            <w:tcW w:w="33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112</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Consolidated Statements of Income</w:t>
            </w:r>
          </w:p>
        </w:tc>
        <w:tc>
          <w:tcPr>
            <w:tcW w:w="33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117</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Consolidated Statements of Comprehensive Income</w:t>
            </w:r>
          </w:p>
        </w:tc>
        <w:tc>
          <w:tcPr>
            <w:tcW w:w="33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118</w:t>
            </w: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73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Consolidated Balance Sheets</w:t>
            </w:r>
          </w:p>
        </w:tc>
        <w:tc>
          <w:tcPr>
            <w:tcW w:w="33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119</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32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Consolidated Statements of Changes in Stockholders’ Equity</w:t>
            </w:r>
          </w:p>
        </w:tc>
        <w:tc>
          <w:tcPr>
            <w:tcW w:w="332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9"/>
              </w:rPr>
              <w:t>120</w:t>
            </w:r>
          </w:p>
        </w:tc>
        <w:tc>
          <w:tcPr>
            <w:tcW w:w="0" w:type="dxa"/>
            <w:vAlign w:val="bottom"/>
          </w:tcPr>
          <w:p>
            <w:pPr>
              <w:spacing w:after="0"/>
              <w:rPr>
                <w:sz w:val="1"/>
                <w:szCs w:val="1"/>
                <w:color w:val="auto"/>
              </w:rPr>
            </w:pPr>
          </w:p>
        </w:tc>
      </w:tr>
      <w:tr>
        <w:trPr>
          <w:trHeight w:val="631"/>
        </w:trPr>
        <w:tc>
          <w:tcPr>
            <w:tcW w:w="660" w:type="dxa"/>
            <w:vAlign w:val="bottom"/>
          </w:tcPr>
          <w:p>
            <w:pPr>
              <w:spacing w:after="0"/>
              <w:rPr>
                <w:sz w:val="24"/>
                <w:szCs w:val="24"/>
                <w:color w:val="auto"/>
              </w:rPr>
            </w:pPr>
          </w:p>
        </w:tc>
        <w:tc>
          <w:tcPr>
            <w:tcW w:w="7320" w:type="dxa"/>
            <w:vAlign w:val="bottom"/>
          </w:tcPr>
          <w:p>
            <w:pPr>
              <w:ind w:left="4940"/>
              <w:spacing w:after="0"/>
              <w:rPr>
                <w:sz w:val="20"/>
                <w:szCs w:val="20"/>
                <w:color w:val="auto"/>
              </w:rPr>
            </w:pPr>
            <w:r>
              <w:rPr>
                <w:rFonts w:ascii="Times New Roman" w:cs="Times New Roman" w:eastAsia="Times New Roman" w:hAnsi="Times New Roman"/>
                <w:sz w:val="10"/>
                <w:szCs w:val="10"/>
                <w:color w:val="auto"/>
              </w:rPr>
              <w:t>1</w:t>
            </w:r>
          </w:p>
        </w:tc>
        <w:tc>
          <w:tcPr>
            <w:tcW w:w="3320" w:type="dxa"/>
            <w:vAlign w:val="bottom"/>
          </w:tcPr>
          <w:p>
            <w:pPr>
              <w:ind w:left="170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c>
          <w:tcPr>
            <w:tcW w:w="0" w:type="dxa"/>
            <w:vAlign w:val="bottom"/>
          </w:tcPr>
          <w:p>
            <w:pPr>
              <w:spacing w:after="0"/>
              <w:rPr>
                <w:sz w:val="1"/>
                <w:szCs w:val="1"/>
                <w:color w:val="auto"/>
              </w:rPr>
            </w:pPr>
          </w:p>
        </w:tc>
      </w:tr>
      <w:tr>
        <w:trPr>
          <w:trHeight w:val="260"/>
        </w:trPr>
        <w:tc>
          <w:tcPr>
            <w:tcW w:w="660" w:type="dxa"/>
            <w:vAlign w:val="bottom"/>
            <w:tcBorders>
              <w:bottom w:val="single" w:sz="8" w:color="9A9A9A"/>
            </w:tcBorders>
          </w:tcPr>
          <w:p>
            <w:pPr>
              <w:spacing w:after="0"/>
              <w:rPr>
                <w:sz w:val="22"/>
                <w:szCs w:val="22"/>
                <w:color w:val="auto"/>
              </w:rPr>
            </w:pPr>
          </w:p>
        </w:tc>
        <w:tc>
          <w:tcPr>
            <w:tcW w:w="7320" w:type="dxa"/>
            <w:vAlign w:val="bottom"/>
            <w:tcBorders>
              <w:bottom w:val="single" w:sz="8" w:color="9A9A9A"/>
            </w:tcBorders>
          </w:tcPr>
          <w:p>
            <w:pPr>
              <w:spacing w:after="0"/>
              <w:rPr>
                <w:sz w:val="22"/>
                <w:szCs w:val="22"/>
                <w:color w:val="auto"/>
              </w:rPr>
            </w:pPr>
          </w:p>
        </w:tc>
        <w:tc>
          <w:tcPr>
            <w:tcW w:w="33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3"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5"/>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Consolidated Statements of Cash Flows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121</w:t>
            </w:r>
          </w:p>
        </w:tc>
      </w:tr>
      <w:tr>
        <w:trPr>
          <w:trHeight w:val="331"/>
        </w:trPr>
        <w:tc>
          <w:tcPr>
            <w:tcW w:w="840" w:type="dxa"/>
            <w:vAlign w:val="bottom"/>
          </w:tcPr>
          <w:p>
            <w:pPr>
              <w:spacing w:after="0"/>
              <w:rPr>
                <w:sz w:val="24"/>
                <w:szCs w:val="24"/>
                <w:color w:val="auto"/>
              </w:rPr>
            </w:pP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Notes to Consolidated Financial Statements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123</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1—Summary of Significant Accounting Policies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123</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2—Investment Securities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138</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3—Loans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141</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4—Allowance for Credit Losses and Reserve for Unfunded Lending Commitments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151</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5—Variable Interest Entities and Securitizations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154</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6—Goodwill and Other Intangible Assets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158</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7—Premises, Equipment and Leases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161</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8—Deposits and Borrowings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163</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9—Derivative Instruments and Hedging Activities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165</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10—Stockholders’ Equity</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174</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11—Regulatory and Capital Adequacy</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177</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12—Earnings Per Common Share</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179</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13—Stock-Based Compensation Plans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180</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14—Employee Benefit Plans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182</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15—Income Taxes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184</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16—Fair Value Measurement</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188</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17—Business Segments and Revenue from Contracts with Customers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197</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18—Commitments, Contingencies, Guarantees and Others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201</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19—Capital One Financial Corporation (Parent Company Only)</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204</w:t>
            </w:r>
          </w:p>
        </w:tc>
      </w:tr>
      <w:tr>
        <w:trPr>
          <w:trHeight w:val="153"/>
        </w:trPr>
        <w:tc>
          <w:tcPr>
            <w:tcW w:w="840" w:type="dxa"/>
            <w:vAlign w:val="bottom"/>
          </w:tcPr>
          <w:p>
            <w:pPr>
              <w:spacing w:after="0"/>
              <w:rPr>
                <w:sz w:val="13"/>
                <w:szCs w:val="13"/>
                <w:color w:val="auto"/>
              </w:rPr>
            </w:pPr>
          </w:p>
        </w:tc>
        <w:tc>
          <w:tcPr>
            <w:tcW w:w="688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Note 20—Related Party Transactions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206</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9.</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Changes in and Disagreements with Accountants on Accounting and Financial Disclosure</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207</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9A.</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Controls and Procedures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207</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9B.</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Information</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207</w:t>
            </w:r>
          </w:p>
        </w:tc>
      </w:tr>
      <w:tr>
        <w:trPr>
          <w:trHeight w:val="155"/>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9C.</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Disclosure Regarding Foreign Jurisdictions that Prevent Inspections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207</w:t>
            </w:r>
          </w:p>
        </w:tc>
      </w:tr>
      <w:tr>
        <w:trPr>
          <w:trHeight w:val="322"/>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III</w:t>
            </w:r>
          </w:p>
        </w:tc>
        <w:tc>
          <w:tcPr>
            <w:tcW w:w="6880" w:type="dxa"/>
            <w:vAlign w:val="bottom"/>
          </w:tcPr>
          <w:p>
            <w:pPr>
              <w:spacing w:after="0"/>
              <w:rPr>
                <w:sz w:val="24"/>
                <w:szCs w:val="24"/>
                <w:color w:val="auto"/>
              </w:rPr>
            </w:pP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b w:val="1"/>
                <w:bCs w:val="1"/>
                <w:color w:val="auto"/>
                <w:w w:val="99"/>
              </w:rPr>
              <w:t>208</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10.</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Directors, Executive Officers and Corporate Governance</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208</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11.</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Executive Compensation</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208</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12.</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Security Ownership of Certain Beneficial Owners and Management and Related Stockholder Matters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208</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13.</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Certain Relationships and Related Transactions, and Director Independence</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208</w:t>
            </w:r>
          </w:p>
        </w:tc>
      </w:tr>
      <w:tr>
        <w:trPr>
          <w:trHeight w:val="155"/>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14.</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Principal Accountant Fees and Services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208</w:t>
            </w: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IV</w:t>
            </w:r>
          </w:p>
        </w:tc>
        <w:tc>
          <w:tcPr>
            <w:tcW w:w="6880" w:type="dxa"/>
            <w:vAlign w:val="bottom"/>
          </w:tcPr>
          <w:p>
            <w:pPr>
              <w:spacing w:after="0"/>
              <w:rPr>
                <w:sz w:val="24"/>
                <w:szCs w:val="24"/>
                <w:color w:val="auto"/>
              </w:rPr>
            </w:pP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b w:val="1"/>
                <w:bCs w:val="1"/>
                <w:color w:val="auto"/>
                <w:w w:val="99"/>
              </w:rPr>
              <w:t>209</w:t>
            </w: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15.</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Exhibits and Financial Statement Schedules</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209</w:t>
            </w:r>
          </w:p>
        </w:tc>
      </w:tr>
      <w:tr>
        <w:trPr>
          <w:trHeight w:val="155"/>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Item 16.</w:t>
            </w:r>
          </w:p>
        </w:tc>
        <w:tc>
          <w:tcPr>
            <w:tcW w:w="68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Form 10-K Summary</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color w:val="auto"/>
                <w:w w:val="99"/>
              </w:rPr>
              <w:t>209</w:t>
            </w:r>
          </w:p>
        </w:tc>
      </w:tr>
      <w:tr>
        <w:trPr>
          <w:trHeight w:val="327"/>
        </w:trPr>
        <w:tc>
          <w:tcPr>
            <w:tcW w:w="7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INDEX</w:t>
            </w: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b w:val="1"/>
                <w:bCs w:val="1"/>
                <w:color w:val="auto"/>
                <w:w w:val="99"/>
              </w:rPr>
              <w:t>210</w:t>
            </w:r>
          </w:p>
        </w:tc>
      </w:tr>
      <w:tr>
        <w:trPr>
          <w:trHeight w:val="159"/>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SIGNATURES</w:t>
            </w:r>
          </w:p>
        </w:tc>
        <w:tc>
          <w:tcPr>
            <w:tcW w:w="6880" w:type="dxa"/>
            <w:vAlign w:val="bottom"/>
          </w:tcPr>
          <w:p>
            <w:pPr>
              <w:spacing w:after="0"/>
              <w:rPr>
                <w:sz w:val="13"/>
                <w:szCs w:val="13"/>
                <w:color w:val="auto"/>
              </w:rPr>
            </w:pPr>
          </w:p>
        </w:tc>
        <w:tc>
          <w:tcPr>
            <w:tcW w:w="3580" w:type="dxa"/>
            <w:vAlign w:val="bottom"/>
          </w:tcPr>
          <w:p>
            <w:pPr>
              <w:jc w:val="center"/>
              <w:ind w:left="1860"/>
              <w:spacing w:after="0"/>
              <w:rPr>
                <w:sz w:val="20"/>
                <w:szCs w:val="20"/>
                <w:color w:val="auto"/>
              </w:rPr>
            </w:pPr>
            <w:r>
              <w:rPr>
                <w:rFonts w:ascii="Times New Roman" w:cs="Times New Roman" w:eastAsia="Times New Roman" w:hAnsi="Times New Roman"/>
                <w:sz w:val="12"/>
                <w:szCs w:val="12"/>
                <w:b w:val="1"/>
                <w:bCs w:val="1"/>
                <w:color w:val="auto"/>
                <w:w w:val="99"/>
              </w:rPr>
              <w:t>214</w:t>
            </w:r>
          </w:p>
        </w:tc>
      </w:tr>
      <w:tr>
        <w:trPr>
          <w:trHeight w:val="631"/>
        </w:trPr>
        <w:tc>
          <w:tcPr>
            <w:tcW w:w="840" w:type="dxa"/>
            <w:vAlign w:val="bottom"/>
          </w:tcPr>
          <w:p>
            <w:pPr>
              <w:spacing w:after="0"/>
              <w:rPr>
                <w:sz w:val="24"/>
                <w:szCs w:val="24"/>
                <w:color w:val="auto"/>
              </w:rPr>
            </w:pPr>
          </w:p>
        </w:tc>
        <w:tc>
          <w:tcPr>
            <w:tcW w:w="6880" w:type="dxa"/>
            <w:vAlign w:val="bottom"/>
          </w:tcPr>
          <w:p>
            <w:pPr>
              <w:ind w:left="4760"/>
              <w:spacing w:after="0"/>
              <w:rPr>
                <w:sz w:val="20"/>
                <w:szCs w:val="20"/>
                <w:color w:val="auto"/>
              </w:rPr>
            </w:pPr>
            <w:r>
              <w:rPr>
                <w:rFonts w:ascii="Times New Roman" w:cs="Times New Roman" w:eastAsia="Times New Roman" w:hAnsi="Times New Roman"/>
                <w:sz w:val="10"/>
                <w:szCs w:val="10"/>
                <w:color w:val="auto"/>
              </w:rPr>
              <w:t>2</w:t>
            </w:r>
          </w:p>
        </w:tc>
        <w:tc>
          <w:tcPr>
            <w:tcW w:w="3580" w:type="dxa"/>
            <w:vAlign w:val="bottom"/>
          </w:tcPr>
          <w:p>
            <w:pPr>
              <w:jc w:val="center"/>
              <w:ind w:left="188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60"/>
        </w:trPr>
        <w:tc>
          <w:tcPr>
            <w:tcW w:w="840" w:type="dxa"/>
            <w:vAlign w:val="bottom"/>
            <w:tcBorders>
              <w:bottom w:val="single" w:sz="8" w:color="9A9A9A"/>
            </w:tcBorders>
          </w:tcPr>
          <w:p>
            <w:pPr>
              <w:spacing w:after="0"/>
              <w:rPr>
                <w:sz w:val="22"/>
                <w:szCs w:val="22"/>
                <w:color w:val="auto"/>
              </w:rPr>
            </w:pPr>
          </w:p>
        </w:tc>
        <w:tc>
          <w:tcPr>
            <w:tcW w:w="6880" w:type="dxa"/>
            <w:vAlign w:val="bottom"/>
            <w:tcBorders>
              <w:bottom w:val="single" w:sz="8" w:color="9A9A9A"/>
            </w:tcBorders>
          </w:tcPr>
          <w:p>
            <w:pPr>
              <w:spacing w:after="0"/>
              <w:rPr>
                <w:sz w:val="22"/>
                <w:szCs w:val="22"/>
                <w:color w:val="auto"/>
              </w:rPr>
            </w:pPr>
          </w:p>
        </w:tc>
        <w:tc>
          <w:tcPr>
            <w:tcW w:w="35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44"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9"/>
        </w:trPr>
        <w:tc>
          <w:tcPr>
            <w:tcW w:w="1060" w:type="dxa"/>
            <w:vAlign w:val="bottom"/>
          </w:tcPr>
          <w:p>
            <w:pPr>
              <w:spacing w:after="0"/>
              <w:rPr>
                <w:sz w:val="13"/>
                <w:szCs w:val="13"/>
                <w:color w:val="auto"/>
              </w:rPr>
            </w:pPr>
          </w:p>
        </w:tc>
        <w:tc>
          <w:tcPr>
            <w:tcW w:w="7300" w:type="dxa"/>
            <w:vAlign w:val="bottom"/>
          </w:tcPr>
          <w:p>
            <w:pPr>
              <w:ind w:left="3180"/>
              <w:spacing w:after="0"/>
              <w:rPr>
                <w:sz w:val="20"/>
                <w:szCs w:val="20"/>
                <w:color w:val="auto"/>
              </w:rPr>
            </w:pPr>
            <w:r>
              <w:rPr>
                <w:rFonts w:ascii="Times New Roman" w:cs="Times New Roman" w:eastAsia="Times New Roman" w:hAnsi="Times New Roman"/>
                <w:sz w:val="12"/>
                <w:szCs w:val="12"/>
                <w:b w:val="1"/>
                <w:bCs w:val="1"/>
                <w:color w:val="auto"/>
              </w:rPr>
              <w:t>INDEX OF MD&amp;A AND SUPPLEMENTAL TABLES</w:t>
            </w:r>
          </w:p>
        </w:tc>
        <w:tc>
          <w:tcPr>
            <w:tcW w:w="2940" w:type="dxa"/>
            <w:vAlign w:val="bottom"/>
          </w:tcPr>
          <w:p>
            <w:pPr>
              <w:spacing w:after="0"/>
              <w:rPr>
                <w:sz w:val="13"/>
                <w:szCs w:val="13"/>
                <w:color w:val="auto"/>
              </w:rPr>
            </w:pPr>
          </w:p>
        </w:tc>
      </w:tr>
      <w:tr>
        <w:trPr>
          <w:trHeight w:val="277"/>
        </w:trPr>
        <w:tc>
          <w:tcPr>
            <w:tcW w:w="106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MD&amp;A Tables:</w:t>
            </w:r>
          </w:p>
        </w:tc>
        <w:tc>
          <w:tcPr>
            <w:tcW w:w="7300" w:type="dxa"/>
            <w:vAlign w:val="bottom"/>
          </w:tcPr>
          <w:p>
            <w:pPr>
              <w:spacing w:after="0"/>
              <w:rPr>
                <w:sz w:val="24"/>
                <w:szCs w:val="24"/>
                <w:color w:val="auto"/>
              </w:rPr>
            </w:pPr>
          </w:p>
        </w:tc>
        <w:tc>
          <w:tcPr>
            <w:tcW w:w="2940" w:type="dxa"/>
            <w:vAlign w:val="bottom"/>
          </w:tcPr>
          <w:p>
            <w:pPr>
              <w:ind w:left="228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1</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Average Balances, Net Interest Income and Net Interest Margin</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50</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2</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Rate/Volume Analysis of Net Interest Income</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51</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3</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Non-Interest Income</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52</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4</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Non-Interest Expense</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53</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5</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Loans Held for Investment</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54</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6</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Funding Sources Composition</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54</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7</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Business Segment Results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57</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8</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Credit Card Business Results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57</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3"/>
              </w:rPr>
              <w:t>8.1</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Domestic Card Business Results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59</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99"/>
              </w:rPr>
              <w:t>9</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Consumer Banking Business Results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60</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10</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Commercial Banking Business Results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62</w:t>
            </w:r>
          </w:p>
        </w:tc>
      </w:tr>
      <w:tr>
        <w:trPr>
          <w:trHeight w:val="153"/>
        </w:trPr>
        <w:tc>
          <w:tcPr>
            <w:tcW w:w="1060" w:type="dxa"/>
            <w:vAlign w:val="bottom"/>
          </w:tcPr>
          <w:p>
            <w:pPr>
              <w:jc w:val="center"/>
              <w:ind w:left="180"/>
              <w:spacing w:after="0"/>
              <w:rPr>
                <w:sz w:val="20"/>
                <w:szCs w:val="20"/>
                <w:color w:val="auto"/>
              </w:rPr>
            </w:pPr>
            <w:r>
              <w:rPr>
                <w:rFonts w:ascii="Times New Roman" w:cs="Times New Roman" w:eastAsia="Times New Roman" w:hAnsi="Times New Roman"/>
                <w:sz w:val="12"/>
                <w:szCs w:val="12"/>
                <w:color w:val="auto"/>
                <w:w w:val="82"/>
              </w:rPr>
              <w:t>11</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Category Results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64</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12</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Capital Ratios Under Basel III</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72</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13</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Regulatory Risk-Based Capital Components and Regulatory Capital Metrics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73</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14</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 Dividends Paid Per Share</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74</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15</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Portfolio Composition of Loans Held for Investment</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82</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16</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Loan Maturity Schedule</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82</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17</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Credit Card Portfolio by Geographic Region</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83</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18</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Consumer Banking Portfolio by Geographic Region</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83</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19</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Commercial Real Estate Portfolio by Region</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84</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20</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Commercial Loans by Industry</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85</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21</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Credit Score Distribution</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85</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22</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30+ Day Delinquencies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86</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23</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Aging and Geography of 30+ Day Delinquent Loans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87</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24</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90+ Day Delinquent Loans Accruing Interest</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87</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25</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Nonperforming Loans and Other Nonperforming Assets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88</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26</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Charge-Offs (Recoveries)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89</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27</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Troubled Debt Restructurings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89</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28</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Allowance for Credit Losses and Reserve for Unfunded Lending Commitments Activity</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91</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29</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Allowance Coverage Ratios for Specified Loan Category</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92</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30</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Liquidity Reserves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92</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31</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Deposits Composition and Average Deposits Interest Rates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94</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32</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Amount of Time Deposits in Excess of $250,000 by Contractual Maturity</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95</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33</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Long-Term Debt Funding Activities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95</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34</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Senior Unsecured Long-Term Debt Credit Ratings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96</w:t>
            </w:r>
          </w:p>
        </w:tc>
      </w:tr>
      <w:tr>
        <w:trPr>
          <w:trHeight w:val="153"/>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35</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Rate Sensitivity Analysis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98</w:t>
            </w:r>
          </w:p>
        </w:tc>
      </w:tr>
      <w:tr>
        <w:trPr>
          <w:trHeight w:val="155"/>
        </w:trPr>
        <w:tc>
          <w:tcPr>
            <w:tcW w:w="1060" w:type="dxa"/>
            <w:vAlign w:val="bottom"/>
          </w:tcPr>
          <w:p>
            <w:pPr>
              <w:jc w:val="center"/>
              <w:ind w:left="160"/>
              <w:spacing w:after="0"/>
              <w:rPr>
                <w:sz w:val="20"/>
                <w:szCs w:val="20"/>
                <w:color w:val="auto"/>
              </w:rPr>
            </w:pPr>
            <w:r>
              <w:rPr>
                <w:rFonts w:ascii="Times New Roman" w:cs="Times New Roman" w:eastAsia="Times New Roman" w:hAnsi="Times New Roman"/>
                <w:sz w:val="12"/>
                <w:szCs w:val="12"/>
                <w:color w:val="auto"/>
                <w:w w:val="99"/>
              </w:rPr>
              <w:t>36</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LIBOR Exposures on Derivatives and Commercial Loans</w:t>
            </w:r>
          </w:p>
        </w:tc>
        <w:tc>
          <w:tcPr>
            <w:tcW w:w="2940" w:type="dxa"/>
            <w:vAlign w:val="bottom"/>
          </w:tcPr>
          <w:p>
            <w:pPr>
              <w:jc w:val="center"/>
              <w:ind w:left="1800"/>
              <w:spacing w:after="0"/>
              <w:rPr>
                <w:sz w:val="20"/>
                <w:szCs w:val="20"/>
                <w:color w:val="auto"/>
              </w:rPr>
            </w:pPr>
            <w:r>
              <w:rPr>
                <w:rFonts w:ascii="Times New Roman" w:cs="Times New Roman" w:eastAsia="Times New Roman" w:hAnsi="Times New Roman"/>
                <w:sz w:val="12"/>
                <w:szCs w:val="12"/>
                <w:color w:val="auto"/>
                <w:w w:val="99"/>
              </w:rPr>
              <w:t>99</w:t>
            </w:r>
          </w:p>
        </w:tc>
      </w:tr>
      <w:tr>
        <w:trPr>
          <w:trHeight w:val="295"/>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Supplemental Tables:</w:t>
            </w:r>
          </w:p>
        </w:tc>
        <w:tc>
          <w:tcPr>
            <w:tcW w:w="2940" w:type="dxa"/>
            <w:vAlign w:val="bottom"/>
          </w:tcPr>
          <w:p>
            <w:pPr>
              <w:spacing w:after="0"/>
              <w:rPr>
                <w:sz w:val="24"/>
                <w:szCs w:val="24"/>
                <w:color w:val="auto"/>
              </w:rPr>
            </w:pPr>
          </w:p>
        </w:tc>
      </w:tr>
      <w:tr>
        <w:trPr>
          <w:trHeight w:val="153"/>
        </w:trPr>
        <w:tc>
          <w:tcPr>
            <w:tcW w:w="10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A</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Charge-Offs</w:t>
            </w:r>
          </w:p>
        </w:tc>
        <w:tc>
          <w:tcPr>
            <w:tcW w:w="2940" w:type="dxa"/>
            <w:vAlign w:val="bottom"/>
          </w:tcPr>
          <w:p>
            <w:pPr>
              <w:jc w:val="center"/>
              <w:ind w:left="1820"/>
              <w:spacing w:after="0"/>
              <w:rPr>
                <w:sz w:val="20"/>
                <w:szCs w:val="20"/>
                <w:color w:val="auto"/>
              </w:rPr>
            </w:pPr>
            <w:r>
              <w:rPr>
                <w:rFonts w:ascii="Times New Roman" w:cs="Times New Roman" w:eastAsia="Times New Roman" w:hAnsi="Times New Roman"/>
                <w:sz w:val="12"/>
                <w:szCs w:val="12"/>
                <w:color w:val="auto"/>
                <w:w w:val="99"/>
              </w:rPr>
              <w:t>102</w:t>
            </w:r>
          </w:p>
        </w:tc>
      </w:tr>
      <w:tr>
        <w:trPr>
          <w:trHeight w:val="155"/>
        </w:trPr>
        <w:tc>
          <w:tcPr>
            <w:tcW w:w="106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B</w:t>
            </w:r>
          </w:p>
        </w:tc>
        <w:tc>
          <w:tcPr>
            <w:tcW w:w="7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Reconciliation of Non-GAAP Measures</w:t>
            </w:r>
          </w:p>
        </w:tc>
        <w:tc>
          <w:tcPr>
            <w:tcW w:w="2940" w:type="dxa"/>
            <w:vAlign w:val="bottom"/>
          </w:tcPr>
          <w:p>
            <w:pPr>
              <w:jc w:val="center"/>
              <w:ind w:left="1820"/>
              <w:spacing w:after="0"/>
              <w:rPr>
                <w:sz w:val="20"/>
                <w:szCs w:val="20"/>
                <w:color w:val="auto"/>
              </w:rPr>
            </w:pPr>
            <w:r>
              <w:rPr>
                <w:rFonts w:ascii="Times New Roman" w:cs="Times New Roman" w:eastAsia="Times New Roman" w:hAnsi="Times New Roman"/>
                <w:sz w:val="12"/>
                <w:szCs w:val="12"/>
                <w:color w:val="auto"/>
                <w:w w:val="99"/>
              </w:rPr>
              <w:t>102</w:t>
            </w:r>
          </w:p>
        </w:tc>
      </w:tr>
      <w:tr>
        <w:trPr>
          <w:trHeight w:val="631"/>
        </w:trPr>
        <w:tc>
          <w:tcPr>
            <w:tcW w:w="1060" w:type="dxa"/>
            <w:vAlign w:val="bottom"/>
          </w:tcPr>
          <w:p>
            <w:pPr>
              <w:spacing w:after="0"/>
              <w:rPr>
                <w:sz w:val="24"/>
                <w:szCs w:val="24"/>
                <w:color w:val="auto"/>
              </w:rPr>
            </w:pPr>
          </w:p>
        </w:tc>
        <w:tc>
          <w:tcPr>
            <w:tcW w:w="7300" w:type="dxa"/>
            <w:vAlign w:val="bottom"/>
          </w:tcPr>
          <w:p>
            <w:pPr>
              <w:ind w:left="4540"/>
              <w:spacing w:after="0"/>
              <w:rPr>
                <w:sz w:val="20"/>
                <w:szCs w:val="20"/>
                <w:color w:val="auto"/>
              </w:rPr>
            </w:pPr>
            <w:r>
              <w:rPr>
                <w:rFonts w:ascii="Times New Roman" w:cs="Times New Roman" w:eastAsia="Times New Roman" w:hAnsi="Times New Roman"/>
                <w:sz w:val="10"/>
                <w:szCs w:val="10"/>
                <w:color w:val="auto"/>
              </w:rPr>
              <w:t>3</w:t>
            </w:r>
          </w:p>
        </w:tc>
        <w:tc>
          <w:tcPr>
            <w:tcW w:w="2940" w:type="dxa"/>
            <w:vAlign w:val="bottom"/>
          </w:tcPr>
          <w:p>
            <w:pPr>
              <w:ind w:left="132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60"/>
        </w:trPr>
        <w:tc>
          <w:tcPr>
            <w:tcW w:w="1060" w:type="dxa"/>
            <w:vAlign w:val="bottom"/>
            <w:tcBorders>
              <w:bottom w:val="single" w:sz="8" w:color="9A9A9A"/>
            </w:tcBorders>
          </w:tcPr>
          <w:p>
            <w:pPr>
              <w:spacing w:after="0"/>
              <w:rPr>
                <w:sz w:val="22"/>
                <w:szCs w:val="22"/>
                <w:color w:val="auto"/>
              </w:rPr>
            </w:pPr>
          </w:p>
        </w:tc>
        <w:tc>
          <w:tcPr>
            <w:tcW w:w="7300" w:type="dxa"/>
            <w:vAlign w:val="bottom"/>
            <w:tcBorders>
              <w:bottom w:val="single" w:sz="8" w:color="9A9A9A"/>
            </w:tcBorders>
          </w:tcPr>
          <w:p>
            <w:pPr>
              <w:spacing w:after="0"/>
              <w:rPr>
                <w:sz w:val="22"/>
                <w:szCs w:val="22"/>
                <w:color w:val="auto"/>
              </w:rPr>
            </w:pPr>
          </w:p>
        </w:tc>
        <w:tc>
          <w:tcPr>
            <w:tcW w:w="29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3"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Capital One Financial Corporation, a Delaware corporation established in 1994 and headquartered in McLean, Virginia, is a diversified financial services holding company with banking and non-banking subsidiaries. Capital One Financial Corporation and its subsidiaries (the “Company” or “Capital One”) offer a broad array of financial products and services to consumers, small businesses and commercial clients through digital channels, branch locations, cafés and other distribution channels.</w:t>
      </w:r>
    </w:p>
    <w:p>
      <w:pPr>
        <w:spacing w:after="0" w:line="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As of December 31, 2022, Capital One Financial Corporation’s principal operating subsidiary was Capital One, National Association (“CONA”). On October 1, 2022, the Company completed the merger of Capital One Bank (USA), National Association (“COBNA”), with and into CONA, with CONA as the surviving entity (the “Bank Merger”). The Company is hereafter collectively referred to as “we,” “us” or “our.” References to the “Bank” shall mean and refer to (i) CONA from and after the Bank Merger and (ii) CONA and COBNA collectively prior to the Bank Merger.</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References to “this Report” or our “2022 Form 10-K” or “2022 Annual Report” are to our Annual Report on Form 10-K for the fiscal year ended December 31, 2022. All references to 2022, 2021 and 2020, refer to our fiscal years ended, or the dates, as the context requires, December 31, 2022, December 31, 2021 and December 31, 2020, respectively. Certain business terms used in this document are defined in the “MD&amp;A—Glossary and Acronyms” and should be read in conjunction with the Consolidated Financial Statements included in this Report.</w:t>
      </w:r>
    </w:p>
    <w:p>
      <w:pPr>
        <w:spacing w:after="0" w:line="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We were the third largest issuer of Visa</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(“Visa”) and MasterCard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(“MasterCard”) credit cards in the U.S. based on the outstanding balance of credit card loans as of December 31, 2022. In addition to credit cards, we also offer debit cards, bank lending, treasury management and depository services, auto loans and other consumer lending products in markets across the U.S. As one of the nation’s largest banks based on deposits as of December 31, 2022, we service banking customer accounts through digital channels and our network of branch locations, cafés, call centers and automated teller machines (“ATMs”).</w:t>
      </w:r>
    </w:p>
    <w:p>
      <w:pPr>
        <w:spacing w:after="0" w:line="9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also offer products and services outside of the U.S. principally through Capital One (Europe) plc (“COEP”), an indirect subsidiary of CONA organized and located in the United Kingdom (“U.K.”), and through a branch of CONA in Canada. Both COEP and our Canadian branch of CONA have the authority to provide credit card loans.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Developments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regularly explore and evaluate opportunities to acquire financial products and services as well as financial assets, including credit card and other loan portfolios, and enter into strategic partnerships as part of our growth strategy. We also explore opportunities to acquire technology companies and related assets to improve our information technology infrastructure and to deliver on our digital strategy. We may issue equity or debt to fund our acquisitions. In addition, we regularly consider the potential disposition of certain of our assets, branches, partnership agreements or lines of business.</w:t>
      </w:r>
    </w:p>
    <w:p>
      <w:pPr>
        <w:spacing w:after="0" w:line="200" w:lineRule="exact"/>
        <w:rPr>
          <w:sz w:val="20"/>
          <w:szCs w:val="20"/>
          <w:color w:val="auto"/>
        </w:rPr>
      </w:pPr>
    </w:p>
    <w:p>
      <w:pPr>
        <w:spacing w:after="0" w:line="347" w:lineRule="exact"/>
        <w:rPr>
          <w:sz w:val="20"/>
          <w:szCs w:val="20"/>
          <w:color w:val="auto"/>
        </w:rPr>
      </w:pPr>
    </w:p>
    <w:p>
      <w:pPr>
        <w:ind w:left="5600"/>
        <w:spacing w:after="0"/>
        <w:tabs>
          <w:tab w:leader="none" w:pos="9660" w:val="left"/>
        </w:tabs>
        <w:rPr>
          <w:sz w:val="20"/>
          <w:szCs w:val="20"/>
          <w:color w:val="auto"/>
        </w:rPr>
      </w:pPr>
      <w:r>
        <w:rPr>
          <w:rFonts w:ascii="Times New Roman" w:cs="Times New Roman" w:eastAsia="Times New Roman" w:hAnsi="Times New Roman"/>
          <w:sz w:val="8"/>
          <w:szCs w:val="8"/>
          <w:color w:val="auto"/>
        </w:rPr>
        <w:t>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Our common stock trades on the New York Stock Exchange (“NYSE”) under the symbol “COF” and is included in the Standard &amp; Poor’s (“S&amp;P”) 100 Index. We maintain a website at www.capitalone.com. Documents available under “Governance &amp; Leadership” in the Investor Relations section of our website include:</w:t>
      </w:r>
    </w:p>
    <w:p>
      <w:pPr>
        <w:spacing w:after="0" w:line="75" w:lineRule="exact"/>
        <w:rPr>
          <w:sz w:val="20"/>
          <w:szCs w:val="20"/>
          <w:color w:val="auto"/>
        </w:rPr>
      </w:pPr>
    </w:p>
    <w:p>
      <w:pPr>
        <w:ind w:left="320" w:hanging="220"/>
        <w:spacing w:after="0"/>
        <w:tabs>
          <w:tab w:leader="none" w:pos="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Certificate of Incorporation, Bylaws, Corporate Governance Guidelines, and Code of Conduct; and</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charters for the Audit, Compensation, Governance and Nominating, and Risk Committees of the Board of Directors.</w:t>
      </w:r>
    </w:p>
    <w:p>
      <w:pPr>
        <w:spacing w:after="0" w:line="11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These documents also are available in print to any stockholder who requests a copy. We intend to disclose any future amendments to, or waivers from, our Code of Conduct on the website following the date of any such amendment or waiver.</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addition, we make available free of charge through our website all of our U.S. Securities and Exchange Commission (“SEC”) filings, including our Annual Reports on Form 10-K, Quarterly Reports on Form 10-Q, Current Reports on Form 8-K and amendments to those reports, as soon as reasonably practicable after electronically filing or furnishing such material to the SEC at www.sec.gov.</w:t>
      </w:r>
    </w:p>
    <w:p>
      <w:pPr>
        <w:spacing w:after="0" w:line="200" w:lineRule="exact"/>
        <w:rPr>
          <w:sz w:val="20"/>
          <w:szCs w:val="20"/>
          <w:color w:val="auto"/>
        </w:rPr>
      </w:pPr>
    </w:p>
    <w:p>
      <w:pPr>
        <w:spacing w:after="0" w:line="259" w:lineRule="exact"/>
        <w:rPr>
          <w:sz w:val="20"/>
          <w:szCs w:val="20"/>
          <w:color w:val="auto"/>
        </w:rPr>
      </w:pPr>
    </w:p>
    <w:p>
      <w:pPr>
        <w:ind w:left="5600"/>
        <w:spacing w:after="0"/>
        <w:tabs>
          <w:tab w:leader="none" w:pos="9660" w:val="left"/>
        </w:tabs>
        <w:rPr>
          <w:sz w:val="20"/>
          <w:szCs w:val="20"/>
          <w:color w:val="auto"/>
        </w:rPr>
      </w:pPr>
      <w:r>
        <w:rPr>
          <w:rFonts w:ascii="Times New Roman" w:cs="Times New Roman" w:eastAsia="Times New Roman" w:hAnsi="Times New Roman"/>
          <w:sz w:val="8"/>
          <w:szCs w:val="8"/>
          <w:color w:val="auto"/>
        </w:rPr>
        <w:t>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6661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OPERATIONS AND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6661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consolidated total net revenues are derived primarily from lending to consumer and commercial customers net of funding costs associated with our deposits, long-term debt and other borrowings. We also earn non-interest income which primarily consists of interchange income, net of reward expenses, service charges and other customer-related fees. Our expenses primarily consist of the provision for credit losses, operating expenses, marketing expenses and income taxes.</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principal operations are organized for management reporting purposes into three major business segments, which are defined primarily based on the products and services provided or the types of customers served: Credit Card, Consumer Banking and Commercial Banking. The operations of acquired businesses have been integrated into or managed as a part of our existing business segments. Certain activities that are not part of a segment, such as management of our corporate investment portfolio and asset/liability management by our centralized Corporate Treasury group, are included in the Other category. The Other category also includes unallocated corporate expenses that do not directly support the operations of the business segments or for which the business segments are not considered financially accountable in evaluating their performance, such as certain restructuring charges, as well as residual tax expense or benefit to arrive at the consolidated effective tax rate that is not assessed to our primary business segments.</w:t>
      </w:r>
    </w:p>
    <w:p>
      <w:pPr>
        <w:spacing w:after="0" w:line="87" w:lineRule="exact"/>
        <w:rPr>
          <w:sz w:val="20"/>
          <w:szCs w:val="20"/>
          <w:color w:val="auto"/>
        </w:rPr>
      </w:pPr>
    </w:p>
    <w:p>
      <w:pPr>
        <w:ind w:left="320" w:hanging="220"/>
        <w:spacing w:after="0"/>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Credit Card: </w:t>
      </w:r>
      <w:r>
        <w:rPr>
          <w:rFonts w:ascii="Times New Roman" w:cs="Times New Roman" w:eastAsia="Times New Roman" w:hAnsi="Times New Roman"/>
          <w:sz w:val="12"/>
          <w:szCs w:val="12"/>
          <w:color w:val="auto"/>
        </w:rPr>
        <w:t>Consists of our domestic consumer and small business card lending, and international card businesses in the United Kingdom and Canada.</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Consumer Banking: </w:t>
      </w:r>
      <w:r>
        <w:rPr>
          <w:rFonts w:ascii="Times New Roman" w:cs="Times New Roman" w:eastAsia="Times New Roman" w:hAnsi="Times New Roman"/>
          <w:sz w:val="12"/>
          <w:szCs w:val="12"/>
          <w:color w:val="auto"/>
        </w:rPr>
        <w:t>Consists of our deposit gathering and lending activities for consumers and small businesses, and national auto lending.</w:t>
      </w:r>
    </w:p>
    <w:p>
      <w:pPr>
        <w:spacing w:after="0" w:line="114" w:lineRule="exact"/>
        <w:rPr>
          <w:rFonts w:ascii="Times New Roman" w:cs="Times New Roman" w:eastAsia="Times New Roman" w:hAnsi="Times New Roman"/>
          <w:sz w:val="12"/>
          <w:szCs w:val="12"/>
          <w:color w:val="auto"/>
        </w:rPr>
      </w:pPr>
    </w:p>
    <w:p>
      <w:pPr>
        <w:ind w:left="320" w:hanging="220"/>
        <w:spacing w:after="0" w:line="283" w:lineRule="auto"/>
        <w:tabs>
          <w:tab w:leader="none" w:pos="3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Commercial Banking: </w:t>
      </w:r>
      <w:r>
        <w:rPr>
          <w:rFonts w:ascii="Times New Roman" w:cs="Times New Roman" w:eastAsia="Times New Roman" w:hAnsi="Times New Roman"/>
          <w:sz w:val="12"/>
          <w:szCs w:val="12"/>
          <w:color w:val="auto"/>
        </w:rPr>
        <w:t>Consists of our lending, deposit gathering, capital markets and treasury management services to commercial real estate and commercial and industrial customers. Our customers typically include companies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annual revenues between $20 million and $2 billion.</w:t>
      </w:r>
    </w:p>
    <w:p>
      <w:pPr>
        <w:spacing w:after="0" w:line="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Customer usage and payment patterns, estimates of future expected credit losses, levels of marketing expense and operating efficiency all affect our profitability. In our Credit Card business, we generally experience fluctuations in purchase volume and the level of outstanding loan receivables from seasonal variances in consumer spending and payment patterns which, for example, have historically been the highest around the winter holiday season. Net charge-off rates for our credit card loan portfolio also have historically exhibited seasonal patterns as well and generally tend to be the highest in the first quarter of the year.</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additional information on our business segments, including the financial performance of each business, see “Part II—Item 7. Management’s Discussion and Analysis of Financial Condition and Results of Operations (“MD&amp;A”)— Executive Summary,” “Part II—Item 7. MD&amp;A—Business Segment Financial Performance” and “Part II—Item 8. Financial Statements and Supplementary Data—Note 17—Business Segments and Revenue from Contracts with Customers” of this Report.</w:t>
      </w:r>
    </w:p>
    <w:p>
      <w:pPr>
        <w:spacing w:after="0" w:line="200" w:lineRule="exact"/>
        <w:rPr>
          <w:sz w:val="20"/>
          <w:szCs w:val="20"/>
          <w:color w:val="auto"/>
        </w:rPr>
      </w:pPr>
    </w:p>
    <w:p>
      <w:pPr>
        <w:spacing w:after="0" w:line="338" w:lineRule="exact"/>
        <w:rPr>
          <w:sz w:val="20"/>
          <w:szCs w:val="20"/>
          <w:color w:val="auto"/>
        </w:rPr>
      </w:pPr>
    </w:p>
    <w:p>
      <w:pPr>
        <w:ind w:left="5600"/>
        <w:spacing w:after="0"/>
        <w:tabs>
          <w:tab w:leader="none" w:pos="9660" w:val="left"/>
        </w:tabs>
        <w:rPr>
          <w:sz w:val="20"/>
          <w:szCs w:val="20"/>
          <w:color w:val="auto"/>
        </w:rPr>
      </w:pPr>
      <w:r>
        <w:rPr>
          <w:rFonts w:ascii="Times New Roman" w:cs="Times New Roman" w:eastAsia="Times New Roman" w:hAnsi="Times New Roman"/>
          <w:sz w:val="8"/>
          <w:szCs w:val="8"/>
          <w:color w:val="auto"/>
        </w:rPr>
        <w:t>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6661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6661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of our business segments operates in a highly competitive environment, and we face competition in all aspects of our business from numerous bank and non-bank providers of financial services.</w:t>
      </w:r>
    </w:p>
    <w:p>
      <w:pPr>
        <w:spacing w:after="0" w:line="1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Our Credit Card business competes with international, national, regional and local issuers of Visa and MasterCard credit cards, as well as with American Express</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Discover Card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private-label card brands, and, to a certain extent, issuers of debit cards. In general, customers are attracted to credit card issuers largely on the basis of price, credit limit, reward programs, customer experience and other product features.</w:t>
      </w:r>
    </w:p>
    <w:p>
      <w:pPr>
        <w:spacing w:after="0" w:line="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Consumer Banking and Commercial Banking businesses compete with national, state and direct banks for deposits, commercial and auto loans, as well as with savings and loan associations and credit unions for loans and deposits. Our competitors also include automotive finance companies, commercial mortgage banking companies and other financial services providers that provide loans, deposits, and other similar services and products. In addition, we compete against non-depository institutions that are able to offer these products and services.</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also consider new and emerging companies in digital and mobile payments and other financial technology providers among our competitors. We compete with many forms of payment mechanisms, systems and products, offered by both bank and non-bank providers.</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businesses generally compete on the basis of the quality and range of their products and services, transaction execution, innovation and price. Competition varies based on the types of clients, customers, industries and geographies served. Our ability to compete depends, in part, on our ability to attract and retain our associates and on our reputation as well as our ability to keep pace with innovation, in particular in the development of new technology platforms. There can be no assurance, however, that our ability to market products and services successfully or to obtain adequate returns on our products and services will not be impacted by the nature of the competition that now exists or may later develop, or by the broader economic environment. For a discussion of the risks related to our competitive environment, see “Part I—Item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SUPERVISION AND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regulatory framework applicable to banking organizations is intended primarily for the protection of depositors and the stability of the U.S. financial system, rather than for the protection of stockholders and creditors.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a banking organization, we are subject to extensive regulation and supervision. In addition to banking laws and regulations, we are subject to various other laws and regulations, all of which directly or indirectly affect our operations, management and ability to make distributions to stockholders. We and our subsidiaries are also subject to supervision and examination by multiple regulators. In addition to laws and regulations, state and federal bank regulatory agencies may issue policy statements, interpretive letters and similar written guidance applicable to us and our subsidiaries. Any change in the statutes, regulations or regulatory policies applicable to us, including changes in their interpretation or implementation, could have a material effect on our business or organization.</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Both the scope of the laws and regulations and the intensity of the supervision to which we are subject have increased, initially in response to the 2007-2008 financial crisis, and more recently in light of other factors such as technological, political and market changes. Regulatory enforcement and fines have also increased across the banking and financial services sector.</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descriptions below summarize certain significant federal and state laws, as well as international laws, to which we are subject. The descriptions are qualified in their entirety by reference to the particular statutory or regulatory provisions summarized. They do not summarize all possible or proposed changes in current laws or regulations and are not intended to be a substitute for the related statutes or regulatory provisions.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Banking Regulation</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Capital One Financial Corporation is a bank holding company (“BHC”) and a financial holding company (“FHC”) under the Bank Holding Company Act of 1956, as amended (“BHC Act”), and is subject to the requirements of the BHC Act, including approval requirements for investments in or acquisitions of banking organizations, capital adequacy standards and limitations</w:t>
      </w:r>
    </w:p>
    <w:p>
      <w:pPr>
        <w:spacing w:after="0" w:line="200" w:lineRule="exact"/>
        <w:rPr>
          <w:sz w:val="20"/>
          <w:szCs w:val="20"/>
          <w:color w:val="auto"/>
        </w:rPr>
      </w:pPr>
    </w:p>
    <w:p>
      <w:pPr>
        <w:spacing w:after="0" w:line="340" w:lineRule="exact"/>
        <w:rPr>
          <w:sz w:val="20"/>
          <w:szCs w:val="20"/>
          <w:color w:val="auto"/>
        </w:rPr>
      </w:pPr>
    </w:p>
    <w:p>
      <w:pPr>
        <w:ind w:left="5600"/>
        <w:spacing w:after="0"/>
        <w:tabs>
          <w:tab w:leader="none" w:pos="9660" w:val="left"/>
        </w:tabs>
        <w:rPr>
          <w:sz w:val="20"/>
          <w:szCs w:val="20"/>
          <w:color w:val="auto"/>
        </w:rPr>
      </w:pPr>
      <w:r>
        <w:rPr>
          <w:rFonts w:ascii="Times New Roman" w:cs="Times New Roman" w:eastAsia="Times New Roman" w:hAnsi="Times New Roman"/>
          <w:sz w:val="8"/>
          <w:szCs w:val="8"/>
          <w:color w:val="auto"/>
        </w:rPr>
        <w:t>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non-banking activities. As a BHC and FHC, we are subject to supervision, examination and regulation by the Board of Governors of the Federal Reserve System (“Federal Reserve”). Permissible activities for a BHC include those activities that are so closely related to banking as to be a proper incident thereto. In addition, an FHC is permitted to engage in activities considered to be financial in nature (including, for example, securities underwriting and dealing and merchant banking activities), incidental to financial activities or, if the Federal Reserve determines that they pose no risk to the safety or soundness of depository institutions or the financial system in general, activities complementary to financial activities.</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To become and remain eligible for FHC status, a BHC and its subsidiary depository institutions must meet certain criteria, including capital, management and Community Reinvestment Act (“CRA”) requirements. Failure to meet such criteria could result, depending on which requirements were not met, in restrictions on new financial activities or acquisitions or being required to discontinue existing activities that are not generally permissible for BHCs.</w:t>
      </w:r>
    </w:p>
    <w:p>
      <w:pPr>
        <w:spacing w:after="0" w:line="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Bank is a national association chartered under the National Bank Act, the deposits of which are insured by the Federal Deposit Insurance Corporation (“FDIC”) up to applicable limits. The Bank is subject to comprehensive regulation and periodic examination by the Office of the Comptroller of the Currency (“OCC”), the FDIC and the Consumer Financial Protection Bureau (“CFPB”).</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also are registered as a financial institution holding company under the laws of the Commonwealth of Virginia and, as such, we are subject to periodic examination by the Virginia Bureau of Financial Institutions. We also face regulation in the international jurisdictions in which we conduct business. See “Regulation of Businesses by Authorities Outside the United States” below for additional details.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 of Business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business activities of the Company and the Bank are also subject to regulation and supervision under various laws and regulations.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Regulations of Consumer Lending Activities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activities of the Bank as a consumer lender are subject to regulation under various federal laws, including, for example, the Truth in Lending Act (“TILA”), the Equal Credit Opportunity Act, the Fair Credit Reporting Act, the CRA, the Servicemembers Civil Relief Act and the Military Lending Act, as well as under various state laws. TILA, as amended, and together with its implementing rule, Regulation Z, imposes a number of restrictions on credit card practices impacting rates and fees, requires that a consumer’s ability to pay be taken into account before issuing credit or increasing credit limits, and imposes revised disclosures required for open-end credit.</w:t>
      </w:r>
    </w:p>
    <w:p>
      <w:pPr>
        <w:spacing w:after="0" w:line="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CFPB recently proposed a rule to amend Regulation Z (the “Proposed CFPB Rule”) to lower the safe harbor amount for past due fees that a credit card issuer can charge on consumer credit card accounts below the amounts that are currently permitted, among other changes that could impact the amount of a past due fee that can be charged.</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Depending on the underlying issue and applicable law, regulators may be authorized to impose penalties for violations of these statutes and, in certain cases, to order banks to compensate customers. Borrowers may also have a private right of action for certain violations. Federal bankruptcy and state debtor relief and collection laws may also affect the ability of a bank, including the Bank, to collect outstanding balances owed by borrowers.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Debit Card Interchange Fees and Transaction Processing</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Bank is subject to the Federal Reserve’s Regulation II, which limits the amount of interchange fees that can be charged per debit card transaction for debit card issuers with over $10 billion in assets and places certain prohibitions on payment routing restrictions and network exclusivity.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Privacy, Data Protection and Data Security</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are subject to a variety of continuously evolving and developing laws and regulations regarding privacy, data protection and data security, including those related to the collection, storage, handling, use, disclosure, transfer, security and other processing of personal information. These areas have seen a considerable increase in legislative and regulatory activity over the past several years. At the federal level, we are subject to the Gramm-Leach-Bliley Act (“GLBA”), among other laws and regulations. Moreover, the U.S. Congress is currently considering various proposals for more comprehensive privacy, data</w:t>
      </w:r>
    </w:p>
    <w:p>
      <w:pPr>
        <w:spacing w:after="0" w:line="200" w:lineRule="exact"/>
        <w:rPr>
          <w:sz w:val="20"/>
          <w:szCs w:val="20"/>
          <w:color w:val="auto"/>
        </w:rPr>
      </w:pPr>
    </w:p>
    <w:p>
      <w:pPr>
        <w:spacing w:after="0" w:line="338" w:lineRule="exact"/>
        <w:rPr>
          <w:sz w:val="20"/>
          <w:szCs w:val="20"/>
          <w:color w:val="auto"/>
        </w:rPr>
      </w:pPr>
    </w:p>
    <w:p>
      <w:pPr>
        <w:ind w:left="5600"/>
        <w:spacing w:after="0"/>
        <w:tabs>
          <w:tab w:leader="none" w:pos="9660" w:val="left"/>
        </w:tabs>
        <w:rPr>
          <w:sz w:val="20"/>
          <w:szCs w:val="20"/>
          <w:color w:val="auto"/>
        </w:rPr>
      </w:pPr>
      <w:r>
        <w:rPr>
          <w:rFonts w:ascii="Times New Roman" w:cs="Times New Roman" w:eastAsia="Times New Roman" w:hAnsi="Times New Roman"/>
          <w:sz w:val="8"/>
          <w:szCs w:val="8"/>
          <w:color w:val="auto"/>
        </w:rPr>
        <w:t>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protection and data security legislation, to which we may be subject if passed. For example, in 2022, Congress and the federal agencies sought to institute mandatory reporting of cyber incidents that materially disrupt or degrade operations and systems or might otherwise impact U.S. critical infrastructure or national security. This resulted in enactment of the Cyber Incident Reporting for Critical Infrastructure Act (“CIRCIA”), which, once rulemaking is complete, will require, among other things, certain companies, including Capital One, to report significant cyber incidents to the Department of Homeland Security’s Cybersecurity and Infrastructure Security Agency (“CISA”) within 72 hours from the time the company reasonably believes the incident occurred, and a proposed rule by the SEC, which would mandate public disclosure of material cybersecurity incidents within four business days of determining that such an incident has occurred.</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At the state level, we are subject to a number of laws and regulations, such as the California Consumer Privacy Act and its implementing regulations (as amended by the California Privacy Rights Act, the “CPRA”), which creates obligations on covered companies to, among other things, share certain information they have collected about California residents with those individuals, subject to certain exceptions. Many other states also have enacted or are in the process of enacting state-level privacy, data protection and/or data security laws and regulations, with which we may be required to comply. Significant uncertainty exists as federal and state privacy, data protection and data security laws may be interpreted and applied differently and may create inconsistent or conflicting requirements. For further discussion of privacy, data protection and cybersecurity, and related risks for our business, see “Part I—Item 1A. Risk Factors” under the headings “</w:t>
      </w:r>
      <w:r>
        <w:rPr>
          <w:rFonts w:ascii="Times New Roman" w:cs="Times New Roman" w:eastAsia="Times New Roman" w:hAnsi="Times New Roman"/>
          <w:sz w:val="12"/>
          <w:szCs w:val="12"/>
          <w:i w:val="1"/>
          <w:iCs w:val="1"/>
          <w:color w:val="auto"/>
        </w:rPr>
        <w:t>We face risks related to our operational, technological and organizational infrastructure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A cyber-attack or other security incident, including one that results in the theft, loss, manipulation or misuse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information (including personal information), or the disabling of systems and access to information critical to business operations, may result in increased costs, reductions in revenue, reputational damage, legal exposure and business disruptions</w:t>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Our required compliance with applicable laws and regulations related to privacy, data protection and data security may increase our costs, reduce our revenue, increase our legal exposure and limit our ability to pursue business opportunities.</w:t>
      </w:r>
      <w:r>
        <w:rPr>
          <w:rFonts w:ascii="Times New Roman" w:cs="Times New Roman" w:eastAsia="Times New Roman" w:hAnsi="Times New Roman"/>
          <w:sz w:val="12"/>
          <w:szCs w:val="12"/>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Anti-Money Laundering and Anti-Terrorism</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Bank Secrecy Act and the USA PATRIOT Act of 2001 (“Patriot Act”) require financial institutions, among other things, to implement a risk-based program reasonably designed to prevent money laundering and to combat the financing of terrorism, including through suspicious activity and currency transaction reporting, compliance, record-keeping and customer due diligence.</w:t>
      </w:r>
    </w:p>
    <w:p>
      <w:pPr>
        <w:spacing w:after="0" w:line="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Patriot Act also contains financial transparency laws and provides enhanced information collection tools and enforcement mechanisms to the U.S. government, including due diligence and record-keeping requirements for private banking and correspondent accounts; standards for verifying customer identification at account opening; rules to produce certain records upon request of a regulator or law enforcement agency; and rules to promote cooperation among financial institutions, regulators and law enforcement agencies in identifying parties that may be involved in terrorism, money laundering and other crimes.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Anti-Money Laundering Act of 2020 (“AML Act”), enacted as part of the National Defense Authorization Act, requires the U.S. Treasury Department to issue National Anti-Money Laundering and Countering the Financing of Terrorism Priorities, which it did in June 2021, and to conduct studies and issue regulations that may alter some of the due diligence, recordkeeping and reporting requirements that the Bank Secrecy Act and Patriot Act impose on banks. The AML Act also promotes increased information-sharing and use of technology, and increases penalties for violations of the Bank Secrecy Act and includes whistleblower incentives, both of which could increase the prospect of regulatory enforcement.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Deposit Funding</w:t>
      </w:r>
    </w:p>
    <w:p>
      <w:pPr>
        <w:spacing w:after="0" w:line="118" w:lineRule="exact"/>
        <w:rPr>
          <w:sz w:val="20"/>
          <w:szCs w:val="20"/>
          <w:color w:val="auto"/>
        </w:rPr>
      </w:pPr>
    </w:p>
    <w:p>
      <w:pPr>
        <w:jc w:val="both"/>
        <w:spacing w:after="0" w:line="147" w:lineRule="exact"/>
        <w:rPr>
          <w:sz w:val="20"/>
          <w:szCs w:val="20"/>
          <w:color w:val="auto"/>
        </w:rPr>
      </w:pPr>
      <w:r>
        <w:rPr>
          <w:rFonts w:ascii="Times New Roman" w:cs="Times New Roman" w:eastAsia="Times New Roman" w:hAnsi="Times New Roman"/>
          <w:sz w:val="12"/>
          <w:szCs w:val="12"/>
          <w:color w:val="auto"/>
        </w:rPr>
        <w:t>Under the Federal Deposit Insurance Corporation Improvement Act of 1991 (“FDICIA”), only well capitalized and adequately capitalized institutions may accept “brokered deposits,” as defined by FDIC regulations. Adequately capitalized institutions, however, must obtain a waiver from the FDIC before accepting brokered deposits, and such institutions may not pay rates that significantly exceed the rates paid on deposits of similar maturity obtained from the institution’s normal market area or, for deposits obtained from outside the institution’s normal market area, the national rate on deposits of comparable maturity. See “Part II</w:t>
      </w:r>
      <w:r>
        <w:rPr>
          <w:rFonts w:ascii="SimSun" w:cs="SimSun" w:eastAsia="SimSun" w:hAnsi="SimSun"/>
          <w:sz w:val="12"/>
          <w:szCs w:val="12"/>
          <w:color w:val="auto"/>
        </w:rPr>
        <w:t>一</w:t>
      </w:r>
      <w:r>
        <w:rPr>
          <w:rFonts w:ascii="Times New Roman" w:cs="Times New Roman" w:eastAsia="Times New Roman" w:hAnsi="Times New Roman"/>
          <w:sz w:val="12"/>
          <w:szCs w:val="12"/>
          <w:color w:val="auto"/>
        </w:rPr>
        <w:t>Item 7. MD&amp;A</w:t>
      </w:r>
      <w:r>
        <w:rPr>
          <w:rFonts w:ascii="SimSun" w:cs="SimSun" w:eastAsia="SimSun" w:hAnsi="SimSun"/>
          <w:sz w:val="12"/>
          <w:szCs w:val="12"/>
          <w:color w:val="auto"/>
        </w:rPr>
        <w:t>一</w:t>
      </w:r>
      <w:r>
        <w:rPr>
          <w:rFonts w:ascii="Times New Roman" w:cs="Times New Roman" w:eastAsia="Times New Roman" w:hAnsi="Times New Roman"/>
          <w:sz w:val="12"/>
          <w:szCs w:val="12"/>
          <w:color w:val="auto"/>
        </w:rPr>
        <w:t>Liquidity Risk Profile” for additional information.</w:t>
      </w:r>
    </w:p>
    <w:p>
      <w:pPr>
        <w:spacing w:after="0" w:line="9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FDIC is authorized to terminate a bank’s deposit insurance upon a finding by the FDIC that the bank’s financial condition is unsafe or unsound or that the institution has engaged in unsafe or unsound practices or has violated any applicable rule, regulation, order or condition enacted or imposed by the bank’s regulatory agency.</w:t>
      </w:r>
    </w:p>
    <w:p>
      <w:pPr>
        <w:spacing w:after="0" w:line="200" w:lineRule="exact"/>
        <w:rPr>
          <w:sz w:val="20"/>
          <w:szCs w:val="20"/>
          <w:color w:val="auto"/>
        </w:rPr>
      </w:pPr>
    </w:p>
    <w:p>
      <w:pPr>
        <w:spacing w:after="0" w:line="331" w:lineRule="exact"/>
        <w:rPr>
          <w:sz w:val="20"/>
          <w:szCs w:val="20"/>
          <w:color w:val="auto"/>
        </w:rPr>
      </w:pPr>
    </w:p>
    <w:p>
      <w:pPr>
        <w:ind w:left="5600"/>
        <w:spacing w:after="0"/>
        <w:tabs>
          <w:tab w:leader="none" w:pos="9660" w:val="left"/>
        </w:tabs>
        <w:rPr>
          <w:sz w:val="20"/>
          <w:szCs w:val="20"/>
          <w:color w:val="auto"/>
        </w:rPr>
      </w:pPr>
      <w:r>
        <w:rPr>
          <w:rFonts w:ascii="Times New Roman" w:cs="Times New Roman" w:eastAsia="Times New Roman" w:hAnsi="Times New Roman"/>
          <w:sz w:val="8"/>
          <w:szCs w:val="8"/>
          <w:color w:val="auto"/>
        </w:rPr>
        <w:t>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Broker-Dealer Activities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Certain of our non-bank subsidiaries are subject to regulation and supervision by various federal and state authorities. Capital One Securities, Inc., KippsDeSanto &amp; Company and TripleTree, LLC are registered broker-dealers regulated by the SEC and the Financial Industry Regulatory Authority (“FINRA”). These broker-dealer subsidiaries are subject to, among other things, net capital rules designed to measure the general financial condition and liquidity of a broker-dealer. Under these rules, broker-dealers are required to maintain the minimum net capital deemed necessary to meet their continuing commitments to customers and others, and to keep a substantial portion of their assets in relatively liquid form. These rules also limit the ability of a broker-dealer to transfer capital to its parent companies and other affiliates. Broker-dealers are also subject to regulations covering their business operations, including sales and trading practices, public offerings, publication of research reports, use and safekeeping of client funds and securities, capital structure, record-keeping and the conduct of directors, officers and employees.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Derivatives Activities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Title VII of the Dodd-Frank Wall Street Reform and Consumer Protection Act of 2010 (“Dodd-Frank Act”) establishes a regulatory framework for the governance of the over-the-counter (“OTC”) derivatives market, including swaps and security-based swaps and the registration of certain market participants as a swap dealer. CONA provisionally registered with the Commodity Futures Trading Commission (“CFTC”) as a swap dealer in 2020. Registration as a swap dealer subjects CONA to additional regulatory requirements with respect to its swaps and other derivatives activities. As a result of CONA’s swap dealer registration, it is subject to the rules of the OCC concerning capital and margin requirements for swap dealers, including the mandatory exchange of variation margin and initial margin with certain counterparties. Additionally, as a provisionally registered swap dealer, CONA is subject to requirements under the CFTC’s regulatory regime, including rules regarding business conduct standards, recordkeeping obligations, regulatory reporting and procedures relating to swaps trading. CONA’s swaps and other derivatives activities do not require it to register with the SEC as a security-based swap dealer.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Transactions with Affiliates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There are various legal restrictions on the extent to which we and our non-bank subsidiaries may borrow or otherwise engage in certain types of transactions with the Bank. Under the Federal Reserve Act and Federal Reserve regulations, the Bank and its subsidiaries are subject to quantitative and qualitative limits on extensions of credit, purchases of assets, and certain other transactions involving non-bank affiliates. In addition, transactions between the Bank and its non-bank affiliates are required to be on arm’s length terms and must be consistent with standards of safety and soundness.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Volcker Rule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and each of our subsidiaries, including the Bank, are subject to the “Volcker Rule,” a provision of the Dodd-Frank Act that contains prohibitions on proprietary trading and certain investments in, and relationships with, covered funds (hedge funds, private equity funds and similar funds), subject to certain exemptions, in each case as the applicable terms are defined in the Volcker Rule and the implementing regulations. The implementing regulations also require that we establish and maintain a compliance program designed to ensure adherence with the requirements of the regulations.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 and Liquidity Regulation</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and the Bank are subject to capital adequacy guidelines adopted by the Federal Reserve and OCC respectively. For a further discussion of the capital adequacy guidelines, see “Part II—Item 7. MD&amp;A—Capital Management,” “Part II—Item 7. MD&amp;A—Liquidity Risk Profile” and “Part II—Item 8. Financial Statements and Supplementary Data—Note 11—Regulatory and Capital Adequacy.”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Basel III and U.S. Capital Rules</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and the Bank are subject to regulatory capital requirements established by the Federal Reserve and the OCC, respectively (“Basel III Capital Rules”). The Basel III Capital Rules implement certain capital requirements published by the Basel Committee on Banking Supervision (“Basel Committee”), along with certain provisions of the Dodd-Frank Act and other capital provisions.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 BHC with total consolidated assets of at least $250 billion but less than $700 billion and not exceeding any of the applicable risk-based thresholds, the Company is a Category III institution under the Basel III Capital Rules.</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Bank, as a subsidiary of a Category III institution, is a Category III bank. Moreover, the Bank, as an insured depository institution, is subject to prompt corrective action (“PCA”) capital regulations, as further described below.</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Under the Basel III Capital Rules, we must maintain a minimum common equity Tier 1 (“CET1”) capital ratio of 4.5%, a Tier 1 capital ratio of 6.0%, and a total capital ratio of 8.0%, in each case in relation to risk-weighted assets. In addition, we must maintain a minimum leverage ratio of 4.0% and a minimum supplementary leverage ratio of 3.0%. We are also subject to the capital conservation buffer requirement and countercyclical capital buffer requirement (which is currently set at 0%), as described below. Our capital and leverage ratios are calculated based on the Basel III standardized approach framework.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elected to exclude certain elements of accumulated other comprehensive income (“AOCI”) from our regulatory capital as permitted for a Category III institution.</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Global systemically important banks (“G-SIBs”) that are based in the U.S. are subject to an additional CET1 capital requirement known as the “G-SIB Surcharge.” We are not a G-SIB based on the most recent available data and thus we are not subject to a G-SIB Surcharge.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Stress Capital Buffer Rule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Basel III Capital Rules require banking institutions to maintain a capital conservation buffer, composed of CET1 capital, above the regulatory minimum ratios. Under the Federal Reserve’s final rule to implement the stress capital buffer requirement, (the “Stress Capital Buffer Rule”), the Company’s “standardized approach capital conservation buffer” includes its stress capital buffer requirement (as described below), any G-SIB Surcharge (which is not applicable to us) and the countercyclical capital buffer requirement (which is currently set at 0%). Any determination to increase the countercyclical capital buffer generally would be effective twelve months after the announcement of such an increase, unless the Federal Reserve, OCC and the FDIC (collectively, “Federal Banking Agencies”) set an earlier effective date.</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stress capital buffer requirement is recalibrated every year based on the Company’s supervisory stress test results. In particular, the Company’s stress capital buffer requirement equals, subject to a floor of 2.5%, the sum of (i) the difference between the Company’s starting CET1 capital ratio and its lowest projected CET1 capital ratio under the severely adverse scenario of the Federal Reserve’s supervisory stress test plus (ii) the ratio of the Company’s projected four quarters of common stock dividends (for the fourth to seventh quarters of the planning horizon) to the projected risk-weighted assets for the quarter in which the Company’s projected CET1 capital ratio reaches its minimum under the supervisory stress test.</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Based on the Company’s 2022 supervisory stress test results, the Company’s stress capital buffer requirement for the period beginning on October 1, 2022 through September 30, 2023 is 3.1%. Therefore, the Company’s minimum capital requirements plus the standardized approach capital conservation buffer for CET1 capital, Tier 1 capital and total capital ratios under the stress capital buffer framework are 7.6%, 9.1% and 11.1%, respectively, for the period from October 1, 2022 through September 30, 2023.</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Stress Capital Buffer Rule does not apply to the Bank. The capital conservation buffer for the Bank continues to be fixed at 2.5%. Accordingly, the Bank’s minimum capital requirements plus its capital conservation buffer for CET1 capital, Tier 1 capital and total capital ratios are 7.0%, 8.5% and 10.5% respectively.</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the Company or the Bank fails to maintain its capital ratios above the minimum capital requirements plus the applicable capital conservation buffer requirements, it will face increasingly strict automatic limitations on capital distributions and discretionary bonus payments to certain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also “Dividends, Stock Repurchases and Transfers of Funds” below for more information about the stress capital buffer determination timeline and process.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CECL Transition Rule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Federal Banking Agencies adopted a final rule (“CECL Transition Rule”) that provides banking institutions an optional five-year transition period to phase in the impact of the current expected credit losses (“CECL”) standard on their regulatory capital (“CECL Transition Election”). We adopted the CECL standard (for accounting purposes) as of January 1, 2020, and made the CECL Transition Election (for regulatory capital purposes) in the first quarter of 2020.</w:t>
      </w:r>
    </w:p>
    <w:p>
      <w:pPr>
        <w:spacing w:after="0" w:line="200" w:lineRule="exact"/>
        <w:rPr>
          <w:sz w:val="20"/>
          <w:szCs w:val="20"/>
          <w:color w:val="auto"/>
        </w:rPr>
      </w:pPr>
    </w:p>
    <w:p>
      <w:pPr>
        <w:spacing w:after="0" w:line="33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Pursuant to the CECL Transition Rule, a banking institution could elect to delay the estimated impact of adopting CECL on its regulatory capital through December 31, 2021 and then phase in the estimated cumulative impact from January 1, 2022 through December 31, 2024. For the “day 2” ongoing impact of CECL during the initial two years, the Federal Banking Agencies used a uniform “scaling factor” of 25% as an approximation of the increase in the allowance under the CECL standard compared to the prior incurred loss methodology. Accordingly, from January 1, 2020 through December 31, 2021, electing banking institutions were permitted to add back to their regulatory capital an amount equal to the sum of the after-tax “day 1” CECL adoption impact and 25% of the increase in the allowance since the adoption of the CECL standard. From January 1, 2022 through December 31, 2024, the after-tax “day 1” CECL adoption impact and the cumulative “day 2” ongoing impact are being phased in to regulatory capital at 25% per year. The following table summarizes the capital impact delay and phase in period on our regulatory capital from years 2020 to 2025.</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center"/>
              <w:ind w:right="666"/>
              <w:spacing w:after="0"/>
              <w:rPr>
                <w:sz w:val="20"/>
                <w:szCs w:val="20"/>
                <w:color w:val="auto"/>
              </w:rPr>
            </w:pPr>
            <w:r>
              <w:rPr>
                <w:rFonts w:ascii="Times New Roman" w:cs="Times New Roman" w:eastAsia="Times New Roman" w:hAnsi="Times New Roman"/>
                <w:sz w:val="11"/>
                <w:szCs w:val="11"/>
                <w:b w:val="1"/>
                <w:bCs w:val="1"/>
                <w:color w:val="auto"/>
                <w:w w:val="98"/>
              </w:rPr>
              <w:t>Capital Impact Delayed</w:t>
            </w:r>
          </w:p>
        </w:tc>
        <w:tc>
          <w:tcPr>
            <w:tcW w:w="10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1"/>
                <w:szCs w:val="11"/>
                <w:b w:val="1"/>
                <w:bCs w:val="1"/>
                <w:color w:val="auto"/>
              </w:rPr>
              <w:t>Phase In Period</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18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12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12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12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12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“Day 1” CECL adoption impact</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Capital impact delayed to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9"/>
              </w:rPr>
              <w:t>25% Phased In</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6"/>
              </w:rPr>
              <w:t>50% Phased In</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w w:val="96"/>
              </w:rPr>
              <w:t>75% Phased In</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Fully Phased In</w:t>
            </w:r>
          </w:p>
        </w:tc>
        <w:tc>
          <w:tcPr>
            <w:tcW w:w="0" w:type="dxa"/>
            <w:vAlign w:val="bottom"/>
          </w:tcPr>
          <w:p>
            <w:pPr>
              <w:spacing w:after="0"/>
              <w:rPr>
                <w:sz w:val="1"/>
                <w:szCs w:val="1"/>
                <w:color w:val="auto"/>
              </w:rPr>
            </w:pPr>
          </w:p>
        </w:tc>
      </w:tr>
      <w:tr>
        <w:trPr>
          <w:trHeight w:val="102"/>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Cumulative “day 2” ongoing impact</w:t>
            </w:r>
          </w:p>
        </w:tc>
        <w:tc>
          <w:tcPr>
            <w:tcW w:w="2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25% scaling factor as an approximation of the increase in</w:t>
            </w:r>
          </w:p>
        </w:tc>
        <w:tc>
          <w:tcPr>
            <w:tcW w:w="10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340" w:type="dxa"/>
            <w:vAlign w:val="bottom"/>
            <w:gridSpan w:val="2"/>
            <w:vMerge w:val="continue"/>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3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820" w:type="dxa"/>
            <w:vAlign w:val="bottom"/>
            <w:vMerge w:val="restart"/>
          </w:tcPr>
          <w:p>
            <w:pPr>
              <w:jc w:val="center"/>
              <w:ind w:right="666"/>
              <w:spacing w:after="0"/>
              <w:rPr>
                <w:sz w:val="20"/>
                <w:szCs w:val="20"/>
                <w:color w:val="auto"/>
              </w:rPr>
            </w:pPr>
            <w:r>
              <w:rPr>
                <w:rFonts w:ascii="Times New Roman" w:cs="Times New Roman" w:eastAsia="Times New Roman" w:hAnsi="Times New Roman"/>
                <w:sz w:val="11"/>
                <w:szCs w:val="11"/>
                <w:color w:val="auto"/>
                <w:w w:val="98"/>
              </w:rPr>
              <w:t>allowance under CECL</w:t>
            </w: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Market Risk Rule</w:t>
      </w:r>
    </w:p>
    <w:p>
      <w:pPr>
        <w:spacing w:after="0" w:line="118" w:lineRule="exact"/>
        <w:rPr>
          <w:sz w:val="20"/>
          <w:szCs w:val="20"/>
          <w:color w:val="auto"/>
        </w:rPr>
      </w:pPr>
    </w:p>
    <w:p>
      <w:pPr>
        <w:jc w:val="both"/>
        <w:spacing w:after="0" w:line="148" w:lineRule="exact"/>
        <w:rPr>
          <w:sz w:val="20"/>
          <w:szCs w:val="20"/>
          <w:color w:val="auto"/>
        </w:rPr>
      </w:pPr>
      <w:r>
        <w:rPr>
          <w:rFonts w:ascii="Times New Roman" w:cs="Times New Roman" w:eastAsia="Times New Roman" w:hAnsi="Times New Roman"/>
          <w:sz w:val="12"/>
          <w:szCs w:val="12"/>
          <w:color w:val="auto"/>
        </w:rPr>
        <w:t>The “Market Risk Rule” supplements the Basel III Capital Rules by requiring institutions subject to the rule to adjust their risk-based capital ratios to reflect the market risk in their trading book. The Market Risk Rule generally applies to institutions with aggregate trading assets and liabilities equal to 10% or more of total assets or $1 billion or more. As of December 31, 2022, the Company and CONA are subject to the Market Risk Rule. See “Part II</w:t>
      </w:r>
      <w:r>
        <w:rPr>
          <w:rFonts w:ascii="SimSun" w:cs="SimSun" w:eastAsia="SimSun" w:hAnsi="SimSun"/>
          <w:sz w:val="12"/>
          <w:szCs w:val="12"/>
          <w:color w:val="auto"/>
        </w:rPr>
        <w:t>一</w:t>
      </w:r>
      <w:r>
        <w:rPr>
          <w:rFonts w:ascii="Times New Roman" w:cs="Times New Roman" w:eastAsia="Times New Roman" w:hAnsi="Times New Roman"/>
          <w:sz w:val="12"/>
          <w:szCs w:val="12"/>
          <w:color w:val="auto"/>
        </w:rPr>
        <w:t>Item 7. MD&amp;A</w:t>
      </w:r>
      <w:r>
        <w:rPr>
          <w:rFonts w:ascii="SimSun" w:cs="SimSun" w:eastAsia="SimSun" w:hAnsi="SimSun"/>
          <w:sz w:val="12"/>
          <w:szCs w:val="12"/>
          <w:color w:val="auto"/>
        </w:rPr>
        <w:t>一</w:t>
      </w:r>
      <w:r>
        <w:rPr>
          <w:rFonts w:ascii="Times New Roman" w:cs="Times New Roman" w:eastAsia="Times New Roman" w:hAnsi="Times New Roman"/>
          <w:sz w:val="12"/>
          <w:szCs w:val="12"/>
          <w:color w:val="auto"/>
        </w:rPr>
        <w:t>Market Risk Profile” for additional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FDICIA and Prompt Corrective Action</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FDICIA requires the Federal Banking Agencies to take PCA for banks that do not meet minimum capital requirements. FDICIA establishes five capital ratio levels: well capitalized; adequately capitalized; undercapitalized; significantly undercapitalized; and critically undercapitalized. The three undercapitalized categories are based upon the amount by which a bank falls below the ratios applicable to an adequately capitalized institution. The capital categories relate to FDICIA’s PCA provisions, and such capital categories may not constitute an accurate representation of the Bank’s overall financial condition or prospects.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Basel III Capital Rules updated the PCA framework to reflect new, higher regulatory capital minimums. For an insured depository institution to be well capitalized, it must maintain a total risk-based capital ratio of 10% or more; a Tier 1 capital ratio of 8% or more; a CET1 capital ratio of 6.5% or more; and a leverage ratio of 5% or more. An adequately capitalized depository institution must maintain a total risk-based capital ratio of 8% or more; a Tier 1 capital ratio of 6% or more; a CET1 capital ratio of 4.5% or more; a leverage ratio of 4% or more; and, for Category III and certain other institutions, a supplementary leverage ratio of 3% or more. The PCA provisions also authorize the Federal Banking Agencies to reclassify a bank’s capital category or take other action against banks that are determined to be in an unsafe or unsound condition or to have engaged in unsafe or unsound banking practices.</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an additional means to identify problems in the financial management of depository institutions, the Federal Banking Agencies established certain non-capital safety and soundness standards as required by FDICIA. The standards relate generally to operations and management, asset quality, interest rate exposure and executive compensation. The Federal Banking Agencies are authorized to take action against institutions that fail to meet such standards.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Basel III and United States Liquidity Rules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Basel Committee has published a liquidity framework that includes two standards for liquidity risk supervision. One standard, the liquidity coverage ratio (“LCR”), seeks to promote short-term resilience by requiring organizations to hold sufficient high-quality liquid assets (“HQLAs”) to survive a stress scenario lasting for 30 days. The other standard, the net</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stable funding ratio (“NSFR”), seeks to promote longer-term resilience by requiring sufficient stable funding over a one-year period based on the liquidity characteristics of the organization’s assets and activities.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and the Bank are subject to the LCR standard as implemented by the Federal Reserve and OCC (the “LCR Rule”). The LCR Rule requires each of the Company and the Bank to hold an amount of eligible HQLA that equals or exceeds 100% of its respective projected adjusted net cash outflows over a 30-day period, each as calculated in accordance with the LCR Rule. The LCR Rule requires each of the Company and the Bank to calculate its respective LCR daily. In addition, the Company is required to make quarterly public disclosures of its LCR and certain related quantitative liquidity metrics, along with a qualitative discussion of its LCR.</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a Category III institution with less than $75 billion in weighted average short-term wholesale funding, the Company’s and the Bank’s total net cash outflows are multiplied by an outflow adjustment percentage of 85%. Although the Bank may hold more HQLA than it needs to meet its LCR requirements, the LCR Rule restricts the amount of such excess HQLA held at the Bank (referred to as “Trapped Liquidity”) that can be included in the Company’s HQLA amount. Because we typically manage the Bank’s LCR to levels well above 100%, the result is additional Trapped Liquidity as the Bank’s net cash outflows are reduced by the outflow adjustment percentage of 85%.</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NSFR rule requires the Company and the Bank to maintain an amount of available stable funding, which is a weighted measure of a company’s funding sources over a one-year time horizon, calculated by applying standardized weightings to equity and liabilities based on their expected stability, that is no less than a specified percentage of its required stable funding, which is calculated by applying standardized weightings to assets, derivatives exposures and certain other items based on their liquidity characteristics. As a Category III institution, the Company and the Bank are each required to maintain available stable funding in an amount at least equal to 85% of its required stable funding. The NSFR rule includes a semi-annual public disclosure requirement, with the first disclosure due 45 days after the end of the second quarter of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Enhanced Prudential Standards and Other Related Requirements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are subject to certain enhanced prudential standards under the Dodd-Frank Act, as amended by the Economic Growth, Regulatory Relief, and Consumer Protection Act (“EGRRCPA”) and implemented by various regulations issued by the Federal Banking Agencies. The Financial Stability Oversight Council (“FSOC”) may also issue recommendations to the Federal Reserve or other primary financial regulatory agencies to apply new or enhanced standards to certain financial activities or practices.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part of the enhanced prudential standards, the Company is required to implement resolution planning for orderly resolution in the event it faces material financial distress or failure. The FDIC issued similar rules regarding resolution planning applicable to the Bank. In addition, the OCC has issued rules requiring banks with assets of $250 billion or more to develop recovery plans detailing the actions they would take to remain a going concern when they experience considerable financial or operational stress, but have not deteriorated to the point that resolution is imminent.</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enhanced prudential standards also include supervisory and company-run stress testing requirements (also known as the “DFAST stress testing requirements”). In particular, the Federal Reserve is required to conduct annual stress tests on certain covered companies, including us, to ensure that the covered companies have sufficient capital to absorb losses and continue operations during adverse economic conditions, as well as to determine the Company’s stress capital buffer requirement as described above. As a Category III institution, we are also required to conduct our own stress tests and publish the results of such tests on our website or other public forum. The Company must disclose the results of its company-run stress test on a biennial basis. The OCC has adopted a similar stress test rule requiring banks with at least $250 billion in assets, including the Bank, to conduct their own company-run stress tests. Under that OCC rule, the Bank must also disclose the results of its stress test on a biennial basis.</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addition, the Company is required to meet liquidity risk management standards, conduct internal liquidity stress tests, and maintain a 30-day buffer of highly liquid assets, in each case, consistent with the requirements of the enhanced prudential standards. These requirements are in addition to the LCR and NSFR rules, discussed above in “Basel III and United States Liquidity Rules.” The enhanced prudential standards also require that the Company comply with, and hold capital commensurate with, the requirements of, any regulations adopted by the Federal Reserve relating to capital planning and stress tests. Stress testing and capital planning regulations are discussed further below under “Dividends, Stock Repurchases and Transfers of Funds.” Finally, the Company is also required to establish and maintain an enterprise-wide Risk Management Framework (“Framework”) that includes a risk committee and a chief risk officer.</w:t>
      </w:r>
    </w:p>
    <w:p>
      <w:pPr>
        <w:spacing w:after="0" w:line="200" w:lineRule="exact"/>
        <w:rPr>
          <w:sz w:val="20"/>
          <w:szCs w:val="20"/>
          <w:color w:val="auto"/>
        </w:rPr>
      </w:pPr>
    </w:p>
    <w:p>
      <w:pPr>
        <w:spacing w:after="0" w:line="345"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Although not a requirement of the Dodd-Frank Act, the OCC established regulatory guidelines (“Heightened Standards Guidelines”) that apply heightened standards to the governance and risk management practices of large institutions subject to its supervision, including the Bank. The Heightened Standards Guidelines establish standards for the development and implementation by the Bank of a risk governance framework.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 Stock Repurchases and Transfers of Funds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Under the Federal Reserve’s capital planning rules and related supervisory process (commonly referred to as Comprehensive Capital Analysis and Review or “CCAR” requirements), a “covered BHC,” such as the Company, must submit a capital plan to the Federal Reserve on an annual basis that contains a description of all planned capital actions, including dividends or stock repurchases, over a nine-quarter planning horizon beginning with the first quarter of the calendar year the capital plan is submitted (“CCAR cycle”).</w:t>
      </w:r>
    </w:p>
    <w:p>
      <w:pPr>
        <w:spacing w:after="0" w:line="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DFAST stress testing requirements, described above in “Enhanced Prudential Standards and Other Related Requirements,” is a complementary exercise to CCAR. It is a forward-looking exercise conducted by the Federal Reserve and each covered company to help assess whether a company has sufficient capital to absorb losses and continue operations during adverse economic conditions.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Pursuant to the capital planning rules, the Company must file its capital plan with the Federal Reserve by April 5 of each year (unless the Federal Reserve designates a later date), using data as of the end of the prior calendar year. The Federal Reserve will release the results of the supervisory stress test and notify the Company of its stress capital buffer requirement by June 30 of that year. The Company will have two business days from receipt of its stress capital buffer requirement to make any necessary adjustments to its planned capital distributions. The Federal Reserve will then finalize the stress capital buffer requirement for the Company and confirm the Company’s planned capital distributions by August 31 of that year. The Company’s final stress capital buffer requirement will be effective from the fourth quarter of the year the capital plan is submitted through the third quarter of the following year. The Company may make the planned capital distributions confirmed by the Federal Reserve. In addition, under the Stress Capital Buffer Rule, the Company is no longer required to seek prior approval of the Federal Reserve to make capital distributions in excess of those included in its capital plan so long as the Company is otherwise in compliance with the capital rule’s automatic limitations on capital distributions.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Federal Reserve has announced that it would maintain its pre-CECL framework for calculating allowances on loans in the supervisory stress test through the 2023 cycle until the impact of CECL is better known and understood.</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Dividends from the Company’s direct and indirect subsidiaries represent a major source of the funds we use to pay dividends on our capital stock, make payments on our corporate debt securities and meet our other obligations. There are various federal law limitations on the extent to which the Bank can finance or otherwise supply funds to the Company through dividends and loans. These limitations include minimum regulatory capital requirements, federal banking law requirements concerning the payment of dividends out of net profits or surplus, provisions of Sections 23A and 23B of the Federal Reserve Act and Regulation W governing transactions between an insured depository institution and its affiliates, as well as general federal regulatory oversight to prevent unsafe or unsound practices. In general, federal and applicable state banking laws prohibit insured depository institutions, such as the Bank, from making dividend distributions without first obtaining regulatory approval if such distributions are not paid out of available earnings or would cause the institution to fail to meet applicable capital adequacy standards.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 in the Company and the Bank</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Certain acquisitions of our capital stock may be subject to regulatory approval or notice under federal or state law. Investors are responsible for ensuring that they do not, directly or indirectly, acquire shares of our capital stock in excess of the amount that can be acquired without regulatory approval, including under the BHC Act and the Change in Bank Control Act (“CIBC Act”).</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Federal law and regulations prohibit any person or company from acquiring control of the Company or the Bank without, in most cases, prior written approval of the Federal Reserve or the OCC, as applicable. Control under the BHC Act exists if, among other things, a person or company acquires more than 25% of any class of our voting stock or otherwise has a controlling influence over us. A rebuttable presumption of control arises under the CIBC Act for a publicly traded BHC such as ourselves if a person or company acquires more than 10% of any class of our voting stock.</w:t>
      </w:r>
    </w:p>
    <w:p>
      <w:pPr>
        <w:spacing w:after="0" w:line="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Additionally, the Bank is a “bank” within the meaning of Chapter 7 of Title 6.2 of the Code of Virginia governing the acquisition of interests in Virginia financial institutions (“Virginia Financial Institution Holding Company Act”). The Virginia</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Financial Institution Holding Company Act prohibits any person or entity from acquiring, or making any public offer to acquire, control of a Virginia financial institution or its holding company without making application to, and receiving prior approval from, the Virginia Bureau of Financial Institutions.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Deposit Insurance Assessments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Bank, as an insured depository institution, is a member of the Deposit Insurance Fund (“DIF”) maintained by the FDIC. Through the DIF, the FDIC insures the deposits of insured depository institutions up to prescribed limits for each depositor. The FDIC sets a Designated Reserve Ratio (“DRR”) for the DIF. To maintain the DIF, member institutions may be assessed an insurance premium, and the FDIC may take action to increase insurance premiums if the DRR falls below its required level.</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June 30, 2020, the DIF reserve ratio fell to 1.30 percent. The FDIC, as required under the Federal Deposit Insurance Act, established a plan in September 2020, to restore the DIF reserve ratio to meet or exceed 1.35 percent within eight years. On October 18, 2022, the FDIC finalized a rule that increases the initial base deposit insurance assessment rate schedules by 2 basis points for all insured depository institutions to improve the likelihood that the DIF reserve ratio reaches 1.35 percent by the statutory deadline of September 30, 2028. The rule took effect on January 1, 2023 and this increase will be reflected in the Bank’s first quarterly assessment in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Source of Strength</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Federal Reserve rules require a BHC to serve as a source of financial and managerial strength to its subsidiary banks (the so-called “source of strength doctrine”). In addition, the Dodd-Frank Act requires a BHC to serve as a source of financial strength to its subsidiary banks and requires the Federal Banking Agencies to jointly adopt new rules implementing this requirement. Such rules have not yet been proposed.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FDIC Orderly Liquidation Authority</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Dodd-Frank Act provides the FDIC with liquidation authority that may be used to liquidate non-bank financial companies and BHCs if the Treasury Secretary, in consultation with the President and based on the recommendation of the Federal Reserve and other appropriate Federal Banking Agencies, determines that doing so is necessary, among other criteria, to mitigate serious adverse effects on U.S. financial stability. Upon such a determination, the FDIC would be appointed receiver and must liquidate the company in a way that mitigates significant risks to financial stability and minimizes moral hazard. The costs of a liquidation of the company would be borne by shareholders and unsecured creditors and then, if necessary, by risk-based assessments on large financial companies. The FDIC has issued rules implementing certain provisions of its liquidation authority and may issue additional rules in the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Climate-related Developments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Climate change and the risks it may pose to financial institutions is an area of increased focus by the Federal Banking Agencies as well as federal and state legislative bodies. In the future, new regulations or guidance may be issued, or other regulatory or supervisory actions may be taken, in this area by the Federal Banking Agencies or other regulatory agencies, or new statutory requirements may be adopted. For example, each of the Federal Banking Agencies has requested feedback on its respective draft principles designed to support the identification and management of climate-related financial risks at regulated institutions with more than $100 billion in total consolidated assets. The Federal Banking Agencies plan to use this feedback to inform future guidance with respect to climate-related financial risk.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 of Businesses by Authorities Outside the United States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Bank is subject to laws and regulations in foreign jurisdictions where it operates, currently in the U.K. and Canada. In the U.K., the Bank operates through COEP, which was established in 1999 and is an authorized payment institution regulated by the Financial Conduct Authority (“FCA”). COEP’s parent, Capital One Global Corporation, is wholly owned by the Bank and is subject to regulation by the Federal Reserve as an “agreement corporation” under the Federal Reserve’s Regulation K. COEP does not take deposits. In Canada, the Bank operates as an authorized foreign bank and is permitted to conduct its credit card business in Canada through its Canadian branch, Capital One Bank (Canada Branch) (“Capital One Canada”). Capital One Canada does not take deposits. The primary regulator of Capital One Canada is the Office of the Superintendent of Financial Institutions.</w:t>
      </w:r>
    </w:p>
    <w:p>
      <w:pPr>
        <w:spacing w:after="0" w:line="200" w:lineRule="exact"/>
        <w:rPr>
          <w:sz w:val="20"/>
          <w:szCs w:val="20"/>
          <w:color w:val="auto"/>
        </w:rPr>
      </w:pPr>
    </w:p>
    <w:p>
      <w:pPr>
        <w:spacing w:after="0" w:line="34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148" w:lineRule="exact"/>
        <w:rPr>
          <w:sz w:val="20"/>
          <w:szCs w:val="20"/>
          <w:color w:val="auto"/>
        </w:rPr>
      </w:pPr>
      <w:r>
        <w:rPr>
          <w:rFonts w:ascii="Times New Roman" w:cs="Times New Roman" w:eastAsia="Times New Roman" w:hAnsi="Times New Roman"/>
          <w:sz w:val="12"/>
          <w:szCs w:val="12"/>
          <w:color w:val="auto"/>
        </w:rPr>
        <w:t>The foreign legal and regulatory requirements to which the Company’s non-U.S. operation are subject include, among others, those related to consumer protection, business practices, and data security and limits on interchange fees. For more information on foreign regulatory activity concerning interchange fees, please see “Part I</w:t>
      </w:r>
      <w:r>
        <w:rPr>
          <w:rFonts w:ascii="SimSun" w:cs="SimSun" w:eastAsia="SimSun" w:hAnsi="SimSun"/>
          <w:sz w:val="12"/>
          <w:szCs w:val="12"/>
          <w:color w:val="auto"/>
        </w:rPr>
        <w:t>一</w:t>
      </w:r>
      <w:r>
        <w:rPr>
          <w:rFonts w:ascii="Times New Roman" w:cs="Times New Roman" w:eastAsia="Times New Roman" w:hAnsi="Times New Roman"/>
          <w:sz w:val="12"/>
          <w:szCs w:val="12"/>
          <w:color w:val="auto"/>
        </w:rPr>
        <w:t>Item 1A. Risk Factors” under the heading “</w:t>
      </w:r>
      <w:r>
        <w:rPr>
          <w:rFonts w:ascii="Times New Roman" w:cs="Times New Roman" w:eastAsia="Times New Roman" w:hAnsi="Times New Roman"/>
          <w:sz w:val="12"/>
          <w:szCs w:val="12"/>
          <w:i w:val="1"/>
          <w:iCs w:val="1"/>
          <w:color w:val="auto"/>
        </w:rPr>
        <w:t>Our business, financial condition and results of operations may be adversely affected by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merchants’ increasing focus on the fees charged by credit and debit card networks and by legislation and regulation impacting such fees.</w:t>
      </w:r>
      <w:r>
        <w:rPr>
          <w:rFonts w:ascii="Times New Roman" w:cs="Times New Roman" w:eastAsia="Times New Roman" w:hAnsi="Times New Roman"/>
          <w:sz w:val="12"/>
          <w:szCs w:val="12"/>
          <w:color w:val="auto"/>
        </w:rPr>
        <w:t>”</w:t>
      </w:r>
    </w:p>
    <w:p>
      <w:pPr>
        <w:spacing w:after="0" w:line="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also is subject to foreign legal and regulatory requirements regarding privacy, data protection and data security. For example, in Canada and the U.K,. we are subject to the Personal Information Protection and Electronic Documents Act and the U.K. General Data Protection Regulation, respectively. In addition, subject to certain limited exceptions, the European Union (“EU”) General Data Protection Regulation applies EU data protection laws to companies controlling or processing personal data of EU residents. These laws and regulations, and domestic laws and regulations that govern similar topics, may be interpreted and applied differently from country to country and may create inconsistent or conflicting requirements. For more information on privacy, data protection and data security requirements, please see “Privacy, Data Protection and Data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6661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6661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culture is rooted in putting people first with a focus on building and maintaining a workforce which fosters an inclusive environment based on diversity of our people, ideas and the merit of our work. We prioritize the recruitment, development, recognition and retention of the 55,943 employees worldwide that we had as of December 31, 2022, whom we refer to as “associates.” The following disclosures provide information on our human capital resources, including certain human capital objectives and measures that we focus on in managing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Governance of Human Capital</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full Board of Directors oversees our human capital management, including strategies, policies and practices, and diversity, inclusion and belonging (“DIB”), and is assisted by our Board’s Compensation Committee and Governance and Nominating Committee. Our Executive Committee, a committee of senior management which includes our Chief Human Resources Officer, advises, assists and makes recommendations to our Chief Executive Officer and Board of Directors on human capital matters such as human resource practices and programs, including general employee benefits and compensation programs. Our Chief Diversity, Inclusion and Belonging Officer (“Chief DIB Officer”) provides an update, at least annually, on the progress, success and challenges on workforce representation, trends and programs to the Board of Directors and Executive Committee.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Hiring, Retention and Development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employ a comprehensive people strategy that includes significant investments in recruiting, sourcing and associate development to attract and retain top talent from all backgrounds to help drive our business’ long-term success. We recruit through a variety of channels, including professional partnerships, job fairs, online platforms, on-campus recruiting, diversity-related recruiting events and initiatives, and internship and rotational programs, among others. We empower our associates to learn new skills, meet personalized development goals, and grow their careers. Investment in associate training and professional development is critical to maintaining our talent competitiveness. Our internal enterprise learning and development team blends multiple approaches to learning to support associate development across lines of business, levels, and roles, including online and live classroom training. In addition to formal programming provided by learning professionals, including regulatory compliance, role-specific topics and others, our peer-to-peer learning strategy empowers associates to be both learners and teachers, further enhancing a culture of learning. We also focus on cultivating talent with leadership development courses, cohort-based programs, network building and coaching.</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a quarterly basis, we review our ability to attract and retain talent needed to deliver on our strategic business objectives. Each line of business and staff group reviews hiring, tenure and attrition metrics as part of this assessment, and they implement mitigation plans when needed.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Diversity, Inclusion and Belonging</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continuously strive to empower our associates to do great work by creating an equitable and inclusive workplace with a culture of belonging that values diverse perspectives, fosters collaboration and encourages innovative ideas. We aim to create a place where associates of all backgrounds can thrive by bringing their best, most authentic selves to work. Our diversity and inclusion efforts are overseen by our Chief DIB Officer. This culture of belonging rests at the heart of our DIB efforts. Central to this effort are our business resource groups, associate-led organizations which deepen our understanding of different cultures, backgrounds and experiences, and enable associates to build connections, invest in their professional development, and support our commitment to attract, develop and retain a diverse workforce. In addition, our Chief Executive Officer and the Executive Committee engage with leaders of our business resource groups to identify opportunities to further our DIB agenda, enact positive change and build on existing initiatives designed to nurture our culture and workplace environment.</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Growing the diversity of our workforce at all levels, with an emphasis on leader and executive roles, is an important component of our comprehensive DIB strategy. As of December 31, 2022, key measures of our workforce representation include:</w:t>
      </w:r>
    </w:p>
    <w:p>
      <w:pPr>
        <w:spacing w:after="0" w:line="75"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12 members of our Board of Directors, 3 are women and 3 are people of color;</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U.S., of the associates who are vice president level and above, approximately 33% are women and 28% are people of color;</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U.S., approximately 52% of associates are people of color; and</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Worldwide, approximately 51% of associates are women and 49% of associates are men.</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corporate website contains additional information regarding programs and other information integral to our philosophy of diversity, inclusion and belonging. We believe in the importance of transparency and will also provide on our website the Consolidated EEO-1 Report in addition to submitting to the U.S. Equal Employment Opportunity Commission.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and Wellness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are committed to providing a competitive total compensation package that will attract, retain and motivate talent to help drive our business’ long-term success. Our benefits, including competitive parental leave, on-site health centers, flexible work solutions, company contributions to associates’ 401(k) plans, educational assistance and other health, wellness, and financial benefits, are all designed to help associates grow and develop inside and outside of the workplace. Furthermore, pay equity has long been a core tenet of our pay philosophy and is central to our values. We annually evaluate base pay and incentive pay for all of our associates globally. This review and evaluation may occur more frequently as deemed necessary and prudent. We review groups of associates in similar roles, adjusting for factors that appropriately explain differences in pay such as job location and experience. Based on our analysis, our aggregated adjusted pay gap results show that we pay women 100% of what men are paid, and we pay people of color in the U.S. 100% of what white associates are paid. We use statistical modeling to understand what drives pay gaps, instill new practices to eliminate pay gaps in the future, and if we find unexplained pay gaps, we close them.</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Communication and Connection</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communicate with our associates regularly to understand their perspectives and to hear their voices. Our senior leaders and Chief Executive Officer also communicate directly on societal events impacting our associates. To assess and improve associate retention and engagement, the Company surveys associates on a periodic basis with the assistance of third-party consultants and takes actions to address areas of associate concern. We encourage full participation and use the results to effect change and promote transparency.</w:t>
      </w:r>
    </w:p>
    <w:p>
      <w:pPr>
        <w:spacing w:after="0" w:line="200" w:lineRule="exact"/>
        <w:rPr>
          <w:sz w:val="20"/>
          <w:szCs w:val="20"/>
          <w:color w:val="auto"/>
        </w:rPr>
      </w:pPr>
    </w:p>
    <w:p>
      <w:pPr>
        <w:spacing w:after="0" w:line="33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TECHNOLOGY AND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Technology/Systems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leverage information and technology to achieve our business objectives and to develop and deliver products and services that satisfy our customers’ needs. A key part of our strategic focus is the development and use of efficient, flexible computer and operational systems, such as cloud technology, to support complex marketing and account management strategies, the servicing of our customers, and the development of new and diversified products. We believe that the continued development and integration of these systems is an important part of our efforts to reduce costs, improve quality and security and provide faster, more flexible technology services. Consequently, we frequently consider our capabilities and develop or acquire systems, processes and competencies to meet our unique business requirements.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part of our frequent consideration of our technologies, we may either develop such capabilities internally or rely on third-party service providers who have the ability to deliver technology that is of higher quality, lower cost, or both. We continue to rely on third-party service providers to help us deliver systems and operational infrastructure. These relationships include (but are not limited to): Amazon Web Services, Inc. (“AWS”) for our cloud infrastructure, Total System Services LLC (“TSYS”) for consumer and commercial credit card processing services for our North American and U.K. portfolios and Fidelity Information Services (“FIS”) for certain of our banking systems.</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are committed to implementing safeguards designed to protect our customers’ information, as well as our own information and technology. We implement backup and recovery systems, and we generally require the same of our third-party service providers. We take measures designed to mitigate against known attacks and use internal and external resources to scan for vulnerabilities in platforms, systems, and applications necessary for delivering our products and services. For a discussion of the risks associated with our use of technology systems, see “Part I—Item 1A. Risk Factors” under the headings “</w:t>
      </w:r>
      <w:r>
        <w:rPr>
          <w:rFonts w:ascii="Times New Roman" w:cs="Times New Roman" w:eastAsia="Times New Roman" w:hAnsi="Times New Roman"/>
          <w:sz w:val="12"/>
          <w:szCs w:val="12"/>
          <w:i w:val="1"/>
          <w:iCs w:val="1"/>
          <w:color w:val="auto"/>
        </w:rPr>
        <w:t>We face risks related to our operational, technological and organizational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infrastructure</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2"/>
          <w:szCs w:val="12"/>
          <w:i w:val="1"/>
          <w:iCs w:val="1"/>
          <w:color w:val="auto"/>
        </w:rPr>
        <w:t xml:space="preserve"> “A cyber-attack or other security incident, including one that results in the theft, loss, manipulation or misuse of information (including personal information), or the disabling of systems and access to information critical to business operations, may result in increased costs, reductions in revenue, reputational damage, legal exposure and business disruptions.”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 and Other Proprietary Information</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part of our overall and ongoing strategy to protect and enhance our intellectual property, we rely on a variety of protections, including copyrights, trademarks, trade secrets, patents and certain restrictions on disclosure, solicitation and competition. We also undertake other measures to control access to, or distribution of, our other proprietary and confidential information. Any patents we may obtain may increase our competitive advantage, preserve our freedom to operate, and allow us to enter into licensing (e.g., cross-licenses) or other arrangements with third parties. For a discussion of risks associated with intellectual property, see “Part I—Item 1A. Risk Factors” under the heading “</w:t>
      </w:r>
      <w:r>
        <w:rPr>
          <w:rFonts w:ascii="Times New Roman" w:cs="Times New Roman" w:eastAsia="Times New Roman" w:hAnsi="Times New Roman"/>
          <w:sz w:val="12"/>
          <w:szCs w:val="12"/>
          <w:i w:val="1"/>
          <w:iCs w:val="1"/>
          <w:color w:val="auto"/>
        </w:rPr>
        <w:t>If we are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not able to protect our intellectual property, our revenue and profitability could be negatively affected.”</w:t>
      </w:r>
    </w:p>
    <w:p>
      <w:pPr>
        <w:spacing w:after="0" w:line="200" w:lineRule="exact"/>
        <w:rPr>
          <w:sz w:val="20"/>
          <w:szCs w:val="20"/>
          <w:color w:val="auto"/>
        </w:rPr>
      </w:pPr>
    </w:p>
    <w:p>
      <w:pPr>
        <w:spacing w:after="0" w:line="233"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19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From time to time, we have made and will make forward-looking statements, including those that discuss, among other things: strategies, goals, outlook or other non-historical matters; projections, revenues, income, returns, expenses, capital measures, capital allocation plans, accruals for claims in litigation and for other claims against us; earnings per share, efficiency ratio, operating efficiency ratio or other financial measures for us; future financial and operating results; our plans, objectives, expectations and intentions; and the assumptions that underlie these matters.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extent that any such information is forward-looking, it is intended to fit within the safe harbor for forward-looking information provided by the Private Securities Litigation Reform Act of 1995.</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Forward-looking statements often use words such as “will,” “anticipate,” “target,” “expect,” “estimate,” “intend,” “plan,” “goal,” “believe,” “forecast,” “outlook” or other words of similar meaning. Any forward-looking statements made by us or on our behalf speak only as of the date they are made or as of the date indicated, and we do not undertake any obligation to update forward-looking statements as a result of new information, future events or otherwise. For additional information on factors that could materially influence forward-looking statements included in this Report, see the risk factors set forth under “Part I—Item 1A. Risk Factors.” You should carefully consider the factors discussed above, and in our Risk Factors or other disclosures, in evaluating these forward-looking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Numerous factors could cause our actual results to differ materially from those described in such forward-looking statements, including, among other things:</w:t>
      </w:r>
    </w:p>
    <w:p>
      <w:pPr>
        <w:spacing w:after="0" w:line="114" w:lineRule="exact"/>
        <w:rPr>
          <w:sz w:val="20"/>
          <w:szCs w:val="20"/>
          <w:color w:val="auto"/>
        </w:rPr>
      </w:pPr>
    </w:p>
    <w:p>
      <w:pPr>
        <w:ind w:left="4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business conditions in our local markets, including conditions affecting employment levels, interest rates, collateral values, consumer income, creditworthiness and confidence, spending and savings that may affect consumer bankruptcies, defaults, charge-offs and deposit activity;</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or fluctuations in credit losses and delinquencies and the impact of inaccurate estimates or inadequate reserves;</w:t>
      </w:r>
    </w:p>
    <w:p>
      <w:pPr>
        <w:spacing w:after="0" w:line="114"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 on our business, financial condition and results of operations may persist for an extended period or worsen, including labor shortages, disruption of global supply chains and inflationary pressures, and could impact our estimates of credit losses in our loan portfolios required in computing our allowance for credit losses;</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new and existing laws, regulations and regulatory expectations;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on our ability to receive dividends from our subsidiaries;</w:t>
      </w:r>
    </w:p>
    <w:p>
      <w:pPr>
        <w:spacing w:after="0" w:line="114"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adequate capital or liquidity levels or to comply with revised capital or liquidity requirements, which could have a negative impact on our financial results and our ability to return capital to our stockholders;</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extensive use, reliability, and accuracy of the models and data on which we rely;</w:t>
      </w:r>
    </w:p>
    <w:p>
      <w:pPr>
        <w:spacing w:after="0" w:line="114" w:lineRule="exact"/>
        <w:rPr>
          <w:rFonts w:ascii="Times New Roman" w:cs="Times New Roman" w:eastAsia="Times New Roman" w:hAnsi="Times New Roman"/>
          <w:sz w:val="12"/>
          <w:szCs w:val="12"/>
          <w:color w:val="auto"/>
        </w:rPr>
      </w:pPr>
    </w:p>
    <w:p>
      <w:pPr>
        <w:ind w:left="42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costs, reductions in revenue, reputational damage, legal exposure and business disruptions that can result from data protection or security incidents or a cyber-attack or other similar incidents, including one that results in the theft, loss, manipulation or misuse of information, or the disabling of systems and access to information critical to business operations;</w:t>
      </w:r>
    </w:p>
    <w:p>
      <w:pPr>
        <w:spacing w:after="0" w:line="7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changes or actions relating to any litigation, governmental investigation or regulatory enforcement action or matter involving us;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and rate of deposit growth and changes in deposit costs;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execute on our strategic and operational plans;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response to competitive pressures;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financial condition and results of operations may be adversely affected by merchants’ increasing focus on the fees charged by credit and debit card networks and by legislation and regulation impacting such fees;</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success in integrating acquired businesses and loan portfolios, and our ability to realize anticipated benefits from announced transactions and strategic partnerships;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develop, operate, and adapt our operational, technology and organizational infrastructure suitable for the nature of our business;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marketing efforts in attracting and retaining customers;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risk management strategies;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reputation of, or expectations regarding, us or the financial services industry with respect to practices, products or financial condition;</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market interest rates or volatility in the capital markets;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transition away from the London Interbank Offered Rate (“LIBOR”);</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retain and motivate key senior leaders and skilled employees;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climate change manifesting as physical or transition risks;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assumptions or estimates in our financial statements;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soundness of other financial institutions and other third parties;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invest successfully in and introduce digital and other technological developments across all our businesses;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manage risks from catastrophic events;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applicable laws and regulations related to privacy, data protection and data security;</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protect our intellectual property;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 factors identified from time to time in our public disclosures, including in the reports that we file with the SEC.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following discussion sets forth what management currently believes could be the material risks and uncertainties that could impact our businesses, results of operations and financial condition. The events and consequences discussed in these risk factors could, in circumstances we may not be able to accurately predict, recognize, or control, have a material adverse effect on our business, growth, reputation, prospects, financial condition, operating results, cash flows, liquidity, and stock price. These risk factors do not identify all risks that we face; our operations could also be affected by factors, events, or uncertainties that are not presently known to us or that we currently do not consider to present significant risks to our operations. In addition, the global economic and political climate may amplify many of these risks.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Risk Factors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following is a summary of the Risk Factors disclosure in this Item 1A. This summary does not address all of the risks that we face. Additional discussion of the risks summarized in this risk factor summary, and other risks that we face, can be found below and should be carefully considered, together with other information in this Form 10-K and our other filings with the SEC, before making an investment decision regarding our securities.</w:t>
      </w:r>
    </w:p>
    <w:p>
      <w:pPr>
        <w:spacing w:after="0" w:line="75" w:lineRule="exact"/>
        <w:rPr>
          <w:sz w:val="20"/>
          <w:szCs w:val="20"/>
          <w:color w:val="auto"/>
        </w:rPr>
      </w:pPr>
    </w:p>
    <w:p>
      <w:pPr>
        <w:ind w:left="320" w:hanging="220"/>
        <w:spacing w:after="0"/>
        <w:tabs>
          <w:tab w:leader="none" w:pos="320"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Changes and instability in the macroeconomic environment, consumer confidence and customer behavior may adversely affect our business.</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Fluctuations in market interest rates or volatility in the capital markets could adversely affect our business.</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Our results of operations may be adversely affected by the effects of the COVID-19 pandemic.</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We may experience increases or fluctuations in delinquencies and credit losses, inaccurate estimates and inadequate reserves.</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line="279" w:lineRule="auto"/>
        <w:tabs>
          <w:tab w:leader="none" w:pos="317"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We may not be able to maintain adequate capital or liquidity levels or may become subject to revised capital or liquidity requirements, which could have a negative impact on our financial results and our ability to return capital to our stockholders.</w:t>
      </w:r>
    </w:p>
    <w:p>
      <w:pPr>
        <w:spacing w:after="0" w:line="75"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Limitations on our ability to receive dividends from our subsidiaries could affect our liquidity and ability to pay dividends and repurchase common stock.</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face risks related to our operational, technological and organizational infrastructure.</w:t>
      </w:r>
    </w:p>
    <w:p>
      <w:pPr>
        <w:spacing w:after="0" w:line="114" w:lineRule="exact"/>
        <w:rPr>
          <w:rFonts w:ascii="Times New Roman" w:cs="Times New Roman" w:eastAsia="Times New Roman" w:hAnsi="Times New Roman"/>
          <w:sz w:val="12"/>
          <w:szCs w:val="12"/>
          <w:color w:val="auto"/>
        </w:rPr>
      </w:pPr>
    </w:p>
    <w:p>
      <w:pPr>
        <w:ind w:left="320" w:hanging="220"/>
        <w:spacing w:after="0" w:line="279" w:lineRule="auto"/>
        <w:tabs>
          <w:tab w:leader="none" w:pos="317" w:val="left"/>
        </w:tabs>
        <w:numPr>
          <w:ilvl w:val="0"/>
          <w:numId w:val="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A cyber-attack or other security incident, including one that results in the theft, loss, manipulation or misuse of information (including personal information), or the disabling of systems and access to information critical to business operations, may result in increased costs, reductions in revenue, reputational damage, legal exposure and business disruptions.</w:t>
      </w:r>
    </w:p>
    <w:p>
      <w:pPr>
        <w:spacing w:after="0" w:line="75" w:lineRule="exact"/>
        <w:rPr>
          <w:rFonts w:ascii="Times New Roman" w:cs="Times New Roman" w:eastAsia="Times New Roman" w:hAnsi="Times New Roman"/>
          <w:sz w:val="12"/>
          <w:szCs w:val="12"/>
          <w:i w:val="1"/>
          <w:iCs w:val="1"/>
          <w:color w:val="auto"/>
        </w:rPr>
      </w:pPr>
    </w:p>
    <w:p>
      <w:pPr>
        <w:ind w:left="320" w:hanging="220"/>
        <w:spacing w:after="0" w:line="279" w:lineRule="auto"/>
        <w:tabs>
          <w:tab w:leader="none" w:pos="3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required compliance with applicable laws and regulations related to privacy, data protection and data security may increase our costs, reduce our revenue, increase our legal exposure and limit our ability to pursue business opportunities.</w:t>
      </w:r>
    </w:p>
    <w:p>
      <w:pPr>
        <w:spacing w:after="0" w:line="75"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face risks resulting from the extensive use of models and data.</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new and existing laws, regulations and regulatory expectations is costly and complex.</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Our businesses are subject to the risk of increased litigation, government investigations and regulatory enforcement.</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We face intense competition in all of our markets.</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Our business, financial condition and results of operations may be adversely affected by merchants’ increasing focus on the fees charged by credit and debit card networks and by legislation and regulation impacting such fees.</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If we are not able to invest successfully in and introduce digital and other technological developments across all our businesses, our financial performance may suffer.</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We may fail to realize the anticipated benefits of our mergers, acquisitions and strategic partnerships.</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Reputational risk and social factors may impact our results and damage our brand.</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If we are not able to protect our intellectual property, our revenue and profitability could be negatively affected.</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Our risk management strategies may not be fully effective in mitigating our risk exposures in all market environments or against all types of risk.</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transition away from London Interbank Offered Rate may adversely affect our business.</w:t>
      </w:r>
    </w:p>
    <w:p>
      <w:pPr>
        <w:spacing w:after="0" w:line="105"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could be negatively affected if we are unable to attract, retain and motivate key senior leaders and skilled employees.</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We face risks from catastrophic events.</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Climate change manifesting as physical or transition risks could adversely affect our businesses, operations and customers.</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We face risks from the use of or changes to assumptions or estimates in our financial statements.</w:t>
      </w:r>
    </w:p>
    <w:p>
      <w:pPr>
        <w:spacing w:after="0" w:line="114" w:lineRule="exact"/>
        <w:rPr>
          <w:rFonts w:ascii="Times New Roman" w:cs="Times New Roman" w:eastAsia="Times New Roman" w:hAnsi="Times New Roman"/>
          <w:sz w:val="12"/>
          <w:szCs w:val="12"/>
          <w:b w:val="1"/>
          <w:bCs w:val="1"/>
          <w:i w:val="1"/>
          <w:iCs w:val="1"/>
          <w:color w:val="auto"/>
        </w:rPr>
      </w:pPr>
    </w:p>
    <w:p>
      <w:pPr>
        <w:ind w:left="320" w:hanging="220"/>
        <w:spacing w:after="0"/>
        <w:tabs>
          <w:tab w:leader="none" w:pos="320" w:val="left"/>
        </w:tabs>
        <w:numPr>
          <w:ilvl w:val="0"/>
          <w:numId w:val="9"/>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The soundness of other financial institutions and other third parties could adversely affect us.</w:t>
      </w:r>
    </w:p>
    <w:p>
      <w:pPr>
        <w:spacing w:after="0" w:line="200" w:lineRule="exact"/>
        <w:rPr>
          <w:sz w:val="20"/>
          <w:szCs w:val="20"/>
          <w:color w:val="auto"/>
        </w:rPr>
      </w:pPr>
    </w:p>
    <w:p>
      <w:pPr>
        <w:spacing w:after="0" w:line="37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Economic and Market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and instability in the macroeconomic environment, consumer confidence and customer behavior may adversely affect our business.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offer a broad array of financial products and services to consumers, small businesses and commercial clients. A prolonged period of economic volatility, slow growth, or a significant deterioration in economic conditions, in the U.S., Canada or the U.K., could have a material adverse effect on our financial condition and results of operations as customers default on their loans, maintain lower deposit levels or, in the case of credit card accounts, carry lower balances and reduce credit card purchase activity.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Some of the risks we face in connection with adverse changes and instability in the macroeconomic environment and changes in consumer confidence levels and behavior, include the following:</w:t>
      </w:r>
    </w:p>
    <w:p>
      <w:pPr>
        <w:spacing w:after="0" w:line="114" w:lineRule="exact"/>
        <w:rPr>
          <w:sz w:val="20"/>
          <w:szCs w:val="20"/>
          <w:color w:val="auto"/>
        </w:rPr>
      </w:pPr>
    </w:p>
    <w:p>
      <w:pPr>
        <w:ind w:left="320" w:hanging="220"/>
        <w:spacing w:after="0"/>
        <w:tabs>
          <w:tab w:leader="none" w:pos="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Monetary policies and actions taken by the Federal Reserve and other central banks or governmental authorities;</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deterioration due to escalation of military hostilities or other geopolitical instabilities;</w:t>
      </w:r>
    </w:p>
    <w:p>
      <w:pPr>
        <w:spacing w:after="0" w:line="114" w:lineRule="exact"/>
        <w:rPr>
          <w:rFonts w:ascii="Times New Roman" w:cs="Times New Roman" w:eastAsia="Times New Roman" w:hAnsi="Times New Roman"/>
          <w:sz w:val="12"/>
          <w:szCs w:val="12"/>
          <w:color w:val="auto"/>
        </w:rPr>
      </w:pPr>
    </w:p>
    <w:p>
      <w:pPr>
        <w:ind w:left="320" w:hanging="220"/>
        <w:spacing w:after="0" w:line="279" w:lineRule="auto"/>
        <w:tabs>
          <w:tab w:leader="none" w:pos="3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payment patterns, increases or fluctuations in delinquencies and default rates, decreased consumer spending, inflation, fluctuation in interest rates, lower demand for credit and shifts in consumer behavior, including deposits and payments;</w:t>
      </w:r>
    </w:p>
    <w:p>
      <w:pPr>
        <w:spacing w:after="0" w:line="75"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our charge-off rate caused by bankruptcies and reduced ability to recover debt that we have previously charged-off;</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Recent changes in usage of commercial real estate, which may have a sustained negative impact on utilization rates and values;</w:t>
      </w:r>
    </w:p>
    <w:p>
      <w:pPr>
        <w:spacing w:after="0" w:line="114" w:lineRule="exact"/>
        <w:rPr>
          <w:rFonts w:ascii="Times New Roman" w:cs="Times New Roman" w:eastAsia="Times New Roman" w:hAnsi="Times New Roman"/>
          <w:sz w:val="12"/>
          <w:szCs w:val="12"/>
          <w:color w:val="auto"/>
        </w:rPr>
      </w:pPr>
    </w:p>
    <w:p>
      <w:pPr>
        <w:ind w:left="320" w:hanging="220"/>
        <w:spacing w:after="0" w:line="279" w:lineRule="auto"/>
        <w:tabs>
          <w:tab w:leader="none" w:pos="31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reliability of the process and models, including those we use to estimate our allowance for credit losses, particularly if unexpected variations in key inputs and assumptions cause actual losses to diverge from the projections of our models and our estimates become increasingly subject to management’s judgment. See “</w:t>
      </w:r>
      <w:r>
        <w:rPr>
          <w:rFonts w:ascii="Times New Roman" w:cs="Times New Roman" w:eastAsia="Times New Roman" w:hAnsi="Times New Roman"/>
          <w:sz w:val="12"/>
          <w:szCs w:val="12"/>
          <w:i w:val="1"/>
          <w:iCs w:val="1"/>
          <w:color w:val="auto"/>
        </w:rPr>
        <w:t>We face risks resulting from the extensive use of models and data.</w:t>
      </w:r>
      <w:r>
        <w:rPr>
          <w:rFonts w:ascii="Times New Roman" w:cs="Times New Roman" w:eastAsia="Times New Roman" w:hAnsi="Times New Roman"/>
          <w:sz w:val="12"/>
          <w:szCs w:val="12"/>
          <w:color w:val="auto"/>
        </w:rPr>
        <w:t>”</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U.K. and the EU agreed to a free trade deal at the end of 2020 relating to the U.K.’s exit from the EU. Although this deal has provided greater near-term stability, there is still some degree of uncertainty as to the relationship between the U.K and the EU, which may increase volatility in the regional and global financial markets. In addition, the global economy, including economic conditions in the U.K., has been negatively impacted by the war between Russia and Ukraine. Continued escalation of geopolitical tensions related to the war, including increased trade barriers or restrictions on global trade, could further deteriorate international economic conditions. We continue to consider and monitor the potential impacts of the relationship between the U.K. and EU, as well as the war between Russia and Ukraine.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Fluctuations in market interest rates or volatility in the capital markets could adversely affect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Like other financial institutions, our business is sensitive to interest rate movements and the performance of the capital markets.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rely on access to the capital markets to fund our operations and to grow our business. Our ability to borrow from other financial institutions or to engage in funding transactions on favorable terms or at all could be adversely affected by disruptions, uncertainty or volatility in the capital markets or other events, including changing credit rating agency requirements. For example, a credit rating downgrade could affect our ability to access the capital markets, increase our funding costs and have a negative impact on our results of operations. Additionally, increased charge-offs, rising interest rates and other events may cause our securitization transactions to amortize earlier than scheduled or reduce the value of the securities that we hold for liquidity purposes, which could accelerate our need for additional funding from other sources.</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Additionally, changes in interest rates could adversely affect the results of our operations and financial condition. For example, we borrow money from other institutions and depositors, which we use to make loans to customers and invest in debt securities and other interest-earning assets. We earn interest on these loans and assets and pay interest on the money we borrow from institutions and depositors. In response to inflationary pressures, the Federal Reserve has reversed its policy of maintaining the low benchmark federal funds interest rate over the last several years. In March 2022, the Federal Reserve began increasing the benchmark federal funds interest rate and has signaled its intention to continue to raise interest rates in an effort to tame</w:t>
      </w:r>
    </w:p>
    <w:p>
      <w:pPr>
        <w:spacing w:after="0" w:line="200" w:lineRule="exact"/>
        <w:rPr>
          <w:sz w:val="20"/>
          <w:szCs w:val="20"/>
          <w:color w:val="auto"/>
        </w:rPr>
      </w:pPr>
    </w:p>
    <w:p>
      <w:pPr>
        <w:spacing w:after="0" w:line="34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inflation. Thus, the amount of interest that we pay on certain borrowings has increased and could increase further. Additionally, a shrinking yield premium between short-term and long-term market interest rates and in the relationship between our funding basis rate and our lending basis rate and inflation could affect our profitability.</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assess our interest rate risk by estimating the effect on our earnings, economic value and capital under various scenarios that differ based on assumptions about the direction and the magnitude of interest rate changes. We take risk mitigation actions based on those assessments. We face the risk that changes in interest rates could materially reduce our net interest income and our earnings, especially if actual conditions turn out to be materially different than those we assumed. See “Part II—Item 7. MD&amp;A—Market Risk Profile” for additional information.</w:t>
      </w:r>
    </w:p>
    <w:p>
      <w:pPr>
        <w:spacing w:after="0" w:line="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1"/>
          <w:szCs w:val="11"/>
          <w:color w:val="auto"/>
        </w:rPr>
        <w:t>Furthermore, interest rate fluctuations and competitor responses to those changes may affect the rate of customer prepayments for auto and other term loans and may affect the balances customers carry on their credit cards and their balances in the deposits accounts they have with us. For example, increases in interest rates increase debt service requirements for some of our borrowers, which may adversely affect those borrowers’ ability to pay as contractually obligated. This could result in additional or fluctuating delinquencies or charge-offs and negatively impact our results of operations. These changes can reduce the overall yield on our interest-earning asset portfolio. An inability to attract or maintain deposits could materially affect our ability to fund our business and our liquidity position. Many other financial institutions have increased their reliance on deposit funding and, as such, we expect continued competition in the deposit markets. We cannot predict how this competition will affect our costs. If we are required to offer higher interest rates to attract or maintain deposits, our funding costs will be adversely impacted. Changes in valuations in the debt and equity markets could have a negative impact on the assets we hold in our investment portfolio. Such market changes could also have a negative impact on the valuation of assets for which we provide servicing.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results of operations may be adversely affected by the effects of the COVID-19 pandemic.</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Although the global economy has begun to recover from the COVID-19 pandemic, certain adverse consequences of the pandemic, including labor shortages, disruptions of global supply chains and inflationary pressures, continue to impact the macroeconomic environment and could adversely affect our business. Should these ongoing effects of the pandemic continue for an extended period or worsen, our purchase volume, loan balances and the overall demand for our products and services may be significantly impacted, which could adversely affect our financial condition and other results of operations. In addition, we could experience higher credit losses in our loan portfolios and increases in our allowance for credit losses beyond current levels. We could also experience impairments of other financial assets and other negative impacts on our financial position, including possible constraints on liquidity and capital, as well as higher costs of capital. Long-term consequences of the COVID-19 pandemic on our business, results of operations and financial condition, as well as our capital and liquidity ratios and our ability to take capital actions, will depend on future developments that remain uncertain, including, for example, future actions taken by governmental authorities, central banks and other third parties in response to the pandemic and the effects on our customers, counterparties, associates and third-party service providers.</w:t>
      </w:r>
    </w:p>
    <w:p>
      <w:pPr>
        <w:spacing w:after="0" w:line="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the third quarter of 2022, we moved our associates to a hybrid work model. As a result we may experience increased costs and/or disruption as we experiment with hybrid work models, in addition to potential effects on our ability to operate effectively and maintain our corporate culture. We will continue to monitor local conditions to ensure the safety of our associates and customers while providing critical banking services. We may take further actions as required by government authorities or that we otherwise determine are in the best interests of our customers, associates and business partners. These measures could impair our ability to perform critical functions and may adversely impact our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experience increases or fluctuations in delinquencies and credit losses, inaccurate estimates and inadequate reserves.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Like other lenders, we face the risk that our customers will not repay their loans. A customer’s ability and willingness to repay us can be adversely affected by decreases in the income of the borrower or increases in their payment obligations to other lenders, whether as a result of higher debt levels or rising interest rates, by rising levels of inflation, or by restricted availability of credit generally. We may fail to quickly identify and reduce our exposure to customers that are likely to default on their payment obligations, whether by closing credit lines or restricting authorizations. Our ability to manage credit risk also is affected by legal or regulatory changes (such as restrictions on collections, bankruptcy laws, minimum payment regulations and</w:t>
      </w:r>
    </w:p>
    <w:p>
      <w:pPr>
        <w:spacing w:after="0" w:line="200" w:lineRule="exact"/>
        <w:rPr>
          <w:sz w:val="20"/>
          <w:szCs w:val="20"/>
          <w:color w:val="auto"/>
        </w:rPr>
      </w:pPr>
    </w:p>
    <w:p>
      <w:pPr>
        <w:spacing w:after="0" w:line="34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re-age guidance), competitors’ actions and consumer behavior, and depends on the effectiveness of our collections staff, techniques and models.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Rising losses or leading indicators of rising losses (such as higher delinquencies, charge-offs, higher rates of nonperforming loans, higher bankruptcy rates, lower collateral values, elevated unemployment rates or changing market terms) may require us to increase our allowance for credit losses, which would decrease our profitability if we are unable to raise revenue or reduce costs to compensate for higher losses. In particular, we face the following risks in this area:</w:t>
      </w:r>
    </w:p>
    <w:p>
      <w:pPr>
        <w:spacing w:after="0" w:line="81" w:lineRule="exact"/>
        <w:rPr>
          <w:sz w:val="20"/>
          <w:szCs w:val="20"/>
          <w:color w:val="auto"/>
        </w:rPr>
      </w:pPr>
    </w:p>
    <w:p>
      <w:pPr>
        <w:jc w:val="both"/>
        <w:ind w:left="320" w:hanging="220"/>
        <w:spacing w:after="0" w:line="261" w:lineRule="auto"/>
        <w:tabs>
          <w:tab w:leader="none" w:pos="3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Missed Payments: </w:t>
      </w:r>
      <w:r>
        <w:rPr>
          <w:rFonts w:ascii="Times New Roman" w:cs="Times New Roman" w:eastAsia="Times New Roman" w:hAnsi="Times New Roman"/>
          <w:sz w:val="12"/>
          <w:szCs w:val="12"/>
          <w:color w:val="auto"/>
        </w:rPr>
        <w:t>Our customers may miss payments. Loan charge-offs (including from bankruptcies) are generally preceded by missed payments or other indications of worsening financial condition for our customers.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Historically, customers are more likely to miss payments during an economic downturn, recession, periods of high unemployment, or prolonged periods of slow economic growth. In addition, we face the risk that consumer and commercial customer behavior may change (for example, an increase in the unwillingness or inability of customers to repay debt, which may be heightened by increasing interest rates or levels of consumer debt), causing a long-term rise or fluctuations in delinquencies and charge-offs.</w:t>
      </w:r>
    </w:p>
    <w:p>
      <w:pPr>
        <w:spacing w:after="0" w:line="83" w:lineRule="exact"/>
        <w:rPr>
          <w:rFonts w:ascii="Times New Roman" w:cs="Times New Roman" w:eastAsia="Times New Roman" w:hAnsi="Times New Roman"/>
          <w:sz w:val="12"/>
          <w:szCs w:val="12"/>
          <w:color w:val="auto"/>
        </w:rPr>
      </w:pPr>
    </w:p>
    <w:p>
      <w:pPr>
        <w:jc w:val="both"/>
        <w:ind w:left="320" w:hanging="220"/>
        <w:spacing w:after="0" w:line="261" w:lineRule="auto"/>
        <w:tabs>
          <w:tab w:leader="none" w:pos="3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Incorrect Estimates of Expected Losses: </w:t>
      </w:r>
      <w:r>
        <w:rPr>
          <w:rFonts w:ascii="Times New Roman" w:cs="Times New Roman" w:eastAsia="Times New Roman" w:hAnsi="Times New Roman"/>
          <w:sz w:val="12"/>
          <w:szCs w:val="12"/>
          <w:color w:val="auto"/>
        </w:rPr>
        <w:t>The credit quality of our portfolio can have a significant impact on our earnings. We allow for and reserve against credit risks based on our assessment of expected credit losses in our loan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portfolios. This process, which is critical to our financial condition and results of operations, requires complex judgments, including forecasts of economic conditions. We may underestimate our expected losses and fail to hold an allowance for credit losses sufficient to account for these losses. Incorrect assumptions could lead to material underestimations of expected credit losses and an inadequate allowance for credit losses. See “</w:t>
      </w:r>
      <w:r>
        <w:rPr>
          <w:rFonts w:ascii="Times New Roman" w:cs="Times New Roman" w:eastAsia="Times New Roman" w:hAnsi="Times New Roman"/>
          <w:sz w:val="12"/>
          <w:szCs w:val="12"/>
          <w:i w:val="1"/>
          <w:iCs w:val="1"/>
          <w:color w:val="auto"/>
        </w:rPr>
        <w:t>We face risks resulting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from the extensive use of models and data.</w:t>
      </w:r>
      <w:r>
        <w:rPr>
          <w:rFonts w:ascii="Times New Roman" w:cs="Times New Roman" w:eastAsia="Times New Roman" w:hAnsi="Times New Roman"/>
          <w:sz w:val="12"/>
          <w:szCs w:val="12"/>
          <w:color w:val="auto"/>
        </w:rPr>
        <w:t>”</w:t>
      </w:r>
    </w:p>
    <w:p>
      <w:pPr>
        <w:spacing w:after="0" w:line="83" w:lineRule="exact"/>
        <w:rPr>
          <w:rFonts w:ascii="Times New Roman" w:cs="Times New Roman" w:eastAsia="Times New Roman" w:hAnsi="Times New Roman"/>
          <w:sz w:val="12"/>
          <w:szCs w:val="12"/>
          <w:color w:val="auto"/>
        </w:rPr>
      </w:pPr>
    </w:p>
    <w:p>
      <w:pPr>
        <w:ind w:left="320" w:hanging="220"/>
        <w:spacing w:after="0" w:line="283" w:lineRule="auto"/>
        <w:tabs>
          <w:tab w:leader="none" w:pos="3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Inaccurate Underwriting: </w:t>
      </w:r>
      <w:r>
        <w:rPr>
          <w:rFonts w:ascii="Times New Roman" w:cs="Times New Roman" w:eastAsia="Times New Roman" w:hAnsi="Times New Roman"/>
          <w:sz w:val="12"/>
          <w:szCs w:val="12"/>
          <w:color w:val="auto"/>
        </w:rPr>
        <w:t>Our ability to accurately assess the creditworthiness of our customers may diminish, which could result in an increase in our credit losses and a deterioration of our returns. See “</w:t>
      </w:r>
      <w:r>
        <w:rPr>
          <w:rFonts w:ascii="Times New Roman" w:cs="Times New Roman" w:eastAsia="Times New Roman" w:hAnsi="Times New Roman"/>
          <w:sz w:val="12"/>
          <w:szCs w:val="12"/>
          <w:i w:val="1"/>
          <w:iCs w:val="1"/>
          <w:color w:val="auto"/>
        </w:rPr>
        <w:t>Our risk management strategies may not be fully effective in mitigating our risk exposures in all market environments or against all types of risk</w:t>
      </w:r>
      <w:r>
        <w:rPr>
          <w:rFonts w:ascii="Times New Roman" w:cs="Times New Roman" w:eastAsia="Times New Roman" w:hAnsi="Times New Roman"/>
          <w:sz w:val="12"/>
          <w:szCs w:val="12"/>
          <w:color w:val="auto"/>
        </w:rPr>
        <w:t>.”</w:t>
      </w:r>
    </w:p>
    <w:p>
      <w:pPr>
        <w:spacing w:after="0" w:line="70" w:lineRule="exact"/>
        <w:rPr>
          <w:rFonts w:ascii="Times New Roman" w:cs="Times New Roman" w:eastAsia="Times New Roman" w:hAnsi="Times New Roman"/>
          <w:sz w:val="12"/>
          <w:szCs w:val="12"/>
          <w:color w:val="auto"/>
        </w:rPr>
      </w:pPr>
    </w:p>
    <w:p>
      <w:pPr>
        <w:jc w:val="both"/>
        <w:ind w:left="320" w:hanging="220"/>
        <w:spacing w:after="0" w:line="261" w:lineRule="auto"/>
        <w:tabs>
          <w:tab w:leader="none" w:pos="3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Business Mix: </w:t>
      </w:r>
      <w:r>
        <w:rPr>
          <w:rFonts w:ascii="Times New Roman" w:cs="Times New Roman" w:eastAsia="Times New Roman" w:hAnsi="Times New Roman"/>
          <w:sz w:val="12"/>
          <w:szCs w:val="12"/>
          <w:color w:val="auto"/>
        </w:rPr>
        <w:t>We engage in a diverse mix of businesses with a broad range of potential credit exposure. Because we originate a relatively greater proportion of consumer loans in our loan portfolio compared to other large bank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peers and originate both prime and subprime credit card accounts and auto loans, we may experience higher delinquencies and a greater number of accounts charging off, as well as greater fluctuations in those metrics, compared to other large bank peers, which could result in increased credit losses, operating costs and regulatory scrutiny. Additionally, a change in this business mix over time to include proportionally more consumer loans or subprime credit card accounts or auto loans could adversely affect the credit quality of our portfolio.</w:t>
      </w:r>
    </w:p>
    <w:p>
      <w:pPr>
        <w:spacing w:after="0" w:line="101" w:lineRule="exact"/>
        <w:rPr>
          <w:rFonts w:ascii="Times New Roman" w:cs="Times New Roman" w:eastAsia="Times New Roman" w:hAnsi="Times New Roman"/>
          <w:sz w:val="12"/>
          <w:szCs w:val="12"/>
          <w:color w:val="auto"/>
        </w:rPr>
      </w:pPr>
    </w:p>
    <w:p>
      <w:pPr>
        <w:jc w:val="both"/>
        <w:ind w:left="320" w:hanging="220"/>
        <w:spacing w:after="0" w:line="242" w:lineRule="auto"/>
        <w:tabs>
          <w:tab w:leader="none" w:pos="31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2"/>
          <w:szCs w:val="12"/>
          <w:i w:val="1"/>
          <w:iCs w:val="1"/>
          <w:color w:val="auto"/>
        </w:rPr>
        <w:t xml:space="preserve">Increasing Charge-off Recognition/Allowance for Credit Losses: </w:t>
      </w:r>
      <w:r>
        <w:rPr>
          <w:rFonts w:ascii="Times New Roman" w:cs="Times New Roman" w:eastAsia="Times New Roman" w:hAnsi="Times New Roman"/>
          <w:sz w:val="12"/>
          <w:szCs w:val="12"/>
          <w:color w:val="auto"/>
        </w:rPr>
        <w:t>We account for the allowance for credit losses according to accounting and regulatory guidelines and rules, including Financial Accounting Standards Board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(“FASB”) standards and the Federal Financial Institutions Examination Council (“FFIEC”) Account Management Guidance. We measure our allowance for credit losses under the CECL standard, which is based on management’s best estimate of expected lifetime credit losses. The impact of measuring our allowance for credit losses on our results will depend on the characteristics of our financial instruments, economic conditions, and our economic and loss forecasts. The application of the CECL standard may require us to increase reserves faster and to a higher level in an economic downturn, resulting in greater adverse impact to our results and our capital ratios than we would have experienced in similar circumstances prior to the adoption of CECL. In addition, because credit cards represent a significant portion of our product mix, we could be disproportionately affected by use of the CECL standard, as compared to our large bank peers with a different product mix.</w:t>
      </w:r>
    </w:p>
    <w:p>
      <w:pPr>
        <w:spacing w:after="0" w:line="200" w:lineRule="exact"/>
        <w:rPr>
          <w:sz w:val="20"/>
          <w:szCs w:val="20"/>
          <w:color w:val="auto"/>
        </w:rPr>
      </w:pPr>
    </w:p>
    <w:p>
      <w:pPr>
        <w:spacing w:after="0" w:line="236"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20" w:hanging="220"/>
        <w:spacing w:after="0" w:line="255" w:lineRule="auto"/>
        <w:tabs>
          <w:tab w:leader="none" w:pos="31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Insufficient Asset Values: </w:t>
      </w:r>
      <w:r>
        <w:rPr>
          <w:rFonts w:ascii="Times New Roman" w:cs="Times New Roman" w:eastAsia="Times New Roman" w:hAnsi="Times New Roman"/>
          <w:sz w:val="12"/>
          <w:szCs w:val="12"/>
          <w:color w:val="auto"/>
        </w:rPr>
        <w:t>The collateral we have on secured loans could be insufficient to compensate us for credit losses. When customers default on their secured loans, we attempt to recover collateral where permissible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appropriate. However, the value of the collateral may not be sufficient to compensate us for the amount of the unpaid loan, and we may be unsuccessful in recovering the remaining balance from our customers. Decreases in real estate and other asset values adversely affect the collateral value for our commercial lending activities, while the auto business is similarly exposed to collateral risks arising from the auction markets that determine used car prices. Borrowers may be less likely to continue making payments on loans if the value of the property used as collateral for the loan is less than what the borrower owes, even if the borrower is still financially able to make the payments. In that circumstance, the recovery of such property could be insufficient to compensate us for the value of these loans upon a default. In our auto business, business and economic conditions that negatively affect household incomes, housing prices and consumer behavior, as well as technological advances that make older cars obsolete faster, could decrease (i) the demand for new and used vehicles and (ii) the value of the collateral underlying our portfolio of auto loans, which could cause the number of consumers who become delinquent or default on their loans to increase.</w:t>
      </w:r>
    </w:p>
    <w:p>
      <w:pPr>
        <w:spacing w:after="0" w:line="89" w:lineRule="exact"/>
        <w:rPr>
          <w:rFonts w:ascii="Times New Roman" w:cs="Times New Roman" w:eastAsia="Times New Roman" w:hAnsi="Times New Roman"/>
          <w:sz w:val="12"/>
          <w:szCs w:val="12"/>
          <w:color w:val="auto"/>
        </w:rPr>
      </w:pPr>
    </w:p>
    <w:p>
      <w:pPr>
        <w:jc w:val="both"/>
        <w:ind w:left="320" w:hanging="220"/>
        <w:spacing w:after="0" w:line="258" w:lineRule="auto"/>
        <w:tabs>
          <w:tab w:leader="none" w:pos="31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Geographic and Industry Concentration: </w:t>
      </w:r>
      <w:r>
        <w:rPr>
          <w:rFonts w:ascii="Times New Roman" w:cs="Times New Roman" w:eastAsia="Times New Roman" w:hAnsi="Times New Roman"/>
          <w:sz w:val="12"/>
          <w:szCs w:val="12"/>
          <w:color w:val="auto"/>
        </w:rPr>
        <w:t>Although our consumer lending is geographically diversified, approximately 40% of our commercial real estate loan portfolio is concentrated in the Northeast region. The regional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economic conditions in the Northeast affect the demand for our commercial products and services as well as the ability of our customers to repay their commercial real estate loans and the value of the collateral securing these loans. An economic downturn or prolonged period of slow economic growth in, or a catastrophic event or natural disaster that disproportionately affects the Northeast region could have a material adverse effect on the performance of our commercial real estate loan portfolio and our results of operations. In addition, our Commercial Banking strategy includes an industry-specific focus. If any of the industries that we focus on experience changes, we may experience increased credit losses and our results of operations could be adversely impacted.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 and Liquidity Risk</w:t>
      </w:r>
    </w:p>
    <w:p>
      <w:pPr>
        <w:spacing w:after="0" w:line="1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not be able to maintain adequate capital or liquidity levels or may become subject to revised capital or liquidity requirements, which could have a negative impact on our financial results and our ability to return capital to our stockholders.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Financial institutions are subject to extensive and complex capital and liquidity requirements, which are subject to change. These requirements affect our ability to lend, grow deposit balances, make acquisitions and distribute capital. Failure to maintain adequate capital or liquidity levels, whether due to adverse developments in our business or the economy or to changes in the applicable requirements, could subject us to a variety of restrictions and/or remedial actions imposed by our regulators. These include limitations on the ability to pay dividends and/or repurchase shares and the issuance of a capital directive to increase capital. Such limitations or capital directive could have a material adverse effect on our business and results of operations.</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We consider various factors in the management of capital, including the impact of both internal and supervisory stress scenarios on our capital levels as determined by our internal modeling and the Federal Reserve’s estimation of losses in supervisory stress scenarios that are used to annually set our stress capital buffer requirement. There can be significant differences between our modeling and the Federal Reserve’s projections for a given supervisory stress scenario and between the capital needs suggested by our internal stress scenarios and the supervisory scenarios. Therefore, although our estimated capital levels under stress disclosed as part of the stress testing processes may suggest that we have a particular capacity to return capital to stockholders and remain well capitalized under stress, the Federal Reserve’s modeling, our internal modeling of another scenario and/or other factors related to our capital management process may reflect a lower capacity to return capital to stockholders than that indicated by the projections released in the stress testing processes. This in turn, could lead to restrictions on our ability to pay dividends and engage in share repurchases. See “Part I—Item 1. Business—Supervision and Regulation” for additional information.</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also consider various factors in the management of liquidity, including maintaining sufficient liquid assets to meet the requirements of several internal and regulatory stress tests. There can be significant differences in estimated liquidity needs between internal and regulatory stress testing, and liquidity resources required to meet regulatory requirements, such as applicable LCR and NSFR requirements, may exceed what would otherwise be required to satisfy internal liquidity metrics and stress testing. Regulatory liquidity stress testing and regulatory liquidity requirements may, therefore, require us to take actions to increase our liquid assets or alter our activities or funding sources, which could negatively affect our financial results or our</w:t>
      </w:r>
    </w:p>
    <w:p>
      <w:pPr>
        <w:spacing w:after="0" w:line="200" w:lineRule="exact"/>
        <w:rPr>
          <w:sz w:val="20"/>
          <w:szCs w:val="20"/>
          <w:color w:val="auto"/>
        </w:rPr>
      </w:pPr>
    </w:p>
    <w:p>
      <w:pPr>
        <w:spacing w:after="0" w:line="233"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ability to return capital to our stockholders. See “Part I—Item 1. Business—Supervision and Regulation” for additional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changes to applicable capital and liquidity requirements could result in increased expenses or unexpected or new limitations on our ability to pay dividends and engage in share repurchases.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Limitations on our ability to receive dividends from our subsidiaries could affect our liquidity and ability to pay dividends and repurchase common stock.</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We are a separate and distinct legal entity from our subsidiaries, including the Bank and our broker-dealer subsidiaries. Dividends to us from these direct and indirect subsidiaries have represented a major source of funds for us to pay dividends on our common and preferred stock, repurchase common stock, make payments on corporate debt securities and meet other obligations. These capital distributions may be limited by law, regulation or supervisory policy. There are various federal law limitations on the extent to which the Bank can finance or otherwise supply funds to us through dividends and loans. These limitations include minimum regulatory capital requirements, federal banking law requirements concerning the payment of dividends out of net profits or surplus, and Sections 23A and 23B of the Federal Reserve Act and Regulation W governing transactions between an insured depository institution and its affiliates, as well as general federal regulatory oversight to prevent unsafe or unsound practices. Our broker-dealer subsidiaries are also subject to laws and regulations, including net capital requirements, that may limit their ability to pay dividends or make other distributions to us. If our subsidiaries’ earnings are not sufficient to make dividend payments to us while maintaining adequate capital levels, our liquidity may be affected and we may not be able to make dividend payments to our common or preferred stockholders, repurchase our common stock, make payments on outstanding corporate debt securities or meet other obligations, each and any of which could have a material adverse impact on our results of operations, our financial position or the perception of our financial health. The frequency and size of any future dividends to our stockholders and stock repurchases will depend upon regulatory limitations imposed by the Federal Banking Agencies and the SEC and our results of operations, financial condition, capital levels, cash requirements, future prospects, regulatory review and other factors as further described in “Part I—Item 1. Business—Supervision and Regulation.”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Operational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related to our operational, technological and organizational infrastructure.</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ability to retain and attract customers depends on our ability to develop, operate, and adapt our technology and organizational infrastructure in a rapidly changing environment. In addition, we must accurately process, record and monitor an increasingly large number of complex transactions. Digital technology, cloud-based services, data and software development are deeply embedded into our business model and how we work.</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Similar to other large corporations in our industry, we are exposed to operational risk that can manifest itself in many ways, such as errors in execution, inadequate processes, inaccurate models, faulty or disabled technological infrastructure, malicious disruption and fraud by employees or persons outside of our company, whether through attacks on Capital One directly or on our customers. In addition, the increasing use of near real-time money movement solutions, among other risks, increases the complexity of preventing, detecting and recovering fraudulent transactions. In addition, we are heavily dependent on the security, capability, integrity and continuous availability of the technology systems that we use to manage our internal financial and other systems, monitor risk and compliance with regulatory requirements, provide services to our customers, develop and offer new products and communicate with stakeholders. We also face risk of adverse customer impacts and business disruption arising from the execution of strategic initiatives and operational plans we may pursue across our operations.</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If we do not maintain the necessary operational, technological and organizational infrastructure to operate our business, including to maintain the resiliency and security of that infrastructure, our business and reputation could be materially adversely affected. We also are subject to disruptions to our systems arising from events that are wholly or partially beyond our control, which may include computer viruses, electrical or telecommunications outages, bugs, design flaws in foundational components or platforms, availability and quality of vulnerability patches from key vendors, cyber-attacks and other security incidents, natural disasters, other damage to property or physical assets, or events arising from local or larger scale politics, including terrorist acts. Any failure to maintain our infrastructure or prevent disruption of our systems and applications could diminish our ability to operate our businesses, service customer accounts and protect customers’ information, or result in potential liability to customers, reputational damage, regulatory intervention and customers’ loss of confidence in our businesses, any of which could result in a material adverse effect.</w:t>
      </w:r>
    </w:p>
    <w:p>
      <w:pPr>
        <w:spacing w:after="0" w:line="200" w:lineRule="exact"/>
        <w:rPr>
          <w:sz w:val="20"/>
          <w:szCs w:val="20"/>
          <w:color w:val="auto"/>
        </w:rPr>
      </w:pPr>
    </w:p>
    <w:p>
      <w:pPr>
        <w:spacing w:after="0" w:line="344"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We also rely on the business infrastructure and systems of third parties with which we do business and to whom we outsource the operation, maintenance and development of our information technology and communications systems. We have substantially migrated all aspects of our core information technology systems and customer-facing applications to third-party cloud infrastructure platforms, principally AWS. If we fail to architect, administer or oversee these environments in a well-managed, secure and effective manner, or if such platforms become unavailable, are disrupted, fail to scale, do not operate as designed, or do not meet their service level agreements for any reason, we may experience unplanned service disruption or unforeseen costs which could result in material harm to our business and operations. We must successfully develop and maintain information, financial reporting, disclosure, privacy, data protection, data security and other controls adapted to our reliance on outside platforms and providers. In addition, AWS, or other service providers could experience system or telecommunication breakdowns or failures, outages, degradation in service, downtime, failure to scale, software bugs, cyber-attacks and other security incidents, adverse changes to financial condition, bankruptcy, or other adverse conditions, (including conditions which interfere with our access to and use of AWS), which could have a material adverse effect on our business and reputation. Thus, the substantial amount of our infrastructure that we outsource to AWS or to other third parties may increase our risk exposure.</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Any disruptions, failures or inaccuracies of our operational processes, technology systems and models, including those associated with improvements or modifications to such technology systems and models, could cause us to be unable to market and manage our products and services, manage our risk, meet our regulatory obligations or report our financial results in a timely and accurate manner, all of which could have a negative impact on our results of operations. In addition, our ongoing investments in infrastructure, which are necessary to maintain a competitive business, integrate acquisitions and establish scalable operations, may increase our expenses. As our business develops, changes or expands, additional expenses can arise as a result of a reevaluation of business strategies, management of outsourced services, asset purchases or other acquisitions, structural reorganization, compliance with new laws or regulations, the integration of newly acquired businesses, or the prevention or occurrence of cyber-attacks and other security incidents. If we are unable to successfully manage our expenses, our financial results will be negatively affected. Changes to our business, including those resulting from our strategic objectives, also requires robust governance to ensure that our objectives are executed as intended without adversely impacting our customers, associates, operations or financial performance. Ineffective change management oversight and governance over the execution of our strategic objectives could expose us to operational, strategic and reputational risk and could negatively impact customers or our financial performance.</w:t>
      </w:r>
    </w:p>
    <w:p>
      <w:pPr>
        <w:spacing w:after="0" w:line="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 cyber-attack or other security incident, including one that results in the theft, loss, manipulation or misuse of information (including personal information), or the disabling of systems and access to information critical to business operations, may result in increased costs, reductions in revenue, reputational damage, legal exposure and business disruptions.</w:t>
      </w:r>
    </w:p>
    <w:p>
      <w:pPr>
        <w:spacing w:after="0" w:line="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Our ability to provide our products and services, many of which are internet-based, and communicate with our customers, depends upon the management and safeguarding of information systems and infrastructure, networks, software, data, technology, methodologies and business secrets, including those of our service providers. Our products and services involve the collection, authentication, management, usage, storage, transmission and eventual destruction of sensitive and confidential information, including personal information, regarding our customers and their accounts, our employees, our partners and other third parties with which we do business. We also have arrangements in place with third parties through which we share and receive information about their customers who are or may become our customers. The financial services industry, including Capital One, is particularly at risk because of the use of and reliance on digital banking products and other digital services, including mobile banking products, such as mobile payments, and other internet- and cloud-based products and applications, and the development of additional remote connectivity solutions, which increase cybersecurity risks and exposure. Consumer acceptance and use of such digital banking products and services has substantially increased since the onset of the COVID pandemic.</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Technologies, systems, networks, and other devices of Capital One, as well as those of our employees, service providers, partners and other third parties with whom we interact, have been and may continue to be the subject of cyber-attacks and other security incidents, including computer viruses, hacking, malware, ransomware, supply chain attacks, vulnerabilities, credential stuffing, or phishing or other forms of social engineering. Such cyber-attacks and other security incidents are designed to lead to various harmful outcomes, such as unauthorized transactions in Capital One accounts, unauthorized or unintended access to or release, gathering, monitoring, disclosure, loss, destruction, corruption, disablement, encryption, misuse, modification or other processing of confidential or sensitive information (including personal information), intellectual property, software, methodologies or business secrets, disruption, sabotage or degradation of service, systems or networks, or other damage. These threats may derive from, among other things, error, fraud or malice on the part of our employees, insiders, or third parties or may result from accidental technological failure or design flaws. Any of these parties may also attempt to fraudulently induce</w:t>
      </w:r>
    </w:p>
    <w:p>
      <w:pPr>
        <w:spacing w:after="0" w:line="200" w:lineRule="exact"/>
        <w:rPr>
          <w:sz w:val="20"/>
          <w:szCs w:val="20"/>
          <w:color w:val="auto"/>
        </w:rPr>
      </w:pPr>
    </w:p>
    <w:p>
      <w:pPr>
        <w:spacing w:after="0" w:line="344"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employees, service providers, customers, partners or other third-party users of our systems or networks to disclose confidential or sensitive information (including personal information) in order to gain access to our systems, networks or data or that of our customers, partners, or third parties with whom we interact, or to unlawfully obtain monetary benefit through misdirected or otherwise improper payment. For instance, any party that obtains our confidential or sensitive information (including personal information) through a cyber-attack or other security incident may use this information for ransom, to be paid by us or a third party, as part of a fraudulent activity that is part of a broader criminal activity, or for other illicit purposes.</w:t>
      </w:r>
    </w:p>
    <w:p>
      <w:pPr>
        <w:spacing w:after="0" w:line="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For example, on July 29, 2019, we announced that on March 22 and 23, 2019 an outside individual gained unauthorized access to our systems (the “Cybersecurity Incident”). This individual obtained certain types of personal information relating to people who had applied for our credit card products and to our credit card customers. While the Cybersecurity Incident has been remediated, it has resulted in fines, litigation, settlements, government investigations and other regulatory enforcement inquiries, as well as consent orders with the Federal Reserve and the OCC. On August 31, 2022, the OCC terminated its consent order. Cyber and information security risks for large financial institutions like us continue to increase due to the proliferation of new technologies, the industry-wide shift to reliance upon the internet to conduct financial transactions, and the increased sophistication and activities of malicious actors, organized crime, perpetrators of fraud, hackers, terrorists, activists, extremist parties, formal and informal instrumentalities of foreign governments, state-sponsored actors and other external parties. In addition, our customers access our products and services using personal devices that are necessarily external to our security control systems. There has also been a significant proliferation of consumer information available on the internet resulting from breaches of third-party entities, including personal information, log-in credentials and authentication data. While we were not directly involved in these third-party breach events, the stolen information can create a threat for our customers if their Capital One log-in credentials are the same as or similar to the credentials that have been compromised on other internet sites. This threat could include the risk of unauthorized account access, data loss and fraud. The use of artificial intelligence, “bots” or other automation software can increase the velocity and efficacy of these types of attacks. As our employees are currently operating under our hybrid work model, our remote interaction with service providers, partners and other third parties on systems, networks and environments over which we have less control increases our cybersecurity risk exposure. We will likely face an increasing number of attempted cyber-attacks as we expand our mobile and other internet-based products and services, as well as our usage of mobile and cloud technologies and as we provide more of these services to a greater number of retail banking customers.</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methods and techniques employed by malicious actors change frequently, are increasingly sophisticated and often are not fully recognized or understood until after they have occurred, and some techniques could occur and persist for an extended period of time before being detected and remediated. For example, although we immediately fixed the configuration vulnerability that was exploited in the Cybersecurity Incident once we discovered the unauthorized access, a period of time elapsed between the occurrence of the unauthorized access and the time when we discovered it. In other circumstances, we and our service providers and other third parties with which we interact may be unable to anticipate or identify certain attack methods or techniques in order to implement effective preventative or detective measures or mitigate or remediate the damages caused in a timely manner. We may also be unable to hire, develop and retain talent that keeps pace with the rapidly changing cyber threat landscape, and which are capable of preventing, detecting, mitigating or remediating these risks. Although we seek to maintain a robust suite of authentication and layered information security controls, any one or combination of these controls could fail to prevent, detect, mitigate or remediate these risks in a timely manner.</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 disruption or breach, including as a result of a cyber-attack such as the Cybersecurity Incident, or media reports of perceived security vulnerabilities at Capital One or at our service providers, could result in significant legal and financial exposure, regulatory intervention, litigation, remediation costs, card reissuance, supervisory liability, damage to our reputation or loss of confidence in the security of our systems, products and services that could adversely affect our business. There can be no assurance that unauthorized access or cyber incidents similar to the Cybersecurity Incident will not occur or that we will not suffer material losses in the future. If future attacks are successful or if customers are unable to access their accounts online for other reasons, it could adversely impact our ability to service customer accounts or loans, complete financial transactions for our customers or otherwise operate any of our businesses or services. In addition, a breach or attack affecting one of our service providers or other third parties with which we interact could harm our business even if we do not control the service that is attacked.</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Further, our ability to monitor our service providers’ cybersecurity practices is limited. Although the agreements that we have in place with our service providers generally include requirements relating to cybersecurity and data privacy, we cannot guarantee that such agreements will prevent a cyber incident impacting our systems or information or enable us to obtain adequate or any reimbursement from our service providers in the event we should suffer any such incidents. However, due to</w:t>
      </w:r>
    </w:p>
    <w:p>
      <w:pPr>
        <w:spacing w:after="0" w:line="200" w:lineRule="exact"/>
        <w:rPr>
          <w:sz w:val="20"/>
          <w:szCs w:val="20"/>
          <w:color w:val="auto"/>
        </w:rPr>
      </w:pPr>
    </w:p>
    <w:p>
      <w:pPr>
        <w:spacing w:after="0" w:line="33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29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applicable laws and regulations or contractual obligations, we may be held responsible for cyber incidents attributed to our service providers as they relate to the information we share with them.</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addition, the increasing prevalence and the evolution of cyber-attacks and other efforts to breach or disrupt our systems or networks or those of our customers, service providers, partners or other third parties with which we interact has led, and will likely continue to lead, to increased costs to us with respect to preventing, detecting, mitigating and remediating these risks, as well as any related attempted fraud. In order to address ongoing and future risks, we must expend significant resources to support protective security measures, investigate and remediate any vulnerabilities of our information systems and infrastructure and invest in new technology designed to mitigate security risks. Further, high profile cyber incidents at Capital One or other large financial institutions could lead to a general loss of customer confidence in financial institutions that could negatively affect us, including harming the market perception of the effectiveness of our security measures or the global financial system in general, which could result in reduced use of our financial products. We have insurance against some cyber risks and attacks; nonetheless, our insurance coverage may not be sufficient to offset the impact of a material loss event (including if our insurer denies coverage as to any particular claim in the future), and such insurance may increase in cost or cease to be available on commercially reasonable terms, or at all, in the future.</w:t>
      </w:r>
    </w:p>
    <w:p>
      <w:pPr>
        <w:spacing w:after="0" w:line="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required compliance with applicable laws and regulations related to privacy, data protection and data security may increase our costs, reduce our revenue, increase our legal exposure and limit our ability to pursue business opportunities.</w:t>
      </w:r>
    </w:p>
    <w:p>
      <w:pPr>
        <w:spacing w:after="0" w:line="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We are subject to a variety of continuously evolving and developing laws and regulations in the United States at the federal, state and local level regarding privacy, data protection and data security, including those related to the collection, storage, handling, use, disclosure, transfer, security and other processing of personal information. For example, at the federal level, we are subject to the GLBA, among other laws and regulations. Moreover, the U.S. Congress is currently considering various proposals for more comprehensive privacy, data protection and data security legislation, to which we may be subject if passed. In addition, in November 2021, the Federal Reserve, OCC, and FDIC issued a final rule that, among other things, requires all banking organizations in the United States to notify their primary federal regulators of certain material computer-security incidents as soon as possible and no later than 36 hours after determining that the incident has occurred. The enactment of CIRCIA, once rulemaking is complete, will require, among other things, certain companies to report significant cyber incidents to the CISA within 72 hours from the time the company reasonably believes the incident occurred, and a proposed rule by the SEC, if enacted, would mandate public disclosure of material cybersecurity incidents within four business days of determining that such an incident has occurred. At the state level, California has enacted the California Privacy Rights Act (“CPRA”), and various other states also have enacted or are in the process of enacting state-level privacy, data protection and/or data security laws and regulations, with which we may be required to comply.</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also are, or may become, subject to continuously evolving and developing laws and regulations in other jurisdictions regarding privacy, data protection and data security. For example, in Canada we are subject to the Personal Information Protection and Electronic Documents Act (“PIPEDA”). In addition, subject to limited exceptions, the EU General Data Projection Regulation (“EU GDPR”) applies EU data protection law to all companies processing personal data of EU residents, regardless of the company’s location. We also are subject to the UK General Data Protection Regulation (“U.K. GDPR”), which is how the EU GDPR has been implemented into U.K. law. These laws and regulations, and similar laws and regulations in other jurisdictions, impose strict requirements regarding the collection, storage, handling, use, disclosure, transfer, security and other processing of personal information, which may have adverse consequences, including significant compliance costs and severe monetary penalties for non-compliance. Significant uncertainty exists as privacy, data protection, and data security laws may be interpreted and applied differently from country to country and may create inconsistent or conflicting requirements.</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Further, we make public statements about our use, collection, disclosure and other processing of personal information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privacy, data protection and data security can subject us to potential government or legal action if they are found to be deceptive, unfair or misrepresentative of our actual practices.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efforts to comply with GLBA, CPRA, PIPEDA, EU GDPR, U.K. GDPR and other privacy, data protection and data security laws and regulations, as well as our posted privacy policies, and related contractual obligations to third parties, entail substantial expenses, may divert resources from other initiatives and projects, and could limit the services we are able to offer. Furthermore, enforcement actions and investigations by regulatory authorities related to data security incidents and privacy, data protection and data security violations continue to increase. The enactment of more restrictive laws or regulations, or future</w:t>
      </w:r>
    </w:p>
    <w:p>
      <w:pPr>
        <w:spacing w:after="0" w:line="200" w:lineRule="exact"/>
        <w:rPr>
          <w:sz w:val="20"/>
          <w:szCs w:val="20"/>
          <w:color w:val="auto"/>
        </w:rPr>
      </w:pPr>
    </w:p>
    <w:p>
      <w:pPr>
        <w:spacing w:after="0" w:line="347"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enforcement actions or investigations, could impact us through increased costs or restrictions on our business, and any noncompliance or perceived noncompliance could result in monetary or other penalties, harm to our reputation and significant legal liability.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resulting from the extensive use of models and data.</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We rely on quantitative models and our ability to manage and aggregate data in an accurate and timely manner to assess and manage our various risk exposures, create estimates and forecasts, and manage compliance with regulatory capital requirements. Models may be used in processes such as determining the pricing of various products, grading loans and extending credit, measuring interest rate and other market risks, predicting deposit levels or loan losses, assessing capital adequacy, calculating managerial and regulatory capital levels, estimating the value of financial instruments and balance sheet items, and other operational functions. Our risk reporting and management, including business decisions based on information incorporating models, depend on the effectiveness of our models and our policies, programs, processes and practices governing how data or models, as applicable, are acquired, validated, stored, protected, processed and analyzed. Any issues with the quality or effectiveness of our data aggregation and validation procedures, as well as the quality and integrity of data inputs, formulas or algorithms, could result in inaccurate forecasts, ineffective risk management practices or inaccurate risk reporting. In addition, models based on historical data sets might not be accurate predictors of future outcomes and their ability to appropriately predict future outcomes may degrade over time. While we continuously update our policies, programs, processes and practices, many of our data management, modeling, aggregation and implementation processes are manual and may be subject to human error, data limitations, process delays or system failure. Failure to manage data effectively and to aggregate data in an accurate and timely manner may limit our ability to manage current and emerging risk, to produce accurate financial, regulatory and operational reporting as well as to manage changing business needs. If our Framework is ineffective, we could suffer unexpected losses which could materially adversely affect our results of operation or financial condition. Also, any information we provide to the public or to our regulators based on poorly designed or implemented models could be inaccurate or misleading. Some of the decisions that our regulators make, including those related to capital distribution to our stockholders, could be affected adversely due to the perception that the quality of the models used to generate the relevant information is insufficient.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and Regulatory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with new and existing laws, regulations and regulatory expectations is costly and complex.</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 wide array of laws and regulations, including banking and consumer lending laws and regulations, apply to every aspect of our business. We and our subsidiaries are also subject to supervision and examination by multiple regulators, and the manner in which our regulators interpret applicable laws and regulations may affect how we comply with them. Failure to comply with these laws and regulations, even if the failure was inadvertent or reflects a difference in interpretation, could subject us to restrictions on our business activities, fines, criminal sanctions and other penalties, and/or damage to our reputation with regulators, our customers or the public. Hiring, training and retaining qualified compliance and legal personnel, and establishing and maintaining risk management and compliance-related systems, infrastructure and processes, is difficult and may lead to increased expenses. These efforts and the associated costs could limit our ability to invest in other business opportunities.</w:t>
      </w:r>
    </w:p>
    <w:p>
      <w:pPr>
        <w:spacing w:after="0" w:line="8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Applicable rules and regulations may affect us disproportionately compared to our competitors or in an unforeseen manner. For example, we have a large number of customer accounts in our credit card and auto lending businesses and we have made the strategic choice to originate and service subprime credit card and auto loans, which typically have higher delinquencies and charge-offs than prime customer accounts. As a result, we have significant involvement with credit bureau reporting and the collection and recovery of delinquent and charged-off debt, primarily through customer communications, the filing of litigation against customers in default, the periodic sale of charged-off debt and vehicle repossession. These and other consumer lending activities are subject to enhanced legal and regulatory scrutiny from regulators, courts and legislators. Any future changes to or legal liabilities resulting from our business practices in these areas, including our debt collection practices and the fees we charge, whether mandated by regulators, courts, legislators or otherwise, could have a material adverse impact on our financial condition.</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legislative and regulatory environment is beyond our control, may change rapidly and unpredictably, and may negatively influence our revenue, costs, earnings, growth, liquidity and capital levels. For example, there may be future rulemaking in emerging regulatory areas such as climate-related risks and new technologies. In addition, some rules and regulations may be subject to litigation or other challenges that delay or modify their implementation and impact on us. Adoption of new technologies, such as distributed ledger technologies, tokenization, cloud computing, artificial intelligence and machine learning technologies, can present unforeseen challenges in applying and relying on existing compliance systems.</w:t>
      </w:r>
    </w:p>
    <w:p>
      <w:pPr>
        <w:spacing w:after="0" w:line="200" w:lineRule="exact"/>
        <w:rPr>
          <w:sz w:val="20"/>
          <w:szCs w:val="20"/>
          <w:color w:val="auto"/>
        </w:rPr>
      </w:pPr>
    </w:p>
    <w:p>
      <w:pPr>
        <w:spacing w:after="0" w:line="34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Certain laws and regulations, and any interpretations and applications with respect thereto, are generally intended to protect consumers, borrowers, depositors, the DIF, the U.S. banking and financial system, and financial markets as a whole, but not stockholders. Our success depends on our ability to maintain compliance with both existing and new laws and regulations. For a description of the material laws and regulations, including those related to the consumer lending business, to which we are subject, see “Part I—Item 1. Business—Supervision and Regulation.”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businesses are subject to the risk of increased litigation, government investigations and regulatory enforcement.</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businesses are subject to increased litigation, government investigations and other regulatory enforcement risks as a result of a number of factors and from various sources, including the highly regulated nature of the financial services industry, the focus of state and federal prosecutors on banks and the financial services industry and the structure of the credit card industry.</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Given the inherent uncertainties involved in litigation, government investigations and regulatory enforcement decisions, and the very large or indeterminate damages sought in some matters asserted against us, there can be significant uncertainty as to the ultimate liability we may incur from these kinds of matters. The finding, or even the assertion, of substantial legal liability against us could have a material adverse effect on our business and financial condition and could cause significant reputational harm to us, which could seriously harm our business. For example, the Cybersecurity Incident has resulted in litigation, settlements, government investigations and other regulatory enforcement inquiries.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financial institutions, such as ourselves, face significant regulatory scrutiny, which can lead to public enforcement actions or nonpublic supervisory actions. We and our subsidiaries are subject to comprehensive regulation and periodic examination by, among other regulatory bodies, the Federal Banking Agencies, SEC, CFTC and CFPB. We have been subject to enforcement actions by many of these and other regulators and may continue to be involved in such actions, including governmental inquiries, investigations and enforcement proceedings, including by the OCC, Department of Justice, Financial Crimes Enforcement Network (“FinCEN”) and state Attorneys General.</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Over the last several years, federal and state regulators have focused on compliance with AML and sanctions laws, privacy, data protection and data security, use of service providers, fair lending and other consumer protection issues. In August 2020, we entered into consent orders with the Federal Reserve and the OCC resulting from regulatory reviews of the Cybersecurity Incident and relating to ongoing enhancements of our cybersecurity and operational risk management processes, and we paid a civil monetary penalty as part of the OCC agreement. On August 31, 2022, the OCC terminated its consent order. In January 2021, we also paid a civil monetary penalty assessed by FinCEN against the Bank in connection with AML violations alleged to have occurred between 2008 and 2014. Regulatory scrutiny is expected to continue in these areas, including as a result of implementation of the AML Act of 2020.</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expect that regulators and governmental enforcement bodies will continue taking public enforcement actions against financial institutions in addition to addressing supervisory concerns through nonpublic supervisory actions or findings, which could involve restrictions on our activities, or our ability to make acquisitions or otherwise expand our business, among other limitations that could adversely affect our business. In addition, a violation of law or regulation by another financial institution is likely to give rise to an investigation by regulators and other governmental agencies of the same or similar practices by us. Furthermore, a single event may give rise to numerous and overlapping investigations and proceedings. These and other initiatives from governmental authorities and officials may subject us to further judgments, settlements, fines or penalties, or cause us to restructure our operations and activities or to cease offering certain products or services, all of which could harm our reputation or lead to higher operational costs. Litigation, government investigations and other regulatory actions could generally subject us to significant fines, increased expenses, restrictions on our activities and damage to our reputation and our brand, and could adversely affect our business, financial condition and results of operations. For additional information regarding legal and regulatory proceedings to which we are subject, see “Part II—Item 8. Financial Statements and Supplementary Data—Note 18—Commitments, Contingencies, Guarantees and Others.”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Business Risks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intense competition in all of our markets.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operate in a highly competitive environment across all of our lines of business, whether in making loans, attracting deposits or in the global payments industry, and we expect competitive conditions to continue to intensify with respect to most of our products particularly in our credit card and consumer banking business. We compete on the basis of the rates we pay on deposits and the rates and other terms we charge on the loans we originate or purchase, as well as the quality and range of our</w:t>
      </w:r>
    </w:p>
    <w:p>
      <w:pPr>
        <w:spacing w:after="0" w:line="200" w:lineRule="exact"/>
        <w:rPr>
          <w:sz w:val="20"/>
          <w:szCs w:val="20"/>
          <w:color w:val="auto"/>
        </w:rPr>
      </w:pPr>
    </w:p>
    <w:p>
      <w:pPr>
        <w:spacing w:after="0" w:line="33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customer service, products, innovation and experience. This increasingly competitive environment is primarily a result of changes in technology, product delivery systems and regulation, as well as the emergence of new or significantly larger financial services providers, all of which may affect our customers’ expectations and demands. In addition to offering competitive products and services, we invest in and conduct marketing campaigns to attract and inform customers. If our marketing campaigns are unsuccessful, it may adversely impact our ability to attract new customers and grow market share.</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Some of our competitors, including new and emerging competitors in the digital and mobile payments space and other financial technology providers, are not subject to the same regulatory requirements or scrutiny to which we are subject, which also could place us at a competitive disadvantage, in particular in the development of new technology platforms or the ability to rapidly innovate. We compete with many forms of payments offered by both bank and non-bank providers, including a variety of new and evolving alternative payment mechanisms, systems and products, such as aggregators and web-based and wireless payment platforms or technologies, digital or cryptocurrencies, prepaid systems and payment services targeting users of social networks, communications platforms and online gaming. If we are unable to continue to keep pace with innovation, do not effectively market our products and services or are prohibited from or unwilling to enter emerging areas of competition, our business and results of operations could be adversely affected.</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Some of our competitors are substantially larger than we are, which may give those competitors advantages, including a more diversified product and customer base, the ability to reach more customers and potential customers, operational efficiencies, broad-based local distribution capabilities, lower-cost funding and larger existing branch networks. Many of our competitors are also focusing on cross-selling their products and developing new products or technologies, which could affect our ability to maintain or grow existing customer relationships or require us to offer lower interest rates or fees on our lending products or higher interest rates on deposits. Competition for loans could result in origination of fewer loans, earning less on our loans or an increase in loans that perform below expectations.</w:t>
      </w:r>
    </w:p>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operate as an online direct bank in the United States. While direct banking provides a significant opportunity to attract new customers that value greater and more flexible access to banking services at reduced costs, we face strong and increasing competition in the direct banking market. Aggressive pricing throughout the industry may adversely affect the retention of existing balances and the cost-efficient acquisition of new deposit funds and may affect our growth and profitability. Customers could also close their online accounts or reduce balances or deposits in favor of products and services offered by competitors for other reasons. These shifts, which could be rapid, could result from general dissatisfaction with our products or services, including concerns over pricing, online security or our reputation. The potential consequences of this competitive environment are exacerbated by the flexibility of direct banking and the financial and technological sophistication of our online customer base.</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our credit card business, competition for rewards customers may result in higher rewards expenses, or we may fail to attract new customers or retain existing rewards customers due to increasing competition for these consumers. As of December 31, 2022, we have a number of large partnerships in our credit card loan portfolio. The market for key business partners, especially in the credit card business, is very competitive, and we may not be able to grow or maintain these partner relationships or assure that these relationships will be profitable or valued by our customers. Additionally, partners themselves may face changes in their business, including market factors and ownership changes, that could impact the partnership. We face the risk that we could lose partner relationships, even after we have invested significant resources into acquiring and developing the relationships. The loss of key business partners could have a negative impact on our results of operations, including lower returns, excess operating expense and excess funding capacity.</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depend on our partners to effectively promote our co-brand and private label products and integrate the use of our credit cards into their retail operations. The failure by our partners to effectively promote and support our products as well as changes they may make in their business models could adversely affect card usage and our ability to achieve the growth and profitability objectives of our partnerships. In addition, if our partners do not adhere to the terms of our program agreements and standards, or otherwise diminish the value of our brand, we may suffer reputational damage and customers may be less likely to use our products.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Some of our competitors have developed, or may develop, substantially greater financial and other resources than we have, may offer richer value propositions or a wider range of programs and services than we offer, or may use more effective advertising, marketing or cross-selling strategies to acquire and retain more customers, capture a greater share of spending and borrowings, attain and develop more attractive co-brand card programs and maintain greater merchant acceptance than we have. We may not be able to compete effectively against these threats or respond or adapt to changes in consumer spending habits as effectively as our competitors.</w:t>
      </w:r>
    </w:p>
    <w:p>
      <w:pPr>
        <w:spacing w:after="0" w:line="200" w:lineRule="exact"/>
        <w:rPr>
          <w:sz w:val="20"/>
          <w:szCs w:val="20"/>
          <w:color w:val="auto"/>
        </w:rPr>
      </w:pPr>
    </w:p>
    <w:p>
      <w:pPr>
        <w:spacing w:after="0" w:line="33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such a competitive environment, we may lose entire accounts or may lose account balances to competing firms, or we may find it more costly to maintain our existing customer base. Customer attrition from any or all of our lending products, together with any lowering of interest rates or fees that we might implement to retain customers, could reduce our revenues and therefore our earnings. Similarly, unexpected customer attrition from our deposit products, in addition to an increase in rates or services that we may offer to retain deposits, may increase our expenses and therefore reduce our earnings.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financial condition and results of operations may be adversely affected by merchants’ increasing focus on the fees charged by credit and debit card networks and by legislation and regulation impacting such fees.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Interchange fees are generally one of the largest components of the costs that merchants pay in connection with the acceptance of credit and debit cards and are a meaningful source of revenue for our credit and debit card businesses. Interchange fees are the subject of significant and intense global legal, legislative and regulatory focus, and the resulting decisions, legislation and regulation may have a material adverse impact on our overall business, financial condition and results of operations.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Legislative and regulatory bodies in a number of countries are seeking to reduce interchange fees through legislation, competition-related regulatory proceedings, voluntary agreements, central bank regulation and/or litigation. For credit transactions, interchange reimbursement rates in the United States are set by credit card networks such as MasterCard and Visa. For debit transactions, Federal Reserve rules place limits on the interchange fees we may charge. For more information on these rules, please see “Part I—Item 1. Business—Supervision and Regulation.” In some jurisdictions, such as Canada and certain countries in Europe, including the U.K., interchange fees and related practices are subject to regulatory activity, including in some cases, imposing caps on permissible interchange fees. Our international card businesses have been impacted by these restrictions. For example, in the U.K., interchange fees are capped for both credit and debit card transactions. In addition, in Canada, Visa and Mastercard payment networks have entered into voluntary agreements with the Department of Finance Canada to maintain an agreed upon average interchange rate. Lowering interchange fees remains an area of domestic and international governmental focus. Legislators and regulators around the world are aware of each other’s approaches to the regulation of the payments industry. Consequently, a development in one country, state or region may influence regulatory approaches in another, such as our primary market, the United States.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In addition to this regulatory activity, merchants are also seeking avenues to reduce interchange fees. In the past, merchants and their trade groups have filed numerous lawsuits against Visa, MasterCard, American Express and their card-issuing banks, claiming that their practices toward merchants, including interchange and similar fees, violate federal antitrust laws. In 2005, a number of entities filed antitrust lawsuits against MasterCard and Visa and several member banks, including our subsidiaries and us, alleging among other things, that the defendants conspired to fix the level of interchange fees. In December 2013, the U.S. District Court for the Eastern District of New York granted final approval of the proposed class settlement. The settlement provided, among other things, that merchants would be entitled to join together to negotiate lower interchange fees. The settlement was appealed to the Second Circuit Court of Appeals, which rejected the settlement in June 2016; a revised settlement was reached in the second half of 2018, and the trial court issued its final approval of the settlement in December 2019. See “Part II—Item 8. Financial Statements and Supplementary Data—Note 18—Commitments, Contingencies, Guarantees and Others” for further details.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Some major retailers have sufficient bargaining power to independently negotiate lower interchange fees with MasterCard and Visa, which could, in turn, result in lower interchange fees for us when our cardholders undertake purchase transactions with these retailers. Merchants also continue to lobby Congress aggressively for restrictions on interchange fees and their efforts may be successful. Retailers may in the future bring legal proceedings against us or other credit card and debit card issuers and networks.</w:t>
      </w:r>
    </w:p>
    <w:p>
      <w:pPr>
        <w:spacing w:after="0" w:line="14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Beyond pursuing litigation, legislation and regulation, merchants may also promote forms of payment with lower fees, such as ACH-based payments, or seek to impose surcharges at the point of sale for use of credit or debit cards. New payment systems, particularly mobile-based payment technologies, could also gain widespread adoption and lead to issuer transaction fees or the displacement of credit card accounts as a payment method.</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heightened focus by merchants and legislative and regulatory bodies on the fees charged by credit and debit card networks, and the ability of certain merchants to successfully negotiate discounts to interchange fees with MasterCard and Visa or develop alternative payment systems, could result in a reduction of interchange fees. Any resulting loss in income to us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not able to invest successfully in and introduce digital and other technological developments across all our businesses, our financial performance may suffer.</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Our industry is subject to rapid and significant technological changes and our ability to meet our customers’ needs and expectations is key to our ability to grow revenue and earnings. We expect digital technologies to continue to have a significant impact on banking over time. Consumers expect robust digital experiences from their financial services providers. The ability for customers to access their accounts and conduct financial transactions using digital technology, including mobile applications, is an important aspect of the financial services industry and financial institutions are rapidly introducing new digital and other technology-driven products and services that aim to offer a better customer experience and to reduce costs. We continue to invest in digital technology designed to attract new customers, facilitate the ability of existing customers to conduct financial transactions and enhance the customer experience related to our products and services.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Our continued success depends, in part, upon our ability to assess and address the needs of our customers by using digital technology to provide products and services that meet their expectations. The development and launch of new digital products and services depends in large part on our ability to invest in and build the technology platforms that can enable them, in a cost effective and timely manner. See “</w:t>
      </w:r>
      <w:r>
        <w:rPr>
          <w:rFonts w:ascii="Times New Roman" w:cs="Times New Roman" w:eastAsia="Times New Roman" w:hAnsi="Times New Roman"/>
          <w:sz w:val="12"/>
          <w:szCs w:val="12"/>
          <w:i w:val="1"/>
          <w:iCs w:val="1"/>
          <w:color w:val="auto"/>
        </w:rPr>
        <w:t>We face intense competition in all of our markets</w:t>
      </w:r>
      <w:r>
        <w:rPr>
          <w:rFonts w:ascii="Times New Roman" w:cs="Times New Roman" w:eastAsia="Times New Roman" w:hAnsi="Times New Roman"/>
          <w:sz w:val="12"/>
          <w:szCs w:val="12"/>
          <w:color w:val="auto"/>
        </w:rPr>
        <w:t>” and</w:t>
      </w: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We face risks related to our operational, technological and organizational infrastructure.</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Some of our competitors are substantially larger than we are, which may allow those competitors to invest more money into their technology infrastructure and digital innovation than we do. In addition, smaller competitors may experience lower cost structures and different regulatory requirements and scrutiny than we do, which may allow them to innovate more rapidly than we can. See “</w:t>
      </w:r>
      <w:r>
        <w:rPr>
          <w:rFonts w:ascii="Times New Roman" w:cs="Times New Roman" w:eastAsia="Times New Roman" w:hAnsi="Times New Roman"/>
          <w:sz w:val="12"/>
          <w:szCs w:val="12"/>
          <w:i w:val="1"/>
          <w:iCs w:val="1"/>
          <w:color w:val="auto"/>
        </w:rPr>
        <w:t>We face intense competition in all of our markets.</w:t>
      </w:r>
      <w:r>
        <w:rPr>
          <w:rFonts w:ascii="Times New Roman" w:cs="Times New Roman" w:eastAsia="Times New Roman" w:hAnsi="Times New Roman"/>
          <w:sz w:val="12"/>
          <w:szCs w:val="12"/>
          <w:color w:val="auto"/>
        </w:rPr>
        <w:t>” Further, our success depends on our ability to attract and retain strong digital and technology leaders, engineers and other specialized personnel. The competition is intense and the compensation costs continue to increase for such talent. If we are unable to attract and retain digital and technology talent, our ability to offer digital products and services and build the necessary technology infrastructure could be negatively affected, which could negatively impact our business and financial results. A failure to maintain or enhance our competitive position with respect to digital products and services, whether because we fail to anticipate customer expectations or because our technological developments fail to perform as desired or are not implemented in a timely or successful manner, could negatively impact our business and financial results.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fail to realize the anticipated benefits of our mergers, acquisitions and strategic partnerships.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engage in merger and acquisition activity and enter into strategic partnerships from time to time. We continue to evaluate and anticipate engaging in, among other merger and acquisition activity, additional strategic partnerships and selected acquisitions of financial institutions and other businesses or assets, including credit card and other loan portfolios. We may not be able to identify and secure future acquisition targets on terms and conditions that are acceptable to us, or successfully complete and integrate the businesses within the anticipated time frame and achieve the anticipated benefits of proposed mergers, acquisitions and strategic partnerships, which could impair our growth.</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Any merger, acquisition or strategic partnership we undertake entails certain risks, which may materially and adversely affect our results of operations. If we experience greater than anticipated costs to integrate acquired businesses into our existing operations, or are not able to achieve the anticipated benefits of any merger, acquisition or strategic partnership, including cost savings and other synergies, our business could be negatively affected. In addition, it is possible that the ongoing integration processes could result in the loss of key employees, errors or delays in systems implementation, exposure to cybersecurity risks associated with acquired businesses, exposure to additional regulatory oversight, the disruption of our ongoing businesses or inconsistencies in standards, controls, procedures and policies that adversely affect our ability to maintain relationships with partners, clients, customers, depositors and employees or to achieve the anticipated benefits of any merger, acquisition or strategic partnership. Integration efforts also may divert management attention and resources. These integration matters may have an adverse effect on us during any transition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we may face the following risks in connection with any merger, acquisition or strategic partnership:</w:t>
      </w:r>
    </w:p>
    <w:p>
      <w:pPr>
        <w:spacing w:after="0" w:line="166" w:lineRule="exact"/>
        <w:rPr>
          <w:sz w:val="20"/>
          <w:szCs w:val="20"/>
          <w:color w:val="auto"/>
        </w:rPr>
      </w:pPr>
    </w:p>
    <w:p>
      <w:pPr>
        <w:jc w:val="both"/>
        <w:ind w:left="320" w:hanging="220"/>
        <w:spacing w:after="0" w:line="248" w:lineRule="auto"/>
        <w:tabs>
          <w:tab w:leader="none" w:pos="312" w:val="left"/>
        </w:tabs>
        <w:numPr>
          <w:ilvl w:val="0"/>
          <w:numId w:val="13"/>
        </w:numPr>
        <w:rPr>
          <w:rFonts w:ascii="Arial" w:cs="Arial" w:eastAsia="Arial" w:hAnsi="Arial"/>
          <w:sz w:val="13"/>
          <w:szCs w:val="13"/>
          <w:color w:val="auto"/>
        </w:rPr>
      </w:pPr>
      <w:r>
        <w:rPr>
          <w:rFonts w:ascii="Times New Roman" w:cs="Times New Roman" w:eastAsia="Times New Roman" w:hAnsi="Times New Roman"/>
          <w:sz w:val="12"/>
          <w:szCs w:val="12"/>
          <w:i w:val="1"/>
          <w:iCs w:val="1"/>
          <w:color w:val="auto"/>
        </w:rPr>
        <w:t xml:space="preserve">New Businesses and Geographic or Other Markets: </w:t>
      </w:r>
      <w:r>
        <w:rPr>
          <w:rFonts w:ascii="Times New Roman" w:cs="Times New Roman" w:eastAsia="Times New Roman" w:hAnsi="Times New Roman"/>
          <w:sz w:val="12"/>
          <w:szCs w:val="12"/>
          <w:color w:val="auto"/>
        </w:rPr>
        <w:t>Our merger, acquisition or strategic partnership activity may involve our entry into new businesses, or new geographic areas or markets which present risks resulting from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relative inexperience in these new businesses or markets. These new businesses or markets may change the overall character of our consolidated portfolio of businesses and alter our exposure to economic and other external factors. We face the risk that we will not be successful in these new businesses or in these new markets.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320" w:right="20" w:hanging="220"/>
        <w:spacing w:after="0" w:line="248" w:lineRule="auto"/>
        <w:tabs>
          <w:tab w:leader="none" w:pos="312" w:val="left"/>
        </w:tabs>
        <w:numPr>
          <w:ilvl w:val="0"/>
          <w:numId w:val="14"/>
        </w:numPr>
        <w:rPr>
          <w:rFonts w:ascii="Arial" w:cs="Arial" w:eastAsia="Arial" w:hAnsi="Arial"/>
          <w:sz w:val="13"/>
          <w:szCs w:val="13"/>
          <w:color w:val="auto"/>
        </w:rPr>
      </w:pPr>
      <w:r>
        <w:rPr>
          <w:rFonts w:ascii="Times New Roman" w:cs="Times New Roman" w:eastAsia="Times New Roman" w:hAnsi="Times New Roman"/>
          <w:sz w:val="12"/>
          <w:szCs w:val="12"/>
          <w:i w:val="1"/>
          <w:iCs w:val="1"/>
          <w:color w:val="auto"/>
        </w:rPr>
        <w:t xml:space="preserve">Identification and Assessment of Merger and Acquisition Targets and Deployment of Acquired Assets: </w:t>
      </w:r>
      <w:r>
        <w:rPr>
          <w:rFonts w:ascii="Times New Roman" w:cs="Times New Roman" w:eastAsia="Times New Roman" w:hAnsi="Times New Roman"/>
          <w:sz w:val="12"/>
          <w:szCs w:val="12"/>
          <w:color w:val="auto"/>
        </w:rPr>
        <w:t>We may not be able to identify, acquire or partner with suitable targets. Further, our ability to achieve the anticipated benefits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any merger, acquisition or strategic partnership will depend on our ability to assess the asset quality, risks and value of the particular assets or institutions we partner with, merge with or acquire. We may be unable to profitably deploy any assets we acquire.</w:t>
      </w:r>
    </w:p>
    <w:p>
      <w:pPr>
        <w:spacing w:after="0" w:line="154" w:lineRule="exact"/>
        <w:rPr>
          <w:rFonts w:ascii="Arial" w:cs="Arial" w:eastAsia="Arial" w:hAnsi="Arial"/>
          <w:sz w:val="13"/>
          <w:szCs w:val="13"/>
          <w:color w:val="auto"/>
        </w:rPr>
      </w:pPr>
    </w:p>
    <w:p>
      <w:pPr>
        <w:jc w:val="both"/>
        <w:ind w:left="320" w:hanging="220"/>
        <w:spacing w:after="0" w:line="248" w:lineRule="auto"/>
        <w:tabs>
          <w:tab w:leader="none" w:pos="312" w:val="left"/>
        </w:tabs>
        <w:numPr>
          <w:ilvl w:val="0"/>
          <w:numId w:val="14"/>
        </w:numPr>
        <w:rPr>
          <w:rFonts w:ascii="Arial" w:cs="Arial" w:eastAsia="Arial" w:hAnsi="Arial"/>
          <w:sz w:val="13"/>
          <w:szCs w:val="13"/>
          <w:color w:val="auto"/>
        </w:rPr>
      </w:pPr>
      <w:r>
        <w:rPr>
          <w:rFonts w:ascii="Times New Roman" w:cs="Times New Roman" w:eastAsia="Times New Roman" w:hAnsi="Times New Roman"/>
          <w:sz w:val="12"/>
          <w:szCs w:val="12"/>
          <w:i w:val="1"/>
          <w:iCs w:val="1"/>
          <w:color w:val="auto"/>
        </w:rPr>
        <w:t xml:space="preserve">Accuracy of Assumptions: </w:t>
      </w:r>
      <w:r>
        <w:rPr>
          <w:rFonts w:ascii="Times New Roman" w:cs="Times New Roman" w:eastAsia="Times New Roman" w:hAnsi="Times New Roman"/>
          <w:sz w:val="12"/>
          <w:szCs w:val="12"/>
          <w:color w:val="auto"/>
        </w:rPr>
        <w:t>In connection with any merger, acquisition or strategic partnership, we may make certain assumptions relating to the proposed merger, acquisition or strategic partnership that may be, or may prove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 inaccurate, including as a result of the failure to anticipate the costs, timeline or ability to realize the expected benefits of any merger, acquisition or strategic partnership. The inaccuracy of any assumptions we may make could result in unanticipated consequences that could have a material adverse effect on our results of operations or financial condition.</w:t>
      </w:r>
    </w:p>
    <w:p>
      <w:pPr>
        <w:spacing w:after="0" w:line="145" w:lineRule="exact"/>
        <w:rPr>
          <w:rFonts w:ascii="Arial" w:cs="Arial" w:eastAsia="Arial" w:hAnsi="Arial"/>
          <w:sz w:val="13"/>
          <w:szCs w:val="13"/>
          <w:color w:val="auto"/>
        </w:rPr>
      </w:pPr>
    </w:p>
    <w:p>
      <w:pPr>
        <w:jc w:val="both"/>
        <w:ind w:left="320" w:hanging="220"/>
        <w:spacing w:after="0" w:line="245" w:lineRule="auto"/>
        <w:tabs>
          <w:tab w:leader="none" w:pos="312" w:val="left"/>
        </w:tabs>
        <w:numPr>
          <w:ilvl w:val="0"/>
          <w:numId w:val="14"/>
        </w:numPr>
        <w:rPr>
          <w:rFonts w:ascii="Arial" w:cs="Arial" w:eastAsia="Arial" w:hAnsi="Arial"/>
          <w:sz w:val="13"/>
          <w:szCs w:val="13"/>
          <w:color w:val="auto"/>
        </w:rPr>
      </w:pPr>
      <w:r>
        <w:rPr>
          <w:rFonts w:ascii="Times New Roman" w:cs="Times New Roman" w:eastAsia="Times New Roman" w:hAnsi="Times New Roman"/>
          <w:sz w:val="12"/>
          <w:szCs w:val="12"/>
          <w:i w:val="1"/>
          <w:iCs w:val="1"/>
          <w:color w:val="auto"/>
        </w:rPr>
        <w:t xml:space="preserve">Target-specific Risk: </w:t>
      </w:r>
      <w:r>
        <w:rPr>
          <w:rFonts w:ascii="Times New Roman" w:cs="Times New Roman" w:eastAsia="Times New Roman" w:hAnsi="Times New Roman"/>
          <w:sz w:val="12"/>
          <w:szCs w:val="12"/>
          <w:color w:val="auto"/>
        </w:rPr>
        <w:t>Assets and companies that we acquire, or companies that we enter into strategic partnerships with, will have their own risks that are specific to a particular asset or company. These risks include, but are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limited to, particular or specific regulatory, accounting, operational, reputational and industry risks, any of which could have a material adverse effect on our results of operations or financial condition. For example, we may face challenges associated with integrating other companies due to differences in corporate culture, compliance systems or standards of conduct. Indemnification rights, if any, may be insufficient to compensate us for any losses or damages resulting from such risks. In addition to regulatory approvals discussed below, certain of our merger, acquisition or partnership activity may require third-party consents in order for us to fully realize the anticipated benefits of any such transaction.</w:t>
      </w:r>
    </w:p>
    <w:p>
      <w:pPr>
        <w:spacing w:after="0" w:line="147" w:lineRule="exact"/>
        <w:rPr>
          <w:rFonts w:ascii="Arial" w:cs="Arial" w:eastAsia="Arial" w:hAnsi="Arial"/>
          <w:sz w:val="13"/>
          <w:szCs w:val="13"/>
          <w:color w:val="auto"/>
        </w:rPr>
      </w:pPr>
    </w:p>
    <w:p>
      <w:pPr>
        <w:jc w:val="both"/>
        <w:ind w:left="320" w:right="20" w:hanging="220"/>
        <w:spacing w:after="0" w:line="248" w:lineRule="auto"/>
        <w:tabs>
          <w:tab w:leader="none" w:pos="312" w:val="left"/>
        </w:tabs>
        <w:numPr>
          <w:ilvl w:val="0"/>
          <w:numId w:val="14"/>
        </w:numPr>
        <w:rPr>
          <w:rFonts w:ascii="Arial" w:cs="Arial" w:eastAsia="Arial" w:hAnsi="Arial"/>
          <w:sz w:val="13"/>
          <w:szCs w:val="13"/>
          <w:color w:val="auto"/>
        </w:rPr>
      </w:pPr>
      <w:r>
        <w:rPr>
          <w:rFonts w:ascii="Times New Roman" w:cs="Times New Roman" w:eastAsia="Times New Roman" w:hAnsi="Times New Roman"/>
          <w:sz w:val="12"/>
          <w:szCs w:val="12"/>
          <w:i w:val="1"/>
          <w:iCs w:val="1"/>
          <w:color w:val="auto"/>
        </w:rPr>
        <w:t xml:space="preserve">Conditions to Regulatory Approval: </w:t>
      </w:r>
      <w:r>
        <w:rPr>
          <w:rFonts w:ascii="Times New Roman" w:cs="Times New Roman" w:eastAsia="Times New Roman" w:hAnsi="Times New Roman"/>
          <w:sz w:val="12"/>
          <w:szCs w:val="12"/>
          <w:color w:val="auto"/>
        </w:rPr>
        <w:t>We may be required to obtain various governmental and regulatory approvals to consummate certain acquisitions. We cannot be certain whether, when or on what terms and conditions,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approvals may be granted. Consequently, we may not obtain governmental or regulatory approval for a proposed acquisition on acceptable terms or at all, in which case we would not be able to complete the acquisition despite investing resources in pursuing it.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Reputational risk and social factors may impact our results and damage our brand.</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Our ability to attract and retain customers is highly dependent upon the perceptions of consumer and commercial borrowers and deposit holders and other external perceptions of our products, services, trustworthiness, business practices, workplace culture, compliance practices or our financial health. In addition, our brand is very important to us. Maintaining and enhancing our brand depends largely on our ability to continue to provide high-quality products and services. Adverse perceptions regarding our reputation in the consumer, commercial and funding markets could lead to difficulties in generating and maintaining accounts as well as in financing them. In particular, negative public perceptions regarding our reputation, including negative perceptions regarding our ability to maintain the security of our technology systems and protect customer data, could lead to decreases in the levels of deposits that consumer and commercial customers and potential customers choose to maintain with us or significantly increase the costs of attracting and retaining customers. In addition, negative perceptions regarding certain industries, partners or clients could also prompt us to cease business activities associated with those entities.</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Negative public opinion or damage to our brand could also result from actual or alleged conduct in any number of activities or circumstances, including lending practices, regulatory compliance, security breaches (including the use and protection of customer data, such as resulting from the Cybersecurity Incident), corporate governance and sales and marketing, and from actions taken by regulators or other persons in response to such conduct. Such conduct could fall short of our customers’ and the public’s heightened expectations of companies of our size with rigorous privacy, data protection, data security and compliance practices, and could further harm our reputation. In addition, our co-brand and private label partners or other third parties with whom we have important relationships may take actions over which we have limited control that could negatively impact perceptions about us or the financial services industry. The proliferation of social media may increase the likelihood that negative public opinion from any of the events discussed above will impact our reputation and business.</w:t>
      </w:r>
    </w:p>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In addition, a variety of social factors may cause changes in borrowing activity, including credit card use, payment patterns and the rate of defaults by account holders and borrowers domestically and internationally. These social factors include changes in consumer confidence levels, the public’s perception regarding the banking industry and consumer debt, including credit card use, and changing attitudes about the stigma of bankruptcy. There has also been increased focus by investor advocacy groups, investment funds and shareholder activists, among others, on topics related to environmental, social and corporate governance</w:t>
      </w:r>
    </w:p>
    <w:p>
      <w:pPr>
        <w:spacing w:after="0" w:line="200" w:lineRule="exact"/>
        <w:rPr>
          <w:sz w:val="20"/>
          <w:szCs w:val="20"/>
          <w:color w:val="auto"/>
        </w:rPr>
      </w:pPr>
    </w:p>
    <w:p>
      <w:pPr>
        <w:spacing w:after="0" w:line="240"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policies, and our policies, practices and disclosure in these areas, including related to climate change. If these groups consider our efforts unsatisfactory, whether real or perceived, it could also harm our reputation. If consumers develop or maintain negative attitudes about incurring debt, or consumption trends decline or if we fail to maintain and enhance our brand, or we incur significant expenses to do so, our reputation and business and financial results could be materially and negatively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not able to protect our intellectual property, our revenue and profitability could be negatively affected.</w:t>
      </w:r>
    </w:p>
    <w:p>
      <w:pPr>
        <w:spacing w:after="0" w:line="1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We rely on a variety of measures to protect and enhance our intellectual property, including copyrights, trademarks, trade secrets, patents and certain restrictions on disclosure, solicitation and competition. We also undertake other measures to control access to and distribution of our other proprietary and confidential information. These measures may not prevent misappropriation of our proprietary or confidential information or infringement, misappropriation or other violations of our intellectual property rights and a resulting loss of competitive advantage. In addition, our competitors or other third parties may obtain patents for innovations that are used in our industry or allege that our systems, processes or technologies infringe, misappropriate or violate their intellectual property rights. Given the complex, rapidly changing and competitive technological and business environments in which we operate, if our competitors or other third parties are successful in obtaining such patents or prevail in intellectual property-related litigation against us, we could lose significant revenues, incur significant license, royalty, technology development or other expenses, or pay significant damages.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risk management strategies may not be fully effective in mitigating our risk exposures in all market environments or against all types of risk.</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Management of market, credit, liquidity, strategic, reputational, operational and compliance risk requires, among other things, policies and procedures to properly record and verify a large number of transactions and events. See “Part II —Item 7. MD&amp;A—Risk Management” for further details. We maintain an enterprise Framework that is designed to identify, measure, assess, monitor, test, control, report, escalate, and mitigate the risks that we face. Even though we continue to devote significant resources to developing our Framework, our risk management strategies may not be fully effective in identifying and mitigating our risk exposure in all market environments or against all types of risk, including risks that are unidentified or unanticipated.</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Some of our methods of managing these risks are based upon our use of observed historical market behavior, the use of analytical and/or forecasting models and management’s judgment. These methods may not accurately predict future exposures, which could be significantly greater than the historical measures or models indicate and market conditions, particularly during a period of financial market stress, can involve unprecedented dislocations. For example, credit risk is inherent in the financial services business and results from, among other things, extending credit to customers. Our ability to assess the creditworthiness of our customers may be impaired if the models and approaches we use to select, manage and underwrite our consumer and commercial customers become less predictive of future charge-offs due, for example, to rapid changes in the economy, or degradation in the predictive nature of credit bureau and other data used in underwriting.</w:t>
      </w:r>
    </w:p>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While we employ a broad and diversified set of risk monitoring and risk mitigation techniques, those techniques and the judgments that accompany their application cannot anticipate every economic and financial outcome or the timing of such outcomes. For example, our ability to implement our risk management strategies may be hindered by adverse changes in the volatility or liquidity conditions in certain markets and as a result, may limit our ability to distribute such risks (for instance, when we seek to syndicate exposure in bridge financing transactions we have underwritten). We may, therefore, incur losses in the course of our risk management or investing activities.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transition away from LIBOR may adversely affect our business.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A transition away from the use of LIBOR to alternative rates and other potential interest rate benchmark reforms is not yet complete. These reforms have caused and may in the future cause such rates to perform differently than in the past, or to disappear entirely, or have other consequences which cannot be predicted.</w:t>
      </w:r>
    </w:p>
    <w:p>
      <w:pPr>
        <w:spacing w:after="0" w:line="1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Given LIBOR’s extensive use across financial markets, the ongoing transition away from LIBOR presents several risks and challenges to the financial markets and financial institutions, including Capital One. While we have substantially decreased our exposure to LIBOR, we have certain loans, derivative contracts, securitizations, and other contracts with attributes that are either directly or indirectly dependent on LIBOR. Our ability to transition those exposures away from LIBOR could be affected by market and customer acceptance of and the specific terms and parameters for alternative reference rates. The Secured Overnight Financing Rate (“SOFR”) has been recommended by the Alternative Reference Rates Committee (“ARRC”) as an alternative to U.S. dollar LIBOR. Nevertheless, the transition away from LIBOR could result in loss of market share in certain</w:t>
      </w:r>
    </w:p>
    <w:p>
      <w:pPr>
        <w:spacing w:after="0" w:line="200" w:lineRule="exact"/>
        <w:rPr>
          <w:sz w:val="20"/>
          <w:szCs w:val="20"/>
          <w:color w:val="auto"/>
        </w:rPr>
      </w:pPr>
    </w:p>
    <w:p>
      <w:pPr>
        <w:spacing w:after="0" w:line="24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products, adverse tax or accounting impacts, compliance, legal or operational costs and risks associated with client disclosures, as well as systems disruption, model disruption and other business continuity issues for us.</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In addition, risks will remain for us with respect to outstanding instruments which rely on LIBOR. Those risks arise in connection with transitioning such instruments to a new reference rate, the taking of discretionary actions (for example, under fallback provisions) or the negotiation of fallback provisions and final amendments to existing LIBOR based agreements. Payments under contracts referencing new reference rates may significantly differ from those referencing LIBOR. The Adjustable Interest Rate (LIBOR) Act passed by Congress in March 2022 (“LIBOR Act”) is intended to minimize legal and economic uncertainty following U.S. dollar LIBOR’s cessation by replacing LIBOR references in certain contracts under certain circumstances with a SOFR-based rate identified in a Federal Reserve rule that incorporates a spread adjustment specified in the statute. For some instruments, the method of transitioning to a new reference rate may be challenging, especially if parties to an instrument cannot agree as to how to effect that transition and the LIBOR Act does not apply. In addition, prior to LIBOR cessation, instruments that continue to refer to LIBOR may be impacted if there is a change in the availability or calculation of LIBOR. The transition from LIBOR to an alternative reference rate has changed our market risk profile and required changes to risk and pricing models, valuation tools, product design, information technology systems, reporting infrastructure, operational processes and controls, and hedging strategies, and may result in or require further such changes in the future. In many cases, we are and may in the future be dependent on third parties to upgrade systems, software and other critical functions that could materially disrupt our readiness if they are not done on a timely basis or otherwise fail. While we have largely remediated the majority of our exposures, our effort to remediate the remaining exposures remains ongoing. Failure to adequately manage the transition could have a material adverse effect on our reputation, business, financial condition and results of operations. See “Part II—Item 7. MD&amp;A—Market Risk Profile”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could be negatively affected if we are unable to attract, retain and motivate key senior leaders and skilled employees.</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Our success depends, in large part, on our ability to retain key senior leaders and to attract and retain skilled employees, particularly employees with advanced expertise in credit, risk, digital and technology skills. We depend on our senior leaders and skilled employees to oversee simultaneous, transformative initiatives across the enterprise and execute on our business plans in an efficient and effective manner. Competition for such senior leaders and employees, and the costs associated with attracting and retaining them, is high and competitive. While we engage in robust succession planning, our key senior leaders have deep and broad industry experience and could be difficult to replace without some degree of disruption.</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Our ability to attract and retain qualified employees also is affected by perceptions of our culture and management, including our position on remote and hybrid work arrangements, our profile in the regions where we have offices and the professional opportunities we offer. Regulation or regulatory guidance restricting executive compensation, as well as evolving investor expectations, may limit the types of compensation arrangements that we may enter into with our most senior leaders and could have a negative impact on our ability to attract, retain and motivate such leaders in support of our long-term strategy. These laws and regulations may not apply in the same manner to all financial institutions and technology companies, which therefore may subject us to more restrictions than other institutions and companies with which we compete for talent and may also hinder our ability to compete for talent with other industries. We rely upon our senior leaders not only for business success, but also to lead with integrity. To the extent our senior leaders behave in a manner that does not comport with our values, the consequences to our brand and reputation could be severe and could adversely affect our financial condition and results of operations. If we are unable to attract, develop and retain talented senior leadership and employees, or to implement appropriate succession plans for our senior leadership, our business could be negatively affected.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from catastrophic events.</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Despite the business contingency plans we have in place, such plans do not fully mitigate all potential business continuity risks to us. Geopolitical events, natural disasters and other catastrophic events could harm our employees, business and infrastructure, including our information technology systems and third-party platforms. Our ability to conduct business may be adversely affected by a disruption in the infrastructure that supports our business and the communities where we are located, which are concentrated in the Northern Virginia and New York metropolitan areas, as well as Richmond, Virginia and Plano, Texas. This may include a disruption involving damage or loss of access to a physical site, cyber-attacks and other security incidents, terrorist activities, the occurrence or worsening of disease outbreaks or pandemics (including the COVID-19 pandemic), natural disasters, extreme weather events, electrical outage, environmental hazards, disruption to technological infrastructure, communications or other services we use, our employees or third parties with whom we conduct business. Our business, financial condition and results of operations may be impacted by any such disruption and our ability to implement corresponding response measures quickly. In addition, if a natural disaster or other catastrophic event occurs in certain regions</w:t>
      </w:r>
    </w:p>
    <w:p>
      <w:pPr>
        <w:spacing w:after="0" w:line="200" w:lineRule="exact"/>
        <w:rPr>
          <w:sz w:val="20"/>
          <w:szCs w:val="20"/>
          <w:color w:val="auto"/>
        </w:rPr>
      </w:pPr>
    </w:p>
    <w:p>
      <w:pPr>
        <w:spacing w:after="0" w:line="235"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where our business and customers are concentrated, such as the mid-Atlantic, New York, California or Texas metropolitan areas, or in regions where our third-party platforms are located, we could be disproportionately impacted as compared to our competitors. The impact of such events and other catastrophes on the overall economy and our physical and transition risks may also adversely affect our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Climate change manifesting as physical or transition risks could adversely affect our businesses, operations and customers.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Climate change risks can manifest as physical or transition risks.</w:t>
      </w:r>
    </w:p>
    <w:p>
      <w:pPr>
        <w:spacing w:after="0" w:line="159"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1"/>
          <w:szCs w:val="11"/>
          <w:color w:val="auto"/>
        </w:rPr>
        <w:t>Physical risks are the risks from the effects of climate change arising from acute, climate-related events, such as, hurricanes and wildfires, and chronic shifts in climate, such as sea level rise and higher average temperatures. Such events could lead to financial losses or disrupt our operations or those of our customers or third parties on which we rely, including through direct damage to assets and indirect impacts from supply chain disruption and market volatility.</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Transition risks are the risks resulting from the shift toward a lower-carbon economy arising from the changes in policy, consumer and business sentiment or technologies in regards to limiting climate change. Transition risks, including changes in consumer preferences and additional regulatory requirements or taxes, could increase our expenses, affect credit performance, and impact our strategies or those of our customers. For more information on climate-related regulatory developments, see “Part I—Item 1. Business—Supervision and Regulation” for additional information.</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Physical and transition risks could also affect the financial health of certain customers in impacted industries or geographies. In addition, we face reputational risk as a result of our policies, practices, disclosures and decisions related to climate change and the environment, or the practices or involvement of our clients or vendors and suppliers, in certain industries or projects associated with causing or exacerbating climate change.</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As climate risk is interconnected with many risk types, we continue to enhance processes to embed evolving climate risk considerations into our existing risk management strategies; however, because the timing and severity of climate change may not be predictable, our risk management strategies may not be effective in mitigating climate risk exposure.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face risks from the use of or changes to assumptions or estimates in our financial statements.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Pursuant to generally accepted accounting principles in the U.S. (“U.S. GAAP”), we are required to use certain assumptions and estimates in preparing our financial statements, including determining our allowance for credit losses, the fair value of certain assets and liabilities, and goodwill impairment, among other items. In addition, the FASB, the SEC and other regulatory bodies may change the financial accounting and reporting standards, including those related to assumptions and estimates we use to prepare our financial statements, in ways that we cannot predict and that could impact our financial statements. If actual results differ from the assumptions or estimates underlying our financial statements or if financial accounting and reporting standards are changed, we may experience unexpected material losses. For a discussion of our use of estimates in the preparation of our consolidated financial statements, see “Part II— Item 7. MD&amp;A—Critical Accounting Policies and Estimates” and “Part II—Item 8. Financial Statements and Supplementary Data—Note 1—Summary of Significant Accounting Policies.”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soundness of other financial institutions and other third parties could adversely affect us.</w:t>
      </w:r>
    </w:p>
    <w:p>
      <w:pPr>
        <w:spacing w:after="0" w:line="1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Our ability to engage in routine funding and other transactions could be adversely affected by the stability and actions of other financial services institutions. Financial services institutions are interrelated as a result of trading, clearing, servicing, counterparty and other relationships. We have exposure to financial institutions, intermediaries and counterparties that are exposed to risks over which we have little or no control.</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addition, we routinely execute transactions with counterparties in the financial services industry, including brokers and dealers, commercial banks, investment banks, mutual and hedge funds and other institutional clients, resulting in a significant credit concentration with respect to the financial services industry overall. As a result, defaults by, or even rumors or questions about, one or more financial services institutions, or the financial services industry generally, have led to market-wide liquidity problems and could lead to losses or defaults by us or by other institutions.</w:t>
      </w:r>
    </w:p>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Likewise, adverse developments affecting the overall strength and soundness of our competitors, the financial services industry as a whole and the general economic climate and the U.S. Treasury market could have a negative impact on perceptions about the strength and soundness of our business even if we are not subject to the same adverse developments. In addition, adverse</w:t>
      </w:r>
    </w:p>
    <w:p>
      <w:pPr>
        <w:spacing w:after="0" w:line="200" w:lineRule="exact"/>
        <w:rPr>
          <w:sz w:val="20"/>
          <w:szCs w:val="20"/>
          <w:color w:val="auto"/>
        </w:rPr>
      </w:pPr>
    </w:p>
    <w:p>
      <w:pPr>
        <w:spacing w:after="0" w:line="214"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39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developments with respect to third parties with whom we have important relationships also could negatively impact perceptions about us. These perceptions about us could cause our business to be negatively affected and exacerbate the other risks that we face.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Our corporate and banking real estate portfolio consists of approximately 11.9 million square feet of owned or leased office and retail space, which is used to support our business. Of this overall portfolio, approximately 9.9 million square feet of space is dedicated for various corporate office uses and approximately 2.0 million square feet of space is for bank branches and cafés.</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Our 9.9 million square feet of corporate office space consists of approximately 6.0 million square feet of owned space and 3.9 million square feet of leased space. We maintain corporate office space primarily in Virginia, Texas and New York, including our headquarters located in McLean, Virginia.</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Our 2.0 million square feet for bank branches and cafés is located primarily across New York, Louisiana, Texas, Maryland, and Virginia and consists of approximately 1.3 million square feet of leased space and 0.7 million square feet of owned space. See “Part II—Item 8. Financial Statements and Supplementary Data—Note 7—Premises, Equipment and Leases” for information about our premises.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required by Item 103 of Regulation S-K is included in “Part II—Item 8. Financial Statements and Supplementary Data —Note 18—Commitments, Contingencies, Guarantees and Others.”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40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common stock is listed on the NYSE and is traded under the symbol “COF.” As of January 31, 2023, there were 8,963 holders of record of our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Authorized for Issuance Under Equity Compensation Plans</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Information relating to compensation plans under which our equity securities are authorized for issuance is presented in this Report under “Part III—Item 12. Security Ownership of Certain Beneficial Owners and Management and Related Stockholder Matters.”</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41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Stock Performance Graph</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following graph shows the cumulative total stockholder return on our common stock compared to an overall stock market index, the S&amp;P Composite 500 Stock Index (“S&amp;P 500 Index”), and a published industry index, the S&amp;P Financial Composite Index (“S&amp;P Financial Index”), over the five-year period commencing December 31, 2017 and ended December 31, 2022. The stock performance graph assumes that $100 was invested in our common stock and each index and that all dividends were reinvested. The stock price performance on the graph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59690</wp:posOffset>
            </wp:positionV>
            <wp:extent cx="3886200" cy="28632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862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55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2017</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2018</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556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1"/>
                <w:szCs w:val="11"/>
                <w:color w:val="auto"/>
              </w:rPr>
              <w:t>Capital One</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100.00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107.05</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104.19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155.53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101.65</w:t>
            </w:r>
          </w:p>
        </w:tc>
        <w:tc>
          <w:tcPr>
            <w:tcW w:w="40" w:type="dxa"/>
            <w:vAlign w:val="bottom"/>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S&amp;P 500 Index</w:t>
            </w:r>
          </w:p>
        </w:tc>
        <w:tc>
          <w:tcPr>
            <w:tcW w:w="5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2"/>
              </w:rPr>
              <w:t>100.00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95.62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125.72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148.85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191.58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156.88</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S&amp;P Financial Index</w:t>
            </w: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100.00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114.91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112.96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152.54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136.48</w:t>
            </w:r>
          </w:p>
        </w:tc>
        <w:tc>
          <w:tcPr>
            <w:tcW w:w="40" w:type="dxa"/>
            <w:vAlign w:val="bottom"/>
          </w:tcPr>
          <w:p>
            <w:pPr>
              <w:spacing w:after="0"/>
              <w:rPr>
                <w:sz w:val="12"/>
                <w:szCs w:val="12"/>
                <w:color w:val="auto"/>
              </w:rPr>
            </w:pPr>
          </w:p>
        </w:tc>
      </w:tr>
      <w:tr>
        <w:trPr>
          <w:trHeight w:val="631"/>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0"/>
                <w:szCs w:val="10"/>
                <w:color w:val="auto"/>
              </w:rPr>
              <w:t>42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ind w:left="10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51"/>
        </w:trPr>
        <w:tc>
          <w:tcPr>
            <w:tcW w:w="20" w:type="dxa"/>
            <w:vAlign w:val="bottom"/>
            <w:tcBorders>
              <w:bottom w:val="single" w:sz="8" w:color="9A9A9A"/>
            </w:tcBorders>
          </w:tcPr>
          <w:p>
            <w:pPr>
              <w:spacing w:after="0"/>
              <w:rPr>
                <w:sz w:val="21"/>
                <w:szCs w:val="21"/>
                <w:color w:val="auto"/>
              </w:rPr>
            </w:pPr>
          </w:p>
        </w:tc>
        <w:tc>
          <w:tcPr>
            <w:tcW w:w="5560" w:type="dxa"/>
            <w:vAlign w:val="bottom"/>
            <w:tcBorders>
              <w:bottom w:val="single" w:sz="8" w:color="9A9A9A"/>
            </w:tcBorders>
          </w:tcPr>
          <w:p>
            <w:pPr>
              <w:spacing w:after="0"/>
              <w:rPr>
                <w:sz w:val="21"/>
                <w:szCs w:val="21"/>
                <w:color w:val="auto"/>
              </w:rPr>
            </w:pPr>
          </w:p>
        </w:tc>
        <w:tc>
          <w:tcPr>
            <w:tcW w:w="52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6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8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60" w:type="dxa"/>
            <w:vAlign w:val="bottom"/>
            <w:tcBorders>
              <w:bottom w:val="single" w:sz="8" w:color="9A9A9A"/>
            </w:tcBorders>
          </w:tcPr>
          <w:p>
            <w:pPr>
              <w:spacing w:after="0"/>
              <w:rPr>
                <w:sz w:val="21"/>
                <w:szCs w:val="21"/>
                <w:color w:val="auto"/>
              </w:rPr>
            </w:pPr>
          </w:p>
        </w:tc>
        <w:tc>
          <w:tcPr>
            <w:tcW w:w="7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66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43" w:name="page44"/>
    <w:bookmarkEnd w:id="4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Recent Sales of Unregistered Securities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did not have any sales of unregistered equity securities in 2022.</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information related to repurchases of shares of our common stock for each calendar month in the fourth quarter of 2022. Commission costs are excluded from the amounts presented below.</w:t>
      </w:r>
    </w:p>
    <w:p>
      <w:pPr>
        <w:spacing w:after="0" w:line="4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0"/>
                <w:szCs w:val="10"/>
                <w:b w:val="1"/>
                <w:bCs w:val="1"/>
                <w:color w:val="auto"/>
                <w:w w:val="94"/>
              </w:rPr>
              <w:t>Maximum</w:t>
            </w:r>
          </w:p>
        </w:tc>
        <w:tc>
          <w:tcPr>
            <w:tcW w:w="0" w:type="dxa"/>
            <w:vAlign w:val="bottom"/>
          </w:tcPr>
          <w:p>
            <w:pPr>
              <w:spacing w:after="0"/>
              <w:rPr>
                <w:sz w:val="1"/>
                <w:szCs w:val="1"/>
                <w:color w:val="auto"/>
              </w:rPr>
            </w:pPr>
          </w:p>
        </w:tc>
      </w:tr>
      <w:tr>
        <w:trPr>
          <w:trHeight w:val="97"/>
        </w:trPr>
        <w:tc>
          <w:tcPr>
            <w:tcW w:w="5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Total Number of</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jc w:val="center"/>
              <w:ind w:right="190"/>
              <w:spacing w:after="0" w:line="98" w:lineRule="exact"/>
              <w:rPr>
                <w:sz w:val="20"/>
                <w:szCs w:val="20"/>
                <w:color w:val="auto"/>
              </w:rPr>
            </w:pPr>
            <w:r>
              <w:rPr>
                <w:rFonts w:ascii="Times New Roman" w:cs="Times New Roman" w:eastAsia="Times New Roman" w:hAnsi="Times New Roman"/>
                <w:sz w:val="10"/>
                <w:szCs w:val="10"/>
                <w:b w:val="1"/>
                <w:bCs w:val="1"/>
                <w:color w:val="auto"/>
                <w:w w:val="94"/>
              </w:rPr>
              <w:t>Amount That May</w:t>
            </w:r>
          </w:p>
        </w:tc>
        <w:tc>
          <w:tcPr>
            <w:tcW w:w="0" w:type="dxa"/>
            <w:vAlign w:val="bottom"/>
          </w:tcPr>
          <w:p>
            <w:pPr>
              <w:spacing w:after="0"/>
              <w:rPr>
                <w:sz w:val="1"/>
                <w:szCs w:val="1"/>
                <w:color w:val="auto"/>
              </w:rPr>
            </w:pPr>
          </w:p>
        </w:tc>
      </w:tr>
      <w:tr>
        <w:trPr>
          <w:trHeight w:val="92"/>
        </w:trPr>
        <w:tc>
          <w:tcPr>
            <w:tcW w:w="5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Total Number</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jc w:val="center"/>
              <w:ind w:right="170"/>
              <w:spacing w:after="0" w:line="92" w:lineRule="exact"/>
              <w:rPr>
                <w:sz w:val="20"/>
                <w:szCs w:val="20"/>
                <w:color w:val="auto"/>
              </w:rPr>
            </w:pPr>
            <w:r>
              <w:rPr>
                <w:rFonts w:ascii="Times New Roman" w:cs="Times New Roman" w:eastAsia="Times New Roman" w:hAnsi="Times New Roman"/>
                <w:sz w:val="10"/>
                <w:szCs w:val="10"/>
                <w:b w:val="1"/>
                <w:bCs w:val="1"/>
                <w:color w:val="auto"/>
                <w:w w:val="93"/>
              </w:rPr>
              <w:t>Yet be Purchased</w:t>
            </w:r>
          </w:p>
        </w:tc>
        <w:tc>
          <w:tcPr>
            <w:tcW w:w="0" w:type="dxa"/>
            <w:vAlign w:val="bottom"/>
          </w:tcPr>
          <w:p>
            <w:pPr>
              <w:spacing w:after="0"/>
              <w:rPr>
                <w:sz w:val="1"/>
                <w:szCs w:val="1"/>
                <w:color w:val="auto"/>
              </w:rPr>
            </w:pPr>
          </w:p>
        </w:tc>
      </w:tr>
      <w:tr>
        <w:trPr>
          <w:trHeight w:val="97"/>
        </w:trPr>
        <w:tc>
          <w:tcPr>
            <w:tcW w:w="5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66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3"/>
              </w:rPr>
              <w:t>Shares Purchased as</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jc w:val="center"/>
              <w:ind w:right="170"/>
              <w:spacing w:after="0" w:line="98" w:lineRule="exact"/>
              <w:rPr>
                <w:sz w:val="20"/>
                <w:szCs w:val="20"/>
                <w:color w:val="auto"/>
              </w:rPr>
            </w:pPr>
            <w:r>
              <w:rPr>
                <w:rFonts w:ascii="Times New Roman" w:cs="Times New Roman" w:eastAsia="Times New Roman" w:hAnsi="Times New Roman"/>
                <w:sz w:val="10"/>
                <w:szCs w:val="10"/>
                <w:b w:val="1"/>
                <w:bCs w:val="1"/>
                <w:color w:val="auto"/>
                <w:w w:val="95"/>
              </w:rPr>
              <w:t>Under the Plan</w:t>
            </w:r>
          </w:p>
        </w:tc>
        <w:tc>
          <w:tcPr>
            <w:tcW w:w="0" w:type="dxa"/>
            <w:vAlign w:val="bottom"/>
          </w:tcPr>
          <w:p>
            <w:pPr>
              <w:spacing w:after="0"/>
              <w:rPr>
                <w:sz w:val="1"/>
                <w:szCs w:val="1"/>
                <w:color w:val="auto"/>
              </w:rPr>
            </w:pPr>
          </w:p>
        </w:tc>
      </w:tr>
      <w:tr>
        <w:trPr>
          <w:trHeight w:val="99"/>
        </w:trPr>
        <w:tc>
          <w:tcPr>
            <w:tcW w:w="5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16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Part of Publicly</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jc w:val="center"/>
              <w:ind w:right="190"/>
              <w:spacing w:after="0" w:line="99" w:lineRule="exact"/>
              <w:rPr>
                <w:sz w:val="20"/>
                <w:szCs w:val="20"/>
                <w:color w:val="auto"/>
              </w:rPr>
            </w:pPr>
            <w:r>
              <w:rPr>
                <w:rFonts w:ascii="Times New Roman" w:cs="Times New Roman" w:eastAsia="Times New Roman" w:hAnsi="Times New Roman"/>
                <w:sz w:val="9"/>
                <w:szCs w:val="9"/>
                <w:b w:val="1"/>
                <w:bCs w:val="1"/>
                <w:color w:val="auto"/>
              </w:rPr>
              <w:t>or Program</w:t>
            </w:r>
            <w:r>
              <w:rPr>
                <w:rFonts w:ascii="Times New Roman" w:cs="Times New Roman" w:eastAsia="Times New Roman" w:hAnsi="Times New Roman"/>
                <w:sz w:val="11"/>
                <w:szCs w:val="11"/>
                <w:b w:val="1"/>
                <w:bCs w:val="1"/>
                <w:color w:val="auto"/>
                <w:vertAlign w:val="superscript"/>
              </w:rPr>
              <w:t>(1)</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Purchased</w:t>
            </w:r>
            <w:r>
              <w:rPr>
                <w:rFonts w:ascii="Times New Roman" w:cs="Times New Roman" w:eastAsia="Times New Roman" w:hAnsi="Times New Roman"/>
                <w:sz w:val="6"/>
                <w:szCs w:val="6"/>
                <w:b w:val="1"/>
                <w:bCs w:val="1"/>
                <w:color w:val="auto"/>
                <w:w w:val="96"/>
              </w:rPr>
              <w:t>(1)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0"/>
              </w:rPr>
              <w:t>per Share</w:t>
            </w:r>
          </w:p>
        </w:tc>
        <w:tc>
          <w:tcPr>
            <w:tcW w:w="1660" w:type="dxa"/>
            <w:vAlign w:val="bottom"/>
          </w:tcPr>
          <w:p>
            <w:pPr>
              <w:jc w:val="center"/>
              <w:spacing w:after="0" w:line="135" w:lineRule="exact"/>
              <w:rPr>
                <w:sz w:val="20"/>
                <w:szCs w:val="20"/>
                <w:color w:val="auto"/>
              </w:rPr>
            </w:pPr>
            <w:r>
              <w:rPr>
                <w:rFonts w:ascii="Times New Roman" w:cs="Times New Roman" w:eastAsia="Times New Roman" w:hAnsi="Times New Roman"/>
                <w:sz w:val="10"/>
                <w:szCs w:val="10"/>
                <w:b w:val="1"/>
                <w:bCs w:val="1"/>
                <w:color w:val="auto"/>
                <w:w w:val="92"/>
              </w:rPr>
              <w:t>Announced Plans</w:t>
            </w:r>
            <w:r>
              <w:rPr>
                <w:rFonts w:ascii="Times New Roman" w:cs="Times New Roman" w:eastAsia="Times New Roman" w:hAnsi="Times New Roman"/>
                <w:sz w:val="12"/>
                <w:szCs w:val="12"/>
                <w:b w:val="1"/>
                <w:bCs w:val="1"/>
                <w:color w:val="auto"/>
                <w:w w:val="92"/>
                <w:vertAlign w:val="superscript"/>
              </w:rPr>
              <w:t>(1)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0"/>
                <w:szCs w:val="10"/>
                <w:i w:val="1"/>
                <w:iCs w:val="1"/>
                <w:color w:val="auto"/>
                <w:w w:val="97"/>
              </w:rPr>
              <w:t>(in millions)</w:t>
            </w:r>
          </w:p>
        </w:tc>
        <w:tc>
          <w:tcPr>
            <w:tcW w:w="0" w:type="dxa"/>
            <w:vAlign w:val="bottom"/>
          </w:tcPr>
          <w:p>
            <w:pPr>
              <w:spacing w:after="0"/>
              <w:rPr>
                <w:sz w:val="1"/>
                <w:szCs w:val="1"/>
                <w:color w:val="auto"/>
              </w:rPr>
            </w:pPr>
          </w:p>
        </w:tc>
      </w:tr>
      <w:tr>
        <w:trPr>
          <w:trHeight w:val="133"/>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October</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509,142</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98.20</w:t>
            </w: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509,142</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5,286</w:t>
            </w:r>
          </w:p>
        </w:tc>
        <w:tc>
          <w:tcPr>
            <w:tcW w:w="0" w:type="dxa"/>
            <w:vAlign w:val="bottom"/>
          </w:tcPr>
          <w:p>
            <w:pPr>
              <w:spacing w:after="0"/>
              <w:rPr>
                <w:sz w:val="1"/>
                <w:szCs w:val="1"/>
                <w:color w:val="auto"/>
              </w:rPr>
            </w:pPr>
          </w:p>
        </w:tc>
      </w:tr>
      <w:tr>
        <w:trPr>
          <w:trHeight w:val="143"/>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November</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502,840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105.07</w:t>
            </w:r>
          </w:p>
        </w:tc>
        <w:tc>
          <w:tcPr>
            <w:tcW w:w="1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442,263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5,240</w:t>
            </w:r>
          </w:p>
        </w:tc>
        <w:tc>
          <w:tcPr>
            <w:tcW w:w="0" w:type="dxa"/>
            <w:vAlign w:val="bottom"/>
          </w:tcPr>
          <w:p>
            <w:pPr>
              <w:spacing w:after="0"/>
              <w:rPr>
                <w:sz w:val="1"/>
                <w:szCs w:val="1"/>
                <w:color w:val="auto"/>
              </w:rPr>
            </w:pPr>
          </w:p>
        </w:tc>
      </w:tr>
      <w:tr>
        <w:trPr>
          <w:trHeight w:val="145"/>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December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567,076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94.50</w:t>
            </w:r>
          </w:p>
        </w:tc>
        <w:tc>
          <w:tcPr>
            <w:tcW w:w="100" w:type="dxa"/>
            <w:vAlign w:val="bottom"/>
            <w:shd w:val="clear" w:color="auto" w:fill="CCEEFF"/>
          </w:tcPr>
          <w:p>
            <w:pPr>
              <w:spacing w:after="0"/>
              <w:rPr>
                <w:sz w:val="12"/>
                <w:szCs w:val="1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567,076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5,186</w:t>
            </w:r>
          </w:p>
        </w:tc>
        <w:tc>
          <w:tcPr>
            <w:tcW w:w="0" w:type="dxa"/>
            <w:vAlign w:val="bottom"/>
          </w:tcPr>
          <w:p>
            <w:pPr>
              <w:spacing w:after="0"/>
              <w:rPr>
                <w:sz w:val="1"/>
                <w:szCs w:val="1"/>
                <w:color w:val="auto"/>
              </w:rPr>
            </w:pPr>
          </w:p>
        </w:tc>
      </w:tr>
      <w:tr>
        <w:trPr>
          <w:trHeight w:val="133"/>
        </w:trPr>
        <w:tc>
          <w:tcPr>
            <w:tcW w:w="532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1,579,058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99.06</w:t>
            </w:r>
          </w:p>
        </w:tc>
        <w:tc>
          <w:tcPr>
            <w:tcW w:w="100" w:type="dxa"/>
            <w:vAlign w:val="bottom"/>
          </w:tcPr>
          <w:p>
            <w:pPr>
              <w:spacing w:after="0"/>
              <w:rPr>
                <w:sz w:val="11"/>
                <w:szCs w:val="1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1,518,481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42" w:lineRule="exact"/>
        <w:rPr>
          <w:sz w:val="20"/>
          <w:szCs w:val="20"/>
          <w:color w:val="auto"/>
        </w:rPr>
      </w:pPr>
    </w:p>
    <w:p>
      <w:pPr>
        <w:ind w:left="208" w:right="20" w:hanging="208"/>
        <w:spacing w:after="0" w:line="388" w:lineRule="auto"/>
        <w:tabs>
          <w:tab w:leader="none" w:pos="80" w:val="left"/>
        </w:tabs>
        <w:numPr>
          <w:ilvl w:val="0"/>
          <w:numId w:val="15"/>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8"/>
          <w:szCs w:val="8"/>
          <w:color w:val="auto"/>
        </w:rPr>
        <w:t>In January 2022, our Board of Directors authorized the repurchase of up to $5.0 billion of shares of our common stock. In April 2022, our Board of Directors authorized the repurchase of up to an additional $5.0 billion of shares of our common stock</w:t>
      </w:r>
      <w:r>
        <w:rPr>
          <w:rFonts w:ascii="Times New Roman" w:cs="Times New Roman" w:eastAsia="Times New Roman" w:hAnsi="Times New Roman"/>
          <w:sz w:val="9"/>
          <w:szCs w:val="9"/>
          <w:color w:val="auto"/>
        </w:rPr>
        <w:t>.</w:t>
      </w:r>
      <w:r>
        <w:rPr>
          <w:rFonts w:ascii="Times New Roman" w:cs="Times New Roman" w:eastAsia="Times New Roman" w:hAnsi="Times New Roman"/>
          <w:sz w:val="8"/>
          <w:szCs w:val="8"/>
          <w:color w:val="auto"/>
        </w:rPr>
        <w:t xml:space="preserve"> There were 60,577 shares withheld in November to cover taxes on restricted stock awards whose restrictions have lapsed. See “Part II—Item 7. MD&amp;A—Capital Management—Dividend Policy and Stock Purchases” for more information.</w:t>
      </w:r>
    </w:p>
    <w:p>
      <w:pPr>
        <w:spacing w:after="0" w:line="200" w:lineRule="exact"/>
        <w:rPr>
          <w:sz w:val="20"/>
          <w:szCs w:val="20"/>
          <w:color w:val="auto"/>
        </w:rPr>
      </w:pPr>
    </w:p>
    <w:p>
      <w:pPr>
        <w:spacing w:after="0" w:line="218"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43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6. [Reserved]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This discussion contains forward-looking statements that are based upon management’s current expectations and are subject to significant uncertainties and changes in circumstances. Please review “Part I—Item 1.Business— Forward-Looking Statements” for more information on the forward-looking statements in this Report. All statements that address operating performance, events or developments that we expect or anticipate will occur in the future are forward-looking statements. Our actual results may differ materially from those included in these forward-looking statements due to a variety of factors including, but not limited to, those described in “Part I—Item 1A. Risk Factors” in this Report. Unless otherwise specified, references to notes to our consolidated financial statements refer to the notes to our consolidated financial statements as of December 31, 2022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Management monitors a variety of key indicators to evaluate our business results and financial condition. The following MD&amp;A is intended to provide the reader with an understanding of our results of operations and financial condition, including capital and liquidity management, by focusing on changes from year to year in certain key measures used by management to evaluate performance, such as profitability, growth and credit quality metrics. MD&amp;A is provided as a supplement to, and should be read in conjunction with, our audited consolidated financial statements as of and for the year ended December 31, 2022 and accompanying notes. MD&amp;A is organized in the following sections: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  Executive Summary</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4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Capital Management</w:t>
            </w: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  Consolidated Results of Operations</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4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Risk Management</w:t>
            </w: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  Consolidated Balance Sheets Analysis</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4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Credit Risk Profile</w:t>
            </w: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  Off-Balance Sheet Arrangements</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4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Liquidity Risk Profile</w:t>
            </w: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  Business Segment Financial Performance</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4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Market Risk Profile</w:t>
            </w: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  Critical Accounting Policies and Estimates</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4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Supplemental Tables</w:t>
            </w:r>
          </w:p>
        </w:tc>
      </w:tr>
      <w:tr>
        <w:trPr>
          <w:trHeight w:val="144"/>
        </w:trPr>
        <w:tc>
          <w:tcPr>
            <w:tcW w:w="5720" w:type="dxa"/>
            <w:vAlign w:val="bottom"/>
          </w:tcPr>
          <w:p>
            <w:pPr>
              <w:spacing w:after="0"/>
              <w:rPr>
                <w:sz w:val="20"/>
                <w:szCs w:val="20"/>
                <w:color w:val="auto"/>
              </w:rPr>
            </w:pPr>
            <w:r>
              <w:rPr>
                <w:rFonts w:ascii="Times New Roman" w:cs="Times New Roman" w:eastAsia="Times New Roman" w:hAnsi="Times New Roman"/>
                <w:sz w:val="11"/>
                <w:szCs w:val="11"/>
                <w:color w:val="auto"/>
              </w:rPr>
              <w:t>•  Accounting Changes and Developments</w:t>
            </w:r>
          </w:p>
        </w:tc>
        <w:tc>
          <w:tcPr>
            <w:tcW w:w="1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4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Glossary and Acronyms</w:t>
            </w:r>
          </w:p>
        </w:tc>
      </w:tr>
      <w:tr>
        <w:trPr>
          <w:trHeight w:val="743"/>
        </w:trPr>
        <w:tc>
          <w:tcPr>
            <w:tcW w:w="5720" w:type="dxa"/>
            <w:vAlign w:val="bottom"/>
          </w:tcPr>
          <w:p>
            <w:pPr>
              <w:ind w:left="5580"/>
              <w:spacing w:after="0"/>
              <w:rPr>
                <w:sz w:val="20"/>
                <w:szCs w:val="20"/>
                <w:color w:val="auto"/>
              </w:rPr>
            </w:pPr>
            <w:r>
              <w:rPr>
                <w:rFonts w:ascii="Times New Roman" w:cs="Times New Roman" w:eastAsia="Times New Roman" w:hAnsi="Times New Roman"/>
                <w:sz w:val="10"/>
                <w:szCs w:val="10"/>
                <w:color w:val="auto"/>
              </w:rPr>
              <w:t>44</w:t>
            </w:r>
          </w:p>
        </w:tc>
        <w:tc>
          <w:tcPr>
            <w:tcW w:w="120" w:type="dxa"/>
            <w:vAlign w:val="bottom"/>
          </w:tcPr>
          <w:p>
            <w:pPr>
              <w:spacing w:after="0"/>
              <w:rPr>
                <w:sz w:val="24"/>
                <w:szCs w:val="24"/>
                <w:color w:val="auto"/>
              </w:rPr>
            </w:pPr>
          </w:p>
        </w:tc>
        <w:tc>
          <w:tcPr>
            <w:tcW w:w="5460" w:type="dxa"/>
            <w:vAlign w:val="bottom"/>
          </w:tcPr>
          <w:p>
            <w:pPr>
              <w:ind w:left="384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60"/>
        </w:trPr>
        <w:tc>
          <w:tcPr>
            <w:tcW w:w="572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54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Selected Financial Data</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following table presents selected consolidated financial data and performance metrics for the three-year period ended December 31, 2022, 2021 and 2020. We also provide selected key metrics we use in evaluating our performance, including certain metrics that are computed using non-GAAP measures. We consider these metrics to be key financial measures that management uses in assessing our operating performance, capital adequacy and the level of returns generated. We believe these non-GAAP metrics provide useful insight to investors and users of our financial information as they provide an alternate measurement of our performance and assist in assessing our capital adequacy and the level of return generated. These non-GAAP measures should not be viewed as a substitute for reported results determined in accordance with GAAP, nor are they necessarily comparable to non-GAAP measures that may be presented by other companies.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Three-Year Summary of Selected Financial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9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 except per share data and as noted)</w:t>
            </w:r>
          </w:p>
        </w:tc>
        <w:tc>
          <w:tcPr>
            <w:tcW w:w="220" w:type="dxa"/>
            <w:vAlign w:val="bottom"/>
          </w:tcPr>
          <w:p>
            <w:pPr>
              <w:spacing w:after="0"/>
              <w:rPr>
                <w:sz w:val="11"/>
                <w:szCs w:val="11"/>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386"/>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1"/>
                <w:szCs w:val="11"/>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2022 vs. 2021</w:t>
            </w:r>
          </w:p>
        </w:tc>
        <w:tc>
          <w:tcPr>
            <w:tcW w:w="1000" w:type="dxa"/>
            <w:vAlign w:val="bottom"/>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2021 vs. 2020</w:t>
            </w:r>
          </w:p>
        </w:tc>
      </w:tr>
      <w:tr>
        <w:trPr>
          <w:trHeight w:val="141"/>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statement</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143"/>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31,237</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25,769</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26,033</w:t>
            </w:r>
          </w:p>
        </w:tc>
        <w:tc>
          <w:tcPr>
            <w:tcW w:w="1080" w:type="dxa"/>
            <w:vAlign w:val="bottom"/>
            <w:gridSpan w:val="2"/>
          </w:tcPr>
          <w:p>
            <w:pPr>
              <w:jc w:val="right"/>
              <w:ind w:right="32"/>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2"/>
                <w:szCs w:val="12"/>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w:t>
            </w: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4,123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1,598</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3,120</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158</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(49)</w:t>
            </w:r>
          </w:p>
        </w:tc>
      </w:tr>
      <w:tr>
        <w:trPr>
          <w:trHeight w:val="132"/>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27,114</w:t>
            </w:r>
          </w:p>
        </w:tc>
        <w:tc>
          <w:tcPr>
            <w:tcW w:w="80" w:type="dxa"/>
            <w:vAlign w:val="bottom"/>
          </w:tcPr>
          <w:p>
            <w:pPr>
              <w:spacing w:after="0"/>
              <w:rPr>
                <w:sz w:val="11"/>
                <w:szCs w:val="11"/>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24,171</w:t>
            </w:r>
          </w:p>
        </w:tc>
        <w:tc>
          <w:tcPr>
            <w:tcW w:w="10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22,913</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1"/>
                <w:szCs w:val="11"/>
                <w:color w:val="auto"/>
              </w:rPr>
            </w:pPr>
          </w:p>
        </w:tc>
        <w:tc>
          <w:tcPr>
            <w:tcW w:w="1000" w:type="dxa"/>
            <w:vAlign w:val="bottom"/>
          </w:tcPr>
          <w:p>
            <w:pPr>
              <w:jc w:val="right"/>
              <w:ind w:right="106"/>
              <w:spacing w:after="0" w:line="121" w:lineRule="exact"/>
              <w:rPr>
                <w:sz w:val="20"/>
                <w:szCs w:val="20"/>
                <w:color w:val="auto"/>
              </w:rPr>
            </w:pPr>
            <w:r>
              <w:rPr>
                <w:rFonts w:ascii="Times New Roman" w:cs="Times New Roman" w:eastAsia="Times New Roman" w:hAnsi="Times New Roman"/>
                <w:sz w:val="11"/>
                <w:szCs w:val="11"/>
                <w:color w:val="auto"/>
              </w:rPr>
              <w:t>5</w:t>
            </w: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7,136</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6,264</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5,610</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net revenue</w:t>
            </w:r>
          </w:p>
        </w:tc>
        <w:tc>
          <w:tcPr>
            <w:tcW w:w="22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34,250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30,435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28,523</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1"/>
                <w:szCs w:val="11"/>
                <w:color w:val="auto"/>
              </w:rPr>
            </w:pPr>
          </w:p>
        </w:tc>
        <w:tc>
          <w:tcPr>
            <w:tcW w:w="1000" w:type="dxa"/>
            <w:vAlign w:val="bottom"/>
          </w:tcPr>
          <w:p>
            <w:pPr>
              <w:jc w:val="right"/>
              <w:ind w:right="106"/>
              <w:spacing w:after="0" w:line="121" w:lineRule="exact"/>
              <w:rPr>
                <w:sz w:val="20"/>
                <w:szCs w:val="20"/>
                <w:color w:val="auto"/>
              </w:rPr>
            </w:pPr>
            <w:r>
              <w:rPr>
                <w:rFonts w:ascii="Times New Roman" w:cs="Times New Roman" w:eastAsia="Times New Roman" w:hAnsi="Times New Roman"/>
                <w:sz w:val="11"/>
                <w:szCs w:val="11"/>
                <w:color w:val="auto"/>
              </w:rPr>
              <w:t>7</w:t>
            </w: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(benefit) for credit losses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5,847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(1,944)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10,264</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Marketing</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4,017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2,871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1,610</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78</w:t>
            </w:r>
          </w:p>
        </w:tc>
      </w:tr>
      <w:tr>
        <w:trPr>
          <w:trHeight w:val="143"/>
        </w:trPr>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Operating expense</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15,146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13,699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13,446</w:t>
            </w:r>
          </w:p>
        </w:tc>
        <w:tc>
          <w:tcPr>
            <w:tcW w:w="1080" w:type="dxa"/>
            <w:vAlign w:val="bottom"/>
            <w:tcBorders>
              <w:bottom w:val="single" w:sz="8" w:color="CCEEFF"/>
            </w:tcBorders>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r>
      <w:tr>
        <w:trPr>
          <w:trHeight w:val="134"/>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19,163</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16,570</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15,056</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106"/>
              <w:spacing w:after="0" w:line="121" w:lineRule="exact"/>
              <w:rPr>
                <w:sz w:val="20"/>
                <w:szCs w:val="20"/>
                <w:color w:val="auto"/>
              </w:rPr>
            </w:pPr>
            <w:r>
              <w:rPr>
                <w:rFonts w:ascii="Times New Roman" w:cs="Times New Roman" w:eastAsia="Times New Roman" w:hAnsi="Times New Roman"/>
                <w:sz w:val="11"/>
                <w:szCs w:val="11"/>
                <w:color w:val="auto"/>
              </w:rPr>
              <w:t>10</w:t>
            </w:r>
          </w:p>
        </w:tc>
      </w:tr>
      <w:tr>
        <w:trPr>
          <w:trHeight w:val="132"/>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from continuing operations before income taxes</w:t>
            </w:r>
          </w:p>
        </w:tc>
        <w:tc>
          <w:tcPr>
            <w:tcW w:w="22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9,240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15,809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3,203</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1"/>
                <w:szCs w:val="11"/>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provision</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1,880</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3,415</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486</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from continuing operations, net of tax</w:t>
            </w:r>
          </w:p>
        </w:tc>
        <w:tc>
          <w:tcPr>
            <w:tcW w:w="22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7,360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12,394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2,717</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1"/>
                <w:szCs w:val="11"/>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from discontinued operations, net of tax</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33</w:t>
            </w:r>
          </w:p>
        </w:tc>
      </w:tr>
      <w:tr>
        <w:trPr>
          <w:trHeight w:val="132"/>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7,360</w:t>
            </w: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12,390</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2,714</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1"/>
                <w:szCs w:val="11"/>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and undistributed earnings allocated to participating securities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Preferred stock dividends</w:t>
            </w:r>
          </w:p>
        </w:tc>
        <w:tc>
          <w:tcPr>
            <w:tcW w:w="22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(228)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(280)</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r>
      <w:tr>
        <w:trPr>
          <w:trHeight w:val="144"/>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Issuance cost for redeemed preferred stock</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18</w:t>
            </w:r>
          </w:p>
        </w:tc>
      </w:tr>
      <w:tr>
        <w:trPr>
          <w:trHeight w:val="150"/>
        </w:trPr>
        <w:tc>
          <w:tcPr>
            <w:tcW w:w="5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Net income available to common stockholders</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7,044</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11,965</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2,375</w:t>
            </w:r>
          </w:p>
        </w:tc>
        <w:tc>
          <w:tcPr>
            <w:tcW w:w="1080" w:type="dxa"/>
            <w:vAlign w:val="bottom"/>
            <w:tcBorders>
              <w:bottom w:val="single" w:sz="8" w:color="CCEEFF"/>
            </w:tcBorders>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26"/>
        </w:trPr>
        <w:tc>
          <w:tcPr>
            <w:tcW w:w="59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Common share statistics</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43"/>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Basic earnings per common share: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from continuing operations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17.98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27.05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5.20</w:t>
            </w:r>
          </w:p>
        </w:tc>
        <w:tc>
          <w:tcPr>
            <w:tcW w:w="10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(loss) from discontinued operations</w:t>
            </w:r>
          </w:p>
        </w:tc>
        <w:tc>
          <w:tcPr>
            <w:tcW w:w="2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(0.01)</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5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basic common share</w:t>
            </w: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17.98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27.04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5.19</w:t>
            </w:r>
          </w:p>
        </w:tc>
        <w:tc>
          <w:tcPr>
            <w:tcW w:w="1080" w:type="dxa"/>
            <w:vAlign w:val="bottom"/>
            <w:tcBorders>
              <w:top w:val="single" w:sz="8" w:color="CCEEFF"/>
              <w:bottom w:val="single" w:sz="8" w:color="CCEEFF"/>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21"/>
        </w:trPr>
        <w:tc>
          <w:tcPr>
            <w:tcW w:w="592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Diluted earnings per common share:</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from continuing operations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17.91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26.95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5.19</w:t>
            </w:r>
          </w:p>
        </w:tc>
        <w:tc>
          <w:tcPr>
            <w:tcW w:w="10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(loss) from discontinued operations</w:t>
            </w:r>
          </w:p>
        </w:tc>
        <w:tc>
          <w:tcPr>
            <w:tcW w:w="22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(0.01)</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5920" w:type="dxa"/>
            <w:vAlign w:val="bottom"/>
            <w:tcBorders>
              <w:top w:val="single" w:sz="8" w:color="CCEEFF"/>
              <w:bottom w:val="single" w:sz="8" w:color="CCEEFF"/>
            </w:tcBorders>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Net income per diluted common share</w:t>
            </w:r>
          </w:p>
        </w:tc>
        <w:tc>
          <w:tcPr>
            <w:tcW w:w="220" w:type="dxa"/>
            <w:vAlign w:val="bottom"/>
            <w:tcBorders>
              <w:top w:val="single" w:sz="8" w:color="auto"/>
              <w:bottom w:val="single" w:sz="8" w:color="auto"/>
            </w:tcBorders>
            <w:shd w:val="clear" w:color="auto" w:fill="CCEEFF"/>
          </w:tcPr>
          <w:p>
            <w:pPr>
              <w:jc w:val="right"/>
              <w:ind w:right="106"/>
              <w:spacing w:after="0" w:line="116"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ind w:right="26"/>
              <w:spacing w:after="0" w:line="116" w:lineRule="exact"/>
              <w:rPr>
                <w:sz w:val="20"/>
                <w:szCs w:val="20"/>
                <w:color w:val="auto"/>
              </w:rPr>
            </w:pPr>
            <w:r>
              <w:rPr>
                <w:rFonts w:ascii="Times New Roman" w:cs="Times New Roman" w:eastAsia="Times New Roman" w:hAnsi="Times New Roman"/>
                <w:sz w:val="11"/>
                <w:szCs w:val="11"/>
                <w:b w:val="1"/>
                <w:bCs w:val="1"/>
                <w:color w:val="auto"/>
              </w:rPr>
              <w:t>17.91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06"/>
              <w:spacing w:after="0" w:line="116"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26"/>
              <w:spacing w:after="0" w:line="116" w:lineRule="exact"/>
              <w:rPr>
                <w:sz w:val="20"/>
                <w:szCs w:val="20"/>
                <w:color w:val="auto"/>
              </w:rPr>
            </w:pPr>
            <w:r>
              <w:rPr>
                <w:rFonts w:ascii="Times New Roman" w:cs="Times New Roman" w:eastAsia="Times New Roman" w:hAnsi="Times New Roman"/>
                <w:sz w:val="11"/>
                <w:szCs w:val="11"/>
                <w:color w:val="auto"/>
              </w:rPr>
              <w:t>26.94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ind w:right="66"/>
              <w:spacing w:after="0" w:line="116" w:lineRule="exact"/>
              <w:rPr>
                <w:sz w:val="20"/>
                <w:szCs w:val="20"/>
                <w:color w:val="auto"/>
              </w:rPr>
            </w:pPr>
            <w:r>
              <w:rPr>
                <w:rFonts w:ascii="Times New Roman" w:cs="Times New Roman" w:eastAsia="Times New Roman" w:hAnsi="Times New Roman"/>
                <w:sz w:val="11"/>
                <w:szCs w:val="11"/>
                <w:color w:val="auto"/>
              </w:rPr>
              <w:t>5.18</w:t>
            </w:r>
          </w:p>
        </w:tc>
        <w:tc>
          <w:tcPr>
            <w:tcW w:w="1080" w:type="dxa"/>
            <w:vAlign w:val="bottom"/>
            <w:tcBorders>
              <w:top w:val="single" w:sz="8" w:color="CCEEFF"/>
              <w:bottom w:val="single" w:sz="8" w:color="CCEEFF"/>
            </w:tcBorders>
            <w:gridSpan w:val="2"/>
            <w:shd w:val="clear" w:color="auto" w:fill="CCEEFF"/>
          </w:tcPr>
          <w:p>
            <w:pPr>
              <w:jc w:val="right"/>
              <w:ind w:right="112"/>
              <w:spacing w:after="0" w:line="116" w:lineRule="exact"/>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0" w:type="dxa"/>
            <w:vAlign w:val="bottom"/>
            <w:tcBorders>
              <w:top w:val="single" w:sz="8" w:color="CCEEFF"/>
              <w:bottom w:val="single" w:sz="8" w:color="CCEEFF"/>
            </w:tcBorders>
            <w:shd w:val="clear" w:color="auto" w:fill="CCEEFF"/>
          </w:tcPr>
          <w:p>
            <w:pPr>
              <w:jc w:val="right"/>
              <w:ind w:right="106"/>
              <w:spacing w:after="0" w:line="116" w:lineRule="exact"/>
              <w:rPr>
                <w:sz w:val="20"/>
                <w:szCs w:val="20"/>
                <w:color w:val="auto"/>
              </w:rPr>
            </w:pPr>
            <w:r>
              <w:rPr>
                <w:rFonts w:ascii="Times New Roman" w:cs="Times New Roman" w:eastAsia="Times New Roman" w:hAnsi="Times New Roman"/>
                <w:sz w:val="11"/>
                <w:szCs w:val="11"/>
                <w:color w:val="auto"/>
              </w:rPr>
              <w:t>**</w:t>
            </w:r>
          </w:p>
        </w:tc>
      </w:tr>
      <w:tr>
        <w:trPr>
          <w:trHeight w:val="139"/>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shares outstanding (period-end, in millions)</w:t>
            </w:r>
          </w:p>
        </w:tc>
        <w:tc>
          <w:tcPr>
            <w:tcW w:w="22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381.3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413.9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459.0</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2"/>
                <w:szCs w:val="12"/>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r>
      <w:tr>
        <w:trPr>
          <w:trHeight w:val="145"/>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declared and paid per common share</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2.40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1.00</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160</w:t>
            </w:r>
          </w:p>
        </w:tc>
      </w:tr>
      <w:tr>
        <w:trPr>
          <w:trHeight w:val="143"/>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Book value per common share (period-end)</w:t>
            </w:r>
          </w:p>
        </w:tc>
        <w:tc>
          <w:tcPr>
            <w:tcW w:w="22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137.90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147.46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131.16</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w:t>
            </w:r>
          </w:p>
        </w:tc>
      </w:tr>
      <w:tr>
        <w:trPr>
          <w:trHeight w:val="145"/>
        </w:trPr>
        <w:tc>
          <w:tcPr>
            <w:tcW w:w="59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Tangible book value per common share (period-end)</w:t>
            </w:r>
            <w:r>
              <w:rPr>
                <w:rFonts w:ascii="Times New Roman" w:cs="Times New Roman" w:eastAsia="Times New Roman" w:hAnsi="Times New Roman"/>
                <w:sz w:val="14"/>
                <w:szCs w:val="14"/>
                <w:color w:val="auto"/>
                <w:vertAlign w:val="superscript"/>
              </w:rPr>
              <w:t>(1)</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86.11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99.74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88.34</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13</w:t>
            </w:r>
          </w:p>
        </w:tc>
      </w:tr>
      <w:tr>
        <w:trPr>
          <w:trHeight w:val="144"/>
        </w:trPr>
        <w:tc>
          <w:tcPr>
            <w:tcW w:w="59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Common dividend payout ratio</w:t>
            </w:r>
            <w:r>
              <w:rPr>
                <w:rFonts w:ascii="Times New Roman" w:cs="Times New Roman" w:eastAsia="Times New Roman" w:hAnsi="Times New Roman"/>
                <w:sz w:val="14"/>
                <w:szCs w:val="14"/>
                <w:color w:val="auto"/>
                <w:vertAlign w:val="superscript"/>
              </w:rPr>
              <w:t>(2)</w:t>
            </w:r>
          </w:p>
        </w:tc>
        <w:tc>
          <w:tcPr>
            <w:tcW w:w="22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13.35%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19.27 %</w:t>
            </w:r>
          </w:p>
        </w:tc>
        <w:tc>
          <w:tcPr>
            <w:tcW w:w="1080" w:type="dxa"/>
            <w:vAlign w:val="bottom"/>
            <w:gridSpan w:val="2"/>
          </w:tcPr>
          <w:p>
            <w:pPr>
              <w:jc w:val="right"/>
              <w:ind w:right="192"/>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w:t>
            </w:r>
          </w:p>
        </w:tc>
      </w:tr>
      <w:tr>
        <w:trPr>
          <w:trHeight w:val="144"/>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 price per common share (period-end)</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92.96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145.09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98.85</w:t>
            </w:r>
          </w:p>
        </w:tc>
        <w:tc>
          <w:tcPr>
            <w:tcW w:w="10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47</w:t>
            </w:r>
          </w:p>
        </w:tc>
      </w:tr>
      <w:tr>
        <w:trPr>
          <w:trHeight w:val="142"/>
        </w:trPr>
        <w:tc>
          <w:tcPr>
            <w:tcW w:w="5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market capitalization (period-end)</w:t>
            </w:r>
          </w:p>
        </w:tc>
        <w:tc>
          <w:tcPr>
            <w:tcW w:w="22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35,447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60,047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45,372</w:t>
            </w:r>
          </w:p>
        </w:tc>
        <w:tc>
          <w:tcPr>
            <w:tcW w:w="1080" w:type="dxa"/>
            <w:vAlign w:val="bottom"/>
            <w:gridSpan w:val="2"/>
          </w:tcPr>
          <w:p>
            <w:pPr>
              <w:jc w:val="right"/>
              <w:ind w:right="112"/>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2"/>
                <w:szCs w:val="12"/>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32</w:t>
            </w:r>
          </w:p>
        </w:tc>
      </w:tr>
      <w:tr>
        <w:trPr>
          <w:trHeight w:val="669"/>
        </w:trPr>
        <w:tc>
          <w:tcPr>
            <w:tcW w:w="5820" w:type="dxa"/>
            <w:vAlign w:val="bottom"/>
          </w:tcPr>
          <w:p>
            <w:pPr>
              <w:ind w:left="5580"/>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r>
      <w:tr>
        <w:trPr>
          <w:trHeight w:val="260"/>
        </w:trPr>
        <w:tc>
          <w:tcPr>
            <w:tcW w:w="58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7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9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0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0"/>
                <w:szCs w:val="10"/>
                <w:color w:val="0000FF"/>
                <w:w w:val="92"/>
              </w:rPr>
              <w:t>Table of Contents</w:t>
            </w:r>
          </w:p>
        </w:tc>
        <w:tc>
          <w:tcPr>
            <w:tcW w:w="3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898"/>
        </w:trPr>
        <w:tc>
          <w:tcPr>
            <w:tcW w:w="46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 except per share data and as noted)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66"/>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2022 vs. 2021</w:t>
            </w:r>
          </w:p>
        </w:tc>
        <w:tc>
          <w:tcPr>
            <w:tcW w:w="860" w:type="dxa"/>
            <w:vAlign w:val="bottom"/>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w w:val="95"/>
              </w:rPr>
              <w:t>2021 vs. 2020</w:t>
            </w:r>
          </w:p>
        </w:tc>
      </w:tr>
      <w:tr>
        <w:trPr>
          <w:trHeight w:val="142"/>
        </w:trPr>
        <w:tc>
          <w:tcPr>
            <w:tcW w:w="4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sheet (average balances)</w:t>
            </w: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400" w:type="dxa"/>
            <w:vAlign w:val="bottom"/>
            <w:gridSpan w:val="5"/>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4"/>
              </w:rPr>
              <w:t>292,238</w:t>
            </w:r>
          </w:p>
        </w:tc>
        <w:tc>
          <w:tcPr>
            <w:tcW w:w="20" w:type="dxa"/>
            <w:vAlign w:val="bottom"/>
          </w:tcPr>
          <w:p>
            <w:pPr>
              <w:spacing w:after="0"/>
              <w:rPr>
                <w:sz w:val="12"/>
                <w:szCs w:val="12"/>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252,730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253,335</w:t>
            </w:r>
          </w:p>
        </w:tc>
        <w:tc>
          <w:tcPr>
            <w:tcW w:w="100" w:type="dxa"/>
            <w:vAlign w:val="bottom"/>
          </w:tcPr>
          <w:p>
            <w:pPr>
              <w:spacing w:after="0"/>
              <w:rPr>
                <w:sz w:val="12"/>
                <w:szCs w:val="12"/>
                <w:color w:val="auto"/>
              </w:rPr>
            </w:pPr>
          </w:p>
        </w:tc>
        <w:tc>
          <w:tcPr>
            <w:tcW w:w="980" w:type="dxa"/>
            <w:vAlign w:val="bottom"/>
            <w:gridSpan w:val="3"/>
          </w:tcPr>
          <w:p>
            <w:pPr>
              <w:jc w:val="right"/>
              <w:ind w:right="28"/>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Interest-earning assets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4"/>
              </w:rPr>
              <w:t>406,646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389,336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378,362</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4"/>
              </w:rPr>
              <w:t>440,538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424,521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411,187</w:t>
            </w:r>
          </w:p>
        </w:tc>
        <w:tc>
          <w:tcPr>
            <w:tcW w:w="100" w:type="dxa"/>
            <w:vAlign w:val="bottom"/>
          </w:tcPr>
          <w:p>
            <w:pPr>
              <w:spacing w:after="0"/>
              <w:rPr>
                <w:sz w:val="12"/>
                <w:szCs w:val="12"/>
                <w:color w:val="auto"/>
              </w:rPr>
            </w:pPr>
          </w:p>
        </w:tc>
        <w:tc>
          <w:tcPr>
            <w:tcW w:w="980" w:type="dxa"/>
            <w:vAlign w:val="bottom"/>
            <w:gridSpan w:val="3"/>
          </w:tcPr>
          <w:p>
            <w:pPr>
              <w:jc w:val="right"/>
              <w:ind w:right="108"/>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71"/>
              </w:rPr>
              <w:t>3</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4"/>
              </w:rPr>
              <w:t>277,208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271,500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263,279</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71"/>
              </w:rPr>
              <w:t>3</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deposits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4"/>
              </w:rPr>
              <w:t>313,551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306,397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290,835</w:t>
            </w:r>
          </w:p>
        </w:tc>
        <w:tc>
          <w:tcPr>
            <w:tcW w:w="100" w:type="dxa"/>
            <w:vAlign w:val="bottom"/>
          </w:tcPr>
          <w:p>
            <w:pPr>
              <w:spacing w:after="0"/>
              <w:rPr>
                <w:sz w:val="12"/>
                <w:szCs w:val="12"/>
                <w:color w:val="auto"/>
              </w:rPr>
            </w:pPr>
          </w:p>
        </w:tc>
        <w:tc>
          <w:tcPr>
            <w:tcW w:w="980" w:type="dxa"/>
            <w:vAlign w:val="bottom"/>
            <w:gridSpan w:val="3"/>
          </w:tcPr>
          <w:p>
            <w:pPr>
              <w:jc w:val="right"/>
              <w:ind w:right="108"/>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71"/>
              </w:rPr>
              <w:t>5</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Borrowings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51,006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38,590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46,588</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(17)</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equity</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50,279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56,966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52,954</w:t>
            </w:r>
          </w:p>
        </w:tc>
        <w:tc>
          <w:tcPr>
            <w:tcW w:w="100" w:type="dxa"/>
            <w:vAlign w:val="bottom"/>
          </w:tcPr>
          <w:p>
            <w:pPr>
              <w:spacing w:after="0"/>
              <w:rPr>
                <w:sz w:val="12"/>
                <w:szCs w:val="12"/>
                <w:color w:val="auto"/>
              </w:rPr>
            </w:pPr>
          </w:p>
        </w:tc>
        <w:tc>
          <w:tcPr>
            <w:tcW w:w="980" w:type="dxa"/>
            <w:vAlign w:val="bottom"/>
            <w:gridSpan w:val="3"/>
          </w:tcPr>
          <w:p>
            <w:pPr>
              <w:jc w:val="right"/>
              <w:ind w:right="108"/>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71"/>
              </w:rPr>
              <w:t>8</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stockholders’ equity</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55,125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62,556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58,201</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71"/>
              </w:rPr>
              <w:t>7</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Selected performance metrics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Purchase volume</w:t>
            </w:r>
          </w:p>
        </w:tc>
        <w:tc>
          <w:tcPr>
            <w:tcW w:w="14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4"/>
              </w:rPr>
              <w:t>587,283</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527,605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414,312</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left="286"/>
              <w:spacing w:after="0"/>
              <w:rPr>
                <w:sz w:val="20"/>
                <w:szCs w:val="20"/>
                <w:color w:val="auto"/>
              </w:rPr>
            </w:pPr>
            <w:r>
              <w:rPr>
                <w:rFonts w:ascii="Times New Roman" w:cs="Times New Roman" w:eastAsia="Times New Roman" w:hAnsi="Times New Roman"/>
                <w:sz w:val="11"/>
                <w:szCs w:val="11"/>
                <w:color w:val="auto"/>
                <w:w w:val="98"/>
              </w:rPr>
              <w:t>27%</w:t>
            </w:r>
          </w:p>
        </w:tc>
      </w:tr>
      <w:tr>
        <w:trPr>
          <w:trHeight w:val="144"/>
        </w:trPr>
        <w:tc>
          <w:tcPr>
            <w:tcW w:w="46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Total net revenue margin</w:t>
            </w:r>
            <w:r>
              <w:rPr>
                <w:rFonts w:ascii="Times New Roman" w:cs="Times New Roman" w:eastAsia="Times New Roman" w:hAnsi="Times New Roman"/>
                <w:sz w:val="14"/>
                <w:szCs w:val="14"/>
                <w:color w:val="auto"/>
                <w:vertAlign w:val="superscript"/>
              </w:rPr>
              <w:t>(3)</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8.42 %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7.82%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color w:val="auto"/>
              </w:rPr>
              <w:t>60bps</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28bps</w:t>
            </w:r>
          </w:p>
        </w:tc>
      </w:tr>
      <w:tr>
        <w:trPr>
          <w:trHeight w:val="14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interest margin</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6.67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6.21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15</w:t>
            </w:r>
          </w:p>
        </w:tc>
      </w:tr>
      <w:tr>
        <w:trPr>
          <w:trHeight w:val="144"/>
        </w:trPr>
        <w:tc>
          <w:tcPr>
            <w:tcW w:w="46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Return on average assets</w:t>
            </w:r>
            <w:r>
              <w:rPr>
                <w:rFonts w:ascii="Times New Roman" w:cs="Times New Roman" w:eastAsia="Times New Roman" w:hAnsi="Times New Roman"/>
                <w:sz w:val="14"/>
                <w:szCs w:val="14"/>
                <w:color w:val="auto"/>
                <w:vertAlign w:val="superscript"/>
              </w:rPr>
              <w:t>(4)</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2.92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0.66</w:t>
            </w:r>
          </w:p>
        </w:tc>
        <w:tc>
          <w:tcPr>
            <w:tcW w:w="100" w:type="dxa"/>
            <w:vAlign w:val="bottom"/>
          </w:tcPr>
          <w:p>
            <w:pPr>
              <w:spacing w:after="0"/>
              <w:rPr>
                <w:sz w:val="12"/>
                <w:szCs w:val="12"/>
                <w:color w:val="auto"/>
              </w:rPr>
            </w:pPr>
          </w:p>
        </w:tc>
        <w:tc>
          <w:tcPr>
            <w:tcW w:w="980" w:type="dxa"/>
            <w:vAlign w:val="bottom"/>
            <w:gridSpan w:val="3"/>
          </w:tcPr>
          <w:p>
            <w:pPr>
              <w:jc w:val="right"/>
              <w:ind w:right="108"/>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226</w:t>
            </w:r>
          </w:p>
        </w:tc>
      </w:tr>
      <w:tr>
        <w:trPr>
          <w:trHeight w:val="144"/>
        </w:trPr>
        <w:tc>
          <w:tcPr>
            <w:tcW w:w="4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Return on average tangible assets</w:t>
            </w:r>
            <w:r>
              <w:rPr>
                <w:rFonts w:ascii="Times New Roman" w:cs="Times New Roman" w:eastAsia="Times New Roman" w:hAnsi="Times New Roman"/>
                <w:sz w:val="14"/>
                <w:szCs w:val="14"/>
                <w:color w:val="auto"/>
                <w:vertAlign w:val="superscript"/>
              </w:rPr>
              <w:t>(5)</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1.73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3.03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0.69</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234</w:t>
            </w:r>
          </w:p>
        </w:tc>
      </w:tr>
      <w:tr>
        <w:trPr>
          <w:trHeight w:val="144"/>
        </w:trPr>
        <w:tc>
          <w:tcPr>
            <w:tcW w:w="46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Return on average common equity</w:t>
            </w:r>
            <w:r>
              <w:rPr>
                <w:rFonts w:ascii="Times New Roman" w:cs="Times New Roman" w:eastAsia="Times New Roman" w:hAnsi="Times New Roman"/>
                <w:sz w:val="14"/>
                <w:szCs w:val="14"/>
                <w:color w:val="auto"/>
                <w:vertAlign w:val="superscript"/>
              </w:rPr>
              <w:t>(6)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14.01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21.01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tcPr>
          <w:p>
            <w:pPr>
              <w:spacing w:after="0"/>
              <w:rPr>
                <w:sz w:val="12"/>
                <w:szCs w:val="12"/>
                <w:color w:val="auto"/>
              </w:rPr>
            </w:pPr>
          </w:p>
        </w:tc>
        <w:tc>
          <w:tcPr>
            <w:tcW w:w="980" w:type="dxa"/>
            <w:vAlign w:val="bottom"/>
            <w:gridSpan w:val="3"/>
          </w:tcPr>
          <w:p>
            <w:pPr>
              <w:jc w:val="right"/>
              <w:ind w:right="108"/>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286"/>
              <w:spacing w:after="0"/>
              <w:rPr>
                <w:sz w:val="20"/>
                <w:szCs w:val="20"/>
                <w:color w:val="auto"/>
              </w:rPr>
            </w:pPr>
            <w:r>
              <w:rPr>
                <w:rFonts w:ascii="Times New Roman" w:cs="Times New Roman" w:eastAsia="Times New Roman" w:hAnsi="Times New Roman"/>
                <w:sz w:val="11"/>
                <w:szCs w:val="11"/>
                <w:color w:val="auto"/>
                <w:w w:val="98"/>
              </w:rPr>
              <w:t>17%</w:t>
            </w:r>
          </w:p>
        </w:tc>
      </w:tr>
      <w:tr>
        <w:trPr>
          <w:trHeight w:val="144"/>
        </w:trPr>
        <w:tc>
          <w:tcPr>
            <w:tcW w:w="4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Return on average tangible common equity</w:t>
            </w:r>
            <w:r>
              <w:rPr>
                <w:rFonts w:ascii="Times New Roman" w:cs="Times New Roman" w:eastAsia="Times New Roman" w:hAnsi="Times New Roman"/>
                <w:sz w:val="14"/>
                <w:szCs w:val="14"/>
                <w:color w:val="auto"/>
                <w:vertAlign w:val="superscript"/>
              </w:rPr>
              <w:t>(7)</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19.91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28.39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22</w:t>
            </w:r>
          </w:p>
        </w:tc>
      </w:tr>
      <w:tr>
        <w:trPr>
          <w:trHeight w:val="144"/>
        </w:trPr>
        <w:tc>
          <w:tcPr>
            <w:tcW w:w="46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Equity-to-assets ratio</w:t>
            </w:r>
            <w:r>
              <w:rPr>
                <w:rFonts w:ascii="Times New Roman" w:cs="Times New Roman" w:eastAsia="Times New Roman" w:hAnsi="Times New Roman"/>
                <w:sz w:val="14"/>
                <w:szCs w:val="14"/>
                <w:color w:val="auto"/>
                <w:vertAlign w:val="superscript"/>
              </w:rPr>
              <w:t>(8)</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12.51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14.74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ind w:left="420"/>
              <w:spacing w:after="0"/>
              <w:rPr>
                <w:sz w:val="20"/>
                <w:szCs w:val="20"/>
                <w:color w:val="auto"/>
              </w:rPr>
            </w:pPr>
            <w:r>
              <w:rPr>
                <w:rFonts w:ascii="Times New Roman" w:cs="Times New Roman" w:eastAsia="Times New Roman" w:hAnsi="Times New Roman"/>
                <w:sz w:val="11"/>
                <w:szCs w:val="11"/>
                <w:color w:val="auto"/>
              </w:rPr>
              <w:t>(223)bps</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59bps</w:t>
            </w:r>
          </w:p>
        </w:tc>
      </w:tr>
      <w:tr>
        <w:trPr>
          <w:trHeight w:val="144"/>
        </w:trPr>
        <w:tc>
          <w:tcPr>
            <w:tcW w:w="4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Efficiency ratio</w:t>
            </w:r>
            <w:r>
              <w:rPr>
                <w:rFonts w:ascii="Times New Roman" w:cs="Times New Roman" w:eastAsia="Times New Roman" w:hAnsi="Times New Roman"/>
                <w:sz w:val="14"/>
                <w:szCs w:val="14"/>
                <w:color w:val="auto"/>
                <w:vertAlign w:val="superscript"/>
              </w:rPr>
              <w:t>(9)</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55.95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54.44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52.79</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165</w:t>
            </w:r>
          </w:p>
        </w:tc>
      </w:tr>
      <w:tr>
        <w:trPr>
          <w:trHeight w:val="144"/>
        </w:trPr>
        <w:tc>
          <w:tcPr>
            <w:tcW w:w="46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Operating efficiency ratio</w:t>
            </w:r>
            <w:r>
              <w:rPr>
                <w:rFonts w:ascii="Times New Roman" w:cs="Times New Roman" w:eastAsia="Times New Roman" w:hAnsi="Times New Roman"/>
                <w:sz w:val="14"/>
                <w:szCs w:val="14"/>
                <w:color w:val="auto"/>
                <w:vertAlign w:val="superscript"/>
              </w:rPr>
              <w:t>(10)</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44.22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45.01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47.14</w:t>
            </w:r>
          </w:p>
        </w:tc>
        <w:tc>
          <w:tcPr>
            <w:tcW w:w="100" w:type="dxa"/>
            <w:vAlign w:val="bottom"/>
          </w:tcPr>
          <w:p>
            <w:pPr>
              <w:spacing w:after="0"/>
              <w:rPr>
                <w:sz w:val="12"/>
                <w:szCs w:val="12"/>
                <w:color w:val="auto"/>
              </w:rPr>
            </w:pPr>
          </w:p>
        </w:tc>
        <w:tc>
          <w:tcPr>
            <w:tcW w:w="980" w:type="dxa"/>
            <w:vAlign w:val="bottom"/>
            <w:gridSpan w:val="3"/>
          </w:tcPr>
          <w:p>
            <w:pPr>
              <w:jc w:val="right"/>
              <w:ind w:right="108"/>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(213)</w:t>
            </w:r>
          </w:p>
        </w:tc>
      </w:tr>
      <w:tr>
        <w:trPr>
          <w:trHeight w:val="144"/>
        </w:trPr>
        <w:tc>
          <w:tcPr>
            <w:tcW w:w="4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Adjusted operating efficiency ratio</w:t>
            </w:r>
            <w:r>
              <w:rPr>
                <w:rFonts w:ascii="Times New Roman" w:cs="Times New Roman" w:eastAsia="Times New Roman" w:hAnsi="Times New Roman"/>
                <w:sz w:val="14"/>
                <w:szCs w:val="14"/>
                <w:color w:val="auto"/>
                <w:vertAlign w:val="superscript"/>
              </w:rPr>
              <w:t>(11)</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44.53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44.68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46.01</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(133)</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Effective income tax rate from continuing operations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21.6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12"/>
                <w:szCs w:val="12"/>
                <w:color w:val="auto"/>
              </w:rPr>
            </w:pPr>
          </w:p>
        </w:tc>
        <w:tc>
          <w:tcPr>
            <w:tcW w:w="980" w:type="dxa"/>
            <w:vAlign w:val="bottom"/>
            <w:gridSpan w:val="3"/>
          </w:tcPr>
          <w:p>
            <w:pPr>
              <w:jc w:val="right"/>
              <w:ind w:right="108"/>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charge-offs</w:t>
            </w:r>
          </w:p>
        </w:tc>
        <w:tc>
          <w:tcPr>
            <w:tcW w:w="14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3,973</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2,234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5,225</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(57)</w:t>
            </w:r>
          </w:p>
        </w:tc>
      </w:tr>
      <w:tr>
        <w:trPr>
          <w:trHeight w:val="142"/>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charge-off rate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1.36 %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0.88%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color w:val="auto"/>
              </w:rPr>
              <w:t>48bps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(118)bps</w:t>
            </w:r>
          </w:p>
        </w:tc>
      </w:tr>
      <w:tr>
        <w:trPr>
          <w:trHeight w:val="351"/>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860" w:type="dxa"/>
            <w:vAlign w:val="bottom"/>
            <w:tcBorders>
              <w:bottom w:val="single" w:sz="8" w:color="auto"/>
            </w:tcBorders>
          </w:tcPr>
          <w:p>
            <w:pPr>
              <w:spacing w:after="0"/>
              <w:rPr>
                <w:sz w:val="24"/>
                <w:szCs w:val="24"/>
                <w:color w:val="auto"/>
              </w:rPr>
            </w:pPr>
          </w:p>
        </w:tc>
      </w:tr>
      <w:tr>
        <w:trPr>
          <w:trHeight w:val="130"/>
        </w:trPr>
        <w:tc>
          <w:tcPr>
            <w:tcW w:w="46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 except as noted)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2022 vs. 2021</w:t>
            </w:r>
          </w:p>
        </w:tc>
        <w:tc>
          <w:tcPr>
            <w:tcW w:w="860" w:type="dxa"/>
            <w:vAlign w:val="bottom"/>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2021 vs. 2020</w:t>
            </w:r>
          </w:p>
        </w:tc>
      </w:tr>
      <w:tr>
        <w:trPr>
          <w:trHeight w:val="138"/>
        </w:trPr>
        <w:tc>
          <w:tcPr>
            <w:tcW w:w="4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sheet (period-end)</w:t>
            </w: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2"/>
                <w:szCs w:val="12"/>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312,331</w:t>
            </w:r>
          </w:p>
        </w:tc>
        <w:tc>
          <w:tcPr>
            <w:tcW w:w="20" w:type="dxa"/>
            <w:vAlign w:val="bottom"/>
          </w:tcPr>
          <w:p>
            <w:pPr>
              <w:spacing w:after="0"/>
              <w:rPr>
                <w:sz w:val="12"/>
                <w:szCs w:val="12"/>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277,340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251,624</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Interest-earning assets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427,248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397,341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388,917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455,249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432,381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421,602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300,789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272,937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274,300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deposits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332,992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310,980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305,442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Borrowings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9"/>
              </w:rPr>
              <w:t>48,715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43,086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40,539</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6</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equity</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9"/>
              </w:rPr>
              <w:t>47,737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56,184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55,356</w:t>
            </w:r>
          </w:p>
        </w:tc>
        <w:tc>
          <w:tcPr>
            <w:tcW w:w="1080" w:type="dxa"/>
            <w:vAlign w:val="bottom"/>
            <w:gridSpan w:val="4"/>
          </w:tcPr>
          <w:p>
            <w:pPr>
              <w:jc w:val="right"/>
              <w:ind w:right="52"/>
              <w:spacing w:after="0"/>
              <w:rPr>
                <w:sz w:val="20"/>
                <w:szCs w:val="20"/>
                <w:color w:val="auto"/>
              </w:rPr>
            </w:pPr>
            <w:r>
              <w:rPr>
                <w:rFonts w:ascii="Times New Roman" w:cs="Times New Roman" w:eastAsia="Times New Roman" w:hAnsi="Times New Roman"/>
                <w:sz w:val="11"/>
                <w:szCs w:val="11"/>
                <w:color w:val="auto"/>
              </w:rPr>
              <w:t>(15)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stockholders’ equity</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9"/>
              </w:rPr>
              <w:t>52,582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61,029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60,204</w:t>
            </w:r>
          </w:p>
        </w:tc>
        <w:tc>
          <w:tcPr>
            <w:tcW w:w="1080" w:type="dxa"/>
            <w:vAlign w:val="bottom"/>
            <w:gridSpan w:val="4"/>
            <w:shd w:val="clear" w:color="auto" w:fill="CCEEFF"/>
          </w:tcPr>
          <w:p>
            <w:pPr>
              <w:jc w:val="right"/>
              <w:ind w:right="52"/>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Credit quality metrics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1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306"/>
              <w:spacing w:after="0"/>
              <w:rPr>
                <w:sz w:val="20"/>
                <w:szCs w:val="20"/>
                <w:color w:val="auto"/>
              </w:rPr>
            </w:pPr>
            <w:r>
              <w:rPr>
                <w:rFonts w:ascii="Times New Roman" w:cs="Times New Roman" w:eastAsia="Times New Roman" w:hAnsi="Times New Roman"/>
                <w:sz w:val="11"/>
                <w:szCs w:val="11"/>
                <w:b w:val="1"/>
                <w:bCs w:val="1"/>
                <w:color w:val="auto"/>
                <w:w w:val="99"/>
              </w:rPr>
              <w:t>13,240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11,430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15,564</w:t>
            </w:r>
          </w:p>
        </w:tc>
        <w:tc>
          <w:tcPr>
            <w:tcW w:w="1080" w:type="dxa"/>
            <w:vAlign w:val="bottom"/>
            <w:gridSpan w:val="4"/>
            <w:shd w:val="clear" w:color="auto" w:fill="CCEEFF"/>
          </w:tcPr>
          <w:p>
            <w:pPr>
              <w:jc w:val="right"/>
              <w:ind w:right="52"/>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Allowance as a percentage of loans held for investment (“allowance coverage ratio”)</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4.24 %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color w:val="auto"/>
              </w:rPr>
              <w:t>12 bps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(207)bps</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30+ day performing delinquency rate</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2.96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2.25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(16)</w:t>
            </w:r>
          </w:p>
        </w:tc>
      </w:tr>
      <w:tr>
        <w:trPr>
          <w:trHeight w:val="143"/>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30+ day delinquency rate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3.21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(20)</w:t>
            </w:r>
          </w:p>
        </w:tc>
      </w:tr>
      <w:tr>
        <w:trPr>
          <w:trHeight w:val="145"/>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Capital ratios</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4"/>
        </w:trPr>
        <w:tc>
          <w:tcPr>
            <w:tcW w:w="46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Common equity Tier 1 capital</w:t>
            </w:r>
            <w:r>
              <w:rPr>
                <w:rFonts w:ascii="Times New Roman" w:cs="Times New Roman" w:eastAsia="Times New Roman" w:hAnsi="Times New Roman"/>
                <w:sz w:val="14"/>
                <w:szCs w:val="14"/>
                <w:color w:val="auto"/>
                <w:vertAlign w:val="superscript"/>
              </w:rPr>
              <w:t>(12)</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12.5 %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color w:val="auto"/>
              </w:rPr>
              <w:t>(60)bps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(60)bps</w:t>
            </w:r>
          </w:p>
        </w:tc>
      </w:tr>
      <w:tr>
        <w:trPr>
          <w:trHeight w:val="144"/>
        </w:trPr>
        <w:tc>
          <w:tcPr>
            <w:tcW w:w="4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capital</w:t>
            </w:r>
            <w:r>
              <w:rPr>
                <w:rFonts w:ascii="Times New Roman" w:cs="Times New Roman" w:eastAsia="Times New Roman" w:hAnsi="Times New Roman"/>
                <w:sz w:val="14"/>
                <w:szCs w:val="14"/>
                <w:color w:val="auto"/>
                <w:vertAlign w:val="superscript"/>
              </w:rPr>
              <w:t>(12)</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13.9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52"/>
              <w:spacing w:after="0"/>
              <w:rPr>
                <w:sz w:val="20"/>
                <w:szCs w:val="20"/>
                <w:color w:val="auto"/>
              </w:rPr>
            </w:pPr>
            <w:r>
              <w:rPr>
                <w:rFonts w:ascii="Times New Roman" w:cs="Times New Roman" w:eastAsia="Times New Roman" w:hAnsi="Times New Roman"/>
                <w:sz w:val="11"/>
                <w:szCs w:val="11"/>
                <w:color w:val="auto"/>
              </w:rPr>
              <w:t>(60)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(80)</w:t>
            </w:r>
          </w:p>
        </w:tc>
      </w:tr>
      <w:tr>
        <w:trPr>
          <w:trHeight w:val="144"/>
        </w:trPr>
        <w:tc>
          <w:tcPr>
            <w:tcW w:w="46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Total capital</w:t>
            </w:r>
            <w:r>
              <w:rPr>
                <w:rFonts w:ascii="Times New Roman" w:cs="Times New Roman" w:eastAsia="Times New Roman" w:hAnsi="Times New Roman"/>
                <w:sz w:val="14"/>
                <w:szCs w:val="14"/>
                <w:color w:val="auto"/>
                <w:vertAlign w:val="superscript"/>
              </w:rPr>
              <w:t>(12)</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17.7</w:t>
            </w:r>
          </w:p>
        </w:tc>
        <w:tc>
          <w:tcPr>
            <w:tcW w:w="100" w:type="dxa"/>
            <w:vAlign w:val="bottom"/>
          </w:tcPr>
          <w:p>
            <w:pPr>
              <w:spacing w:after="0"/>
              <w:rPr>
                <w:sz w:val="12"/>
                <w:szCs w:val="12"/>
                <w:color w:val="auto"/>
              </w:rPr>
            </w:pPr>
          </w:p>
        </w:tc>
        <w:tc>
          <w:tcPr>
            <w:tcW w:w="1080" w:type="dxa"/>
            <w:vAlign w:val="bottom"/>
            <w:gridSpan w:val="4"/>
          </w:tcPr>
          <w:p>
            <w:pPr>
              <w:jc w:val="right"/>
              <w:ind w:right="52"/>
              <w:spacing w:after="0"/>
              <w:rPr>
                <w:sz w:val="20"/>
                <w:szCs w:val="20"/>
                <w:color w:val="auto"/>
              </w:rPr>
            </w:pPr>
            <w:r>
              <w:rPr>
                <w:rFonts w:ascii="Times New Roman" w:cs="Times New Roman" w:eastAsia="Times New Roman" w:hAnsi="Times New Roman"/>
                <w:sz w:val="11"/>
                <w:szCs w:val="11"/>
                <w:color w:val="auto"/>
              </w:rPr>
              <w:t>(110)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(80)</w:t>
            </w:r>
          </w:p>
        </w:tc>
      </w:tr>
      <w:tr>
        <w:trPr>
          <w:trHeight w:val="144"/>
        </w:trPr>
        <w:tc>
          <w:tcPr>
            <w:tcW w:w="4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leverage</w:t>
            </w:r>
            <w:r>
              <w:rPr>
                <w:rFonts w:ascii="Times New Roman" w:cs="Times New Roman" w:eastAsia="Times New Roman" w:hAnsi="Times New Roman"/>
                <w:sz w:val="14"/>
                <w:szCs w:val="14"/>
                <w:color w:val="auto"/>
                <w:vertAlign w:val="superscript"/>
              </w:rPr>
              <w:t>(12)</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52"/>
              <w:spacing w:after="0"/>
              <w:rPr>
                <w:sz w:val="20"/>
                <w:szCs w:val="20"/>
                <w:color w:val="auto"/>
              </w:rPr>
            </w:pPr>
            <w:r>
              <w:rPr>
                <w:rFonts w:ascii="Times New Roman" w:cs="Times New Roman" w:eastAsia="Times New Roman" w:hAnsi="Times New Roman"/>
                <w:sz w:val="11"/>
                <w:szCs w:val="11"/>
                <w:color w:val="auto"/>
              </w:rPr>
              <w:t>(50)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40</w:t>
            </w:r>
          </w:p>
        </w:tc>
      </w:tr>
      <w:tr>
        <w:trPr>
          <w:trHeight w:val="144"/>
        </w:trPr>
        <w:tc>
          <w:tcPr>
            <w:tcW w:w="46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Tangible common equity</w:t>
            </w:r>
            <w:r>
              <w:rPr>
                <w:rFonts w:ascii="Times New Roman" w:cs="Times New Roman" w:eastAsia="Times New Roman" w:hAnsi="Times New Roman"/>
                <w:sz w:val="14"/>
                <w:szCs w:val="14"/>
                <w:color w:val="auto"/>
                <w:vertAlign w:val="superscript"/>
              </w:rPr>
              <w:t>(13)</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7.5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2"/>
                <w:szCs w:val="12"/>
                <w:color w:val="auto"/>
              </w:rPr>
            </w:pPr>
          </w:p>
        </w:tc>
        <w:tc>
          <w:tcPr>
            <w:tcW w:w="1080" w:type="dxa"/>
            <w:vAlign w:val="bottom"/>
            <w:gridSpan w:val="4"/>
          </w:tcPr>
          <w:p>
            <w:pPr>
              <w:jc w:val="right"/>
              <w:ind w:right="52"/>
              <w:spacing w:after="0"/>
              <w:rPr>
                <w:sz w:val="20"/>
                <w:szCs w:val="20"/>
                <w:color w:val="auto"/>
              </w:rPr>
            </w:pPr>
            <w:r>
              <w:rPr>
                <w:rFonts w:ascii="Times New Roman" w:cs="Times New Roman" w:eastAsia="Times New Roman" w:hAnsi="Times New Roman"/>
                <w:sz w:val="11"/>
                <w:szCs w:val="11"/>
                <w:color w:val="auto"/>
              </w:rPr>
              <w:t>(240)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w:t>
            </w:r>
          </w:p>
        </w:tc>
      </w:tr>
      <w:tr>
        <w:trPr>
          <w:trHeight w:val="144"/>
        </w:trPr>
        <w:tc>
          <w:tcPr>
            <w:tcW w:w="4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Supplementary leverage</w:t>
            </w:r>
            <w:r>
              <w:rPr>
                <w:rFonts w:ascii="Times New Roman" w:cs="Times New Roman" w:eastAsia="Times New Roman" w:hAnsi="Times New Roman"/>
                <w:sz w:val="14"/>
                <w:szCs w:val="14"/>
                <w:color w:val="auto"/>
                <w:vertAlign w:val="superscript"/>
              </w:rPr>
              <w:t>(12)(14)</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9.5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52"/>
              <w:spacing w:after="0"/>
              <w:rPr>
                <w:sz w:val="20"/>
                <w:szCs w:val="20"/>
                <w:color w:val="auto"/>
              </w:rPr>
            </w:pPr>
            <w:r>
              <w:rPr>
                <w:rFonts w:ascii="Times New Roman" w:cs="Times New Roman" w:eastAsia="Times New Roman" w:hAnsi="Times New Roman"/>
                <w:sz w:val="11"/>
                <w:szCs w:val="11"/>
                <w:color w:val="auto"/>
              </w:rPr>
              <w:t>(40)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(80)</w:t>
            </w:r>
          </w:p>
        </w:tc>
      </w:tr>
      <w:tr>
        <w:trPr>
          <w:trHeight w:val="142"/>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669"/>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6"/>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r>
      <w:tr>
        <w:trPr>
          <w:trHeight w:val="251"/>
        </w:trPr>
        <w:tc>
          <w:tcPr>
            <w:tcW w:w="680" w:type="dxa"/>
            <w:vAlign w:val="bottom"/>
            <w:tcBorders>
              <w:bottom w:val="single" w:sz="8" w:color="9A9A9A"/>
            </w:tcBorders>
          </w:tcPr>
          <w:p>
            <w:pPr>
              <w:spacing w:after="0"/>
              <w:rPr>
                <w:sz w:val="21"/>
                <w:szCs w:val="21"/>
                <w:color w:val="auto"/>
              </w:rPr>
            </w:pPr>
          </w:p>
        </w:tc>
        <w:tc>
          <w:tcPr>
            <w:tcW w:w="394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86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20" w:type="dxa"/>
            <w:vAlign w:val="bottom"/>
            <w:tcBorders>
              <w:bottom w:val="single" w:sz="8" w:color="9A9A9A"/>
            </w:tcBorders>
          </w:tcPr>
          <w:p>
            <w:pPr>
              <w:spacing w:after="0"/>
              <w:rPr>
                <w:sz w:val="21"/>
                <w:szCs w:val="21"/>
                <w:color w:val="auto"/>
              </w:rPr>
            </w:pPr>
          </w:p>
        </w:tc>
        <w:tc>
          <w:tcPr>
            <w:tcW w:w="7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8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51" w:right="299" w:bottom="1440" w:gutter="0" w:footer="0" w:header="0"/>
        </w:sectPr>
      </w:pPr>
    </w:p>
    <w:bookmarkStart w:id="47" w:name="page48"/>
    <w:bookmarkEnd w:id="47"/>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729"/>
              <w:spacing w:after="0"/>
              <w:rPr>
                <w:sz w:val="20"/>
                <w:szCs w:val="20"/>
                <w:color w:val="auto"/>
              </w:rPr>
            </w:pPr>
            <w:r>
              <w:rPr>
                <w:rFonts w:ascii="Times New Roman" w:cs="Times New Roman" w:eastAsia="Times New Roman" w:hAnsi="Times New Roman"/>
                <w:sz w:val="10"/>
                <w:szCs w:val="10"/>
                <w:b w:val="1"/>
                <w:bCs w:val="1"/>
                <w:color w:val="auto"/>
                <w:w w:val="85"/>
              </w:rPr>
              <w:t>Change</w:t>
            </w:r>
          </w:p>
        </w:tc>
      </w:tr>
      <w:tr>
        <w:trPr>
          <w:trHeight w:val="130"/>
        </w:trPr>
        <w:tc>
          <w:tcPr>
            <w:tcW w:w="59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 except as noted)</w:t>
            </w:r>
          </w:p>
        </w:tc>
        <w:tc>
          <w:tcPr>
            <w:tcW w:w="1060" w:type="dxa"/>
            <w:vAlign w:val="bottom"/>
          </w:tcPr>
          <w:p>
            <w:pPr>
              <w:jc w:val="right"/>
              <w:ind w:right="369"/>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1"/>
                <w:szCs w:val="11"/>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1080" w:type="dxa"/>
            <w:vAlign w:val="bottom"/>
          </w:tcPr>
          <w:p>
            <w:pPr>
              <w:jc w:val="right"/>
              <w:ind w:right="389"/>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2022 vs. 2021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2021 vs. 2020</w:t>
            </w:r>
          </w:p>
        </w:tc>
      </w:tr>
      <w:tr>
        <w:trPr>
          <w:trHeight w:val="138"/>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Employees (period end, in thousands)</w:t>
            </w: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56.0</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1"/>
                <w:szCs w:val="11"/>
                <w:color w:val="auto"/>
              </w:rPr>
              <w:t>50.8</w:t>
            </w: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1"/>
                <w:szCs w:val="11"/>
                <w:color w:val="auto"/>
              </w:rPr>
              <w:t>52.0</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1"/>
                <w:szCs w:val="11"/>
                <w:color w:val="auto"/>
              </w:rPr>
              <w:t>(2)%</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right="20" w:hanging="208"/>
        <w:spacing w:after="0" w:line="219" w:lineRule="auto"/>
        <w:tabs>
          <w:tab w:leader="none" w:pos="200"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Tangible book value per common share is a non-GAAP measure calculated based on tangible common equity (“TCE”) divided by common shares outstanding. See “Supplemental Tables—Table B—Reconciliation of Non-GAAP Measures” for additional information on non-GAAP measures.</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Common dividend payout ratio is calculated based on dividends per common share for the period divided by basic earnings per common share for the period.</w:t>
      </w:r>
    </w:p>
    <w:p>
      <w:pPr>
        <w:spacing w:after="0" w:line="23"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Total net revenue margin is calculated based on total net revenue for the period divided by average interest-earning assets for the period.</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Return on average assets is calculated based on income from continuing operations, net of tax, for the period divided by average total assets for the period.</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12" w:lineRule="auto"/>
        <w:tabs>
          <w:tab w:leader="none" w:pos="200"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Return on average tangible assets is a non-GAAP measure calculated based on income from continuing operations, net of tax, for the period divided by average tangible assets for the period. See “Supplemental Tables—Table B—Reconciliation of Non-GAAP Measures” for additional information on non-GAAP measures.</w:t>
      </w:r>
    </w:p>
    <w:p>
      <w:pPr>
        <w:spacing w:after="0" w:line="29" w:lineRule="exact"/>
        <w:rPr>
          <w:rFonts w:ascii="Times New Roman" w:cs="Times New Roman" w:eastAsia="Times New Roman" w:hAnsi="Times New Roman"/>
          <w:sz w:val="12"/>
          <w:szCs w:val="12"/>
          <w:color w:val="auto"/>
          <w:vertAlign w:val="superscript"/>
        </w:rPr>
      </w:pPr>
    </w:p>
    <w:p>
      <w:pPr>
        <w:ind w:left="208" w:hanging="208"/>
        <w:spacing w:after="0" w:line="261" w:lineRule="auto"/>
        <w:tabs>
          <w:tab w:leader="none" w:pos="200" w:val="left"/>
        </w:tabs>
        <w:numPr>
          <w:ilvl w:val="0"/>
          <w:numId w:val="1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Return on average common equity is calculated based on net income (loss) available to common stockholders less income (loss) from discontinued operations, net of tax, for the period, divided by average common equity. Our calculation of return on average common equity may not be comparable to similarly-titled measures reported by other companies.</w:t>
      </w:r>
    </w:p>
    <w:p>
      <w:pPr>
        <w:spacing w:after="0" w:line="19" w:lineRule="exact"/>
        <w:rPr>
          <w:rFonts w:ascii="Times New Roman" w:cs="Times New Roman" w:eastAsia="Times New Roman" w:hAnsi="Times New Roman"/>
          <w:sz w:val="6"/>
          <w:szCs w:val="6"/>
          <w:color w:val="auto"/>
        </w:rPr>
      </w:pPr>
    </w:p>
    <w:p>
      <w:pPr>
        <w:ind w:left="208" w:right="20" w:hanging="208"/>
        <w:spacing w:after="0" w:line="228" w:lineRule="auto"/>
        <w:tabs>
          <w:tab w:leader="none" w:pos="200"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Return on average tangible common equity is a non-GAAP measure calculated based on net income (loss) available to common stockholders less income (loss) from discontinued operations, net of tax, for the period, divided by average TCE. Our calculation of return on average TCE may not be comparable to similarly-titled measures reported by other companies. See “Supplemental Tables—Table B—Reconciliation of Non-GAAP Measures” for additional information on non-GAAP measures.</w:t>
      </w:r>
    </w:p>
    <w:p>
      <w:pPr>
        <w:spacing w:after="0" w:line="20"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Equity-to-assets ratio is calculated based on average stockholders’ equity for the period divided by average total assets for the period.</w:t>
      </w:r>
    </w:p>
    <w:p>
      <w:pPr>
        <w:spacing w:after="0" w:line="38"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1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Efficiency ratio is calculated based on total non-interest expense for the period divided by total net revenue for the period.</w:t>
      </w:r>
    </w:p>
    <w:p>
      <w:pPr>
        <w:spacing w:after="0" w:line="23"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Operating efficiency ratio is calculated based on operating expense for the period divided by total net revenue for the period.</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operating efficiency ratio is a non-GAAP measure. See “Supplemental Tables—Table B—Reconciliation of Non-GAAP Measures” for a reconciliation of our adjusted operating efficiency ratio (non-GAAP) to our operating efficiency ratio (GAAP).</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Capital ratios are calculated based on the Basel III standardized approach framework, see “Capital Management” for additional information.</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6"/>
        </w:numPr>
        <w:rPr>
          <w:rFonts w:ascii="Times New Roman" w:cs="Times New Roman" w:eastAsia="Times New Roman" w:hAnsi="Times New Roman"/>
          <w:sz w:val="5"/>
          <w:szCs w:val="5"/>
          <w:color w:val="auto"/>
        </w:rPr>
      </w:pPr>
      <w:r>
        <w:rPr>
          <w:rFonts w:ascii="Times New Roman" w:cs="Times New Roman" w:eastAsia="Times New Roman" w:hAnsi="Times New Roman"/>
          <w:sz w:val="8"/>
          <w:szCs w:val="8"/>
          <w:color w:val="auto"/>
        </w:rPr>
        <w:t>Tangible common equity ratio is a non-GAAP measure calculated based on TCE divided by tangible assets. See “Supplemental Tables—Table B—Reconciliation of Non-GAAP Measures” for the calculation of this measure and reconciliation to the comparative U.S. GAAP measure.</w:t>
      </w:r>
    </w:p>
    <w:p>
      <w:pPr>
        <w:spacing w:after="0" w:line="51" w:lineRule="exact"/>
        <w:rPr>
          <w:rFonts w:ascii="Times New Roman" w:cs="Times New Roman" w:eastAsia="Times New Roman" w:hAnsi="Times New Roman"/>
          <w:sz w:val="5"/>
          <w:szCs w:val="5"/>
          <w:color w:val="auto"/>
        </w:rPr>
      </w:pPr>
    </w:p>
    <w:p>
      <w:pPr>
        <w:jc w:val="both"/>
        <w:ind w:left="208" w:hanging="208"/>
        <w:spacing w:after="0" w:line="233" w:lineRule="auto"/>
        <w:tabs>
          <w:tab w:leader="none" w:pos="204"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Company’s supplementary leverage ratio as of December 31, 2020 reflected the temporary exclusions of U.S Treasury securities and deposits with the Federal Reserve Banks from the denominator of the supplementary leverage ratio, pursuant to an interim final rule issued by the Federal Reserve in April 2020. These temporary exclusions remained in effect through March 31, 2021 and expired as scheduled thereafter. For the description of the regulatory capital rules to which we are subject, see “Capital Management—Capital Standards and Prompt Corrective Action.”</w:t>
      </w:r>
    </w:p>
    <w:p>
      <w:pPr>
        <w:spacing w:after="0" w:line="30" w:lineRule="exact"/>
        <w:rPr>
          <w:sz w:val="20"/>
          <w:szCs w:val="20"/>
          <w:color w:val="auto"/>
        </w:rPr>
      </w:pPr>
    </w:p>
    <w:p>
      <w:pPr>
        <w:ind w:left="8"/>
        <w:spacing w:after="0"/>
        <w:tabs>
          <w:tab w:leader="none" w:pos="168" w:val="left"/>
        </w:tabs>
        <w:rPr>
          <w:sz w:val="20"/>
          <w:szCs w:val="20"/>
          <w:color w:val="auto"/>
        </w:rPr>
      </w:pPr>
      <w:r>
        <w:rPr>
          <w:rFonts w:ascii="Times New Roman" w:cs="Times New Roman" w:eastAsia="Times New Roman" w:hAnsi="Times New Roman"/>
          <w:sz w:val="10"/>
          <w:szCs w:val="10"/>
          <w:color w:val="auto"/>
        </w:rPr>
        <w:t>**</w:t>
      </w:r>
      <w:r>
        <w:rPr>
          <w:sz w:val="20"/>
          <w:szCs w:val="20"/>
          <w:color w:val="auto"/>
        </w:rPr>
        <w:tab/>
      </w:r>
      <w:r>
        <w:rPr>
          <w:rFonts w:ascii="Times New Roman" w:cs="Times New Roman" w:eastAsia="Times New Roman" w:hAnsi="Times New Roman"/>
          <w:sz w:val="8"/>
          <w:szCs w:val="8"/>
          <w:color w:val="auto"/>
        </w:rPr>
        <w:t>Not meaningful.</w:t>
      </w:r>
    </w:p>
    <w:p>
      <w:pPr>
        <w:spacing w:after="0" w:line="200" w:lineRule="exact"/>
        <w:rPr>
          <w:sz w:val="20"/>
          <w:szCs w:val="20"/>
          <w:color w:val="auto"/>
        </w:rPr>
      </w:pPr>
    </w:p>
    <w:p>
      <w:pPr>
        <w:spacing w:after="0" w:line="297"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47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Highlights</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reported net income of $7.4 billion ($17.91 per diluted common share) on total net revenue of $34.3 billion for 2022. In comparison, we reported net income of $12.4 billion ($26.94 per diluted common share) on total net revenue of $30.4 billion for 2021 and net income of $2.7 billion ($5.18 per diluted common share) on total net revenue of $28.5 billion for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common equity Tier 1 capital ratio as calculated under the Basel III standardized approach was 12.5% and 13.1% as of December 31, 2022 and 2021, respectively. See “Capital Management” for additional information.</w:t>
      </w:r>
    </w:p>
    <w:p>
      <w:pPr>
        <w:spacing w:after="0" w:line="11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January 2022, our Board of Directors authorized the repurchase of up to $5.0 billion of shares of our common stock. In April 2022, our Board of Directors authorized the repurchase of up to an additional $5.0 billion of shares of our common stock. For the year ended December 31, 2022, we repurchased $4.8 billion of shares of our common stock. See “MD&amp;A—Capital Management—Dividend Policy and Stock Purchases” for additional information.</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Below are additional highlights of our performance in 2022. These highlights are based on a comparison between the results of 2022 and 2021, except as otherwise noted. The changes in our financial condition and credit performance are generally based on our financial condition and credit performance as of December 31, 2022 compared to December 31, 2021. We provide a more detailed discussion of our financial performance in the sections following this “Executive Summary.”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Discussions of our performance for 2021 compared to 2020 can be found in “Part II—Item 7. MD&amp;A” of our Annual Report on Form 10-K for the fiscal year ended December 31, 2021.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Total Company Performance</w:t>
      </w:r>
    </w:p>
    <w:p>
      <w:pPr>
        <w:spacing w:after="0" w:line="116" w:lineRule="exact"/>
        <w:rPr>
          <w:sz w:val="20"/>
          <w:szCs w:val="20"/>
          <w:color w:val="auto"/>
        </w:rPr>
      </w:pPr>
    </w:p>
    <w:p>
      <w:pPr>
        <w:ind w:left="320" w:hanging="220"/>
        <w:spacing w:after="0"/>
        <w:tabs>
          <w:tab w:leader="none" w:pos="320" w:val="left"/>
        </w:tabs>
        <w:numPr>
          <w:ilvl w:val="0"/>
          <w:numId w:val="1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Earnings:</w:t>
      </w:r>
    </w:p>
    <w:p>
      <w:pPr>
        <w:spacing w:after="0" w:line="116" w:lineRule="exact"/>
        <w:rPr>
          <w:rFonts w:ascii="Times New Roman" w:cs="Times New Roman" w:eastAsia="Times New Roman" w:hAnsi="Times New Roman"/>
          <w:sz w:val="12"/>
          <w:szCs w:val="12"/>
          <w:i w:val="1"/>
          <w:iCs w:val="1"/>
          <w:color w:val="auto"/>
        </w:rPr>
      </w:pPr>
    </w:p>
    <w:p>
      <w:pPr>
        <w:ind w:left="320"/>
        <w:spacing w:after="0"/>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Our net income decreased by $5.0 billion to $7.4 billion in 2022 compared to 2021 primarily driven by:</w:t>
      </w:r>
    </w:p>
    <w:p>
      <w:pPr>
        <w:spacing w:after="0" w:line="114" w:lineRule="exact"/>
        <w:rPr>
          <w:rFonts w:ascii="Times New Roman" w:cs="Times New Roman" w:eastAsia="Times New Roman" w:hAnsi="Times New Roman"/>
          <w:sz w:val="12"/>
          <w:szCs w:val="12"/>
          <w:i w:val="1"/>
          <w:iCs w:val="1"/>
          <w:color w:val="auto"/>
        </w:rPr>
      </w:pPr>
    </w:p>
    <w:p>
      <w:pPr>
        <w:ind w:left="640" w:hanging="216"/>
        <w:spacing w:after="0" w:line="239" w:lineRule="auto"/>
        <w:tabs>
          <w:tab w:leader="none" w:pos="638" w:val="left"/>
        </w:tabs>
        <w:numPr>
          <w:ilvl w:val="1"/>
          <w:numId w:val="17"/>
        </w:numPr>
        <w:rPr>
          <w:rFonts w:ascii="Times New Roman" w:cs="Times New Roman" w:eastAsia="Times New Roman" w:hAnsi="Times New Roman"/>
          <w:sz w:val="14"/>
          <w:szCs w:val="14"/>
          <w:b w:val="1"/>
          <w:bCs w:val="1"/>
          <w:i w:val="1"/>
          <w:iCs w:val="1"/>
          <w:color w:val="auto"/>
          <w:vertAlign w:val="superscript"/>
        </w:rPr>
      </w:pPr>
      <w:r>
        <w:rPr>
          <w:rFonts w:ascii="Times New Roman" w:cs="Times New Roman" w:eastAsia="Times New Roman" w:hAnsi="Times New Roman"/>
          <w:sz w:val="12"/>
          <w:szCs w:val="12"/>
          <w:color w:val="auto"/>
        </w:rPr>
        <w:t>Higher provision for credit losses primarily driven by a net allowance build across all of our segments due to credit normalization, a modestly worse economic outlook and loan growth, compared to a net allowance release across all of our segments in 2021.</w:t>
      </w:r>
    </w:p>
    <w:p>
      <w:pPr>
        <w:spacing w:after="0" w:line="98" w:lineRule="exact"/>
        <w:rPr>
          <w:rFonts w:ascii="Times New Roman" w:cs="Times New Roman" w:eastAsia="Times New Roman" w:hAnsi="Times New Roman"/>
          <w:sz w:val="14"/>
          <w:szCs w:val="14"/>
          <w:b w:val="1"/>
          <w:bCs w:val="1"/>
          <w:i w:val="1"/>
          <w:iCs w:val="1"/>
          <w:color w:val="auto"/>
          <w:vertAlign w:val="superscript"/>
        </w:rPr>
      </w:pPr>
    </w:p>
    <w:p>
      <w:pPr>
        <w:ind w:left="640" w:hanging="216"/>
        <w:spacing w:after="0"/>
        <w:tabs>
          <w:tab w:leader="none" w:pos="640"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Higher non-interest expense primarily driven by increased marketing spend, as well as continued investment in technology.</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These drivers were partially offset by:</w:t>
      </w:r>
    </w:p>
    <w:p>
      <w:pPr>
        <w:spacing w:after="0" w:line="114" w:lineRule="exact"/>
        <w:rPr>
          <w:sz w:val="20"/>
          <w:szCs w:val="20"/>
          <w:color w:val="auto"/>
        </w:rPr>
      </w:pPr>
    </w:p>
    <w:p>
      <w:pPr>
        <w:ind w:left="640" w:hanging="216"/>
        <w:spacing w:after="0"/>
        <w:tabs>
          <w:tab w:leader="none" w:pos="640" w:val="left"/>
        </w:tabs>
        <w:numPr>
          <w:ilvl w:val="1"/>
          <w:numId w:val="1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Higher net interest income and net interest margin primarily driven by higher average loan balances in our credit card loan portfolio relative to the movement of other interest-earning assets.</w:t>
      </w:r>
    </w:p>
    <w:p>
      <w:pPr>
        <w:spacing w:after="0" w:line="114" w:lineRule="exact"/>
        <w:rPr>
          <w:rFonts w:ascii="Times New Roman" w:cs="Times New Roman" w:eastAsia="Times New Roman" w:hAnsi="Times New Roman"/>
          <w:sz w:val="11"/>
          <w:szCs w:val="11"/>
          <w:b w:val="1"/>
          <w:bCs w:val="1"/>
          <w:color w:val="auto"/>
        </w:rPr>
      </w:pPr>
    </w:p>
    <w:p>
      <w:pPr>
        <w:ind w:left="640" w:hanging="216"/>
        <w:spacing w:after="0"/>
        <w:tabs>
          <w:tab w:leader="none" w:pos="640" w:val="left"/>
        </w:tabs>
        <w:numPr>
          <w:ilvl w:val="1"/>
          <w:numId w:val="1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Higher non-interest income primarily driven by higher net interchange fees due to an increase in purchase volume.</w:t>
      </w:r>
    </w:p>
    <w:p>
      <w:pPr>
        <w:spacing w:after="0" w:line="112" w:lineRule="exact"/>
        <w:rPr>
          <w:rFonts w:ascii="Times New Roman" w:cs="Times New Roman" w:eastAsia="Times New Roman" w:hAnsi="Times New Roman"/>
          <w:sz w:val="11"/>
          <w:szCs w:val="11"/>
          <w:b w:val="1"/>
          <w:bCs w:val="1"/>
          <w:color w:val="auto"/>
        </w:rPr>
      </w:pPr>
    </w:p>
    <w:p>
      <w:pPr>
        <w:ind w:left="320" w:hanging="220"/>
        <w:spacing w:after="0"/>
        <w:tabs>
          <w:tab w:leader="none" w:pos="320" w:val="left"/>
        </w:tabs>
        <w:numPr>
          <w:ilvl w:val="0"/>
          <w:numId w:val="1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Loans Held for Investment:</w:t>
      </w:r>
    </w:p>
    <w:p>
      <w:pPr>
        <w:spacing w:after="0" w:line="116" w:lineRule="exact"/>
        <w:rPr>
          <w:rFonts w:ascii="Times New Roman" w:cs="Times New Roman" w:eastAsia="Times New Roman" w:hAnsi="Times New Roman"/>
          <w:sz w:val="12"/>
          <w:szCs w:val="12"/>
          <w:i w:val="1"/>
          <w:iCs w:val="1"/>
          <w:color w:val="auto"/>
        </w:rPr>
      </w:pPr>
    </w:p>
    <w:p>
      <w:pPr>
        <w:ind w:left="640" w:right="20" w:hanging="216"/>
        <w:spacing w:after="0" w:line="279" w:lineRule="auto"/>
        <w:tabs>
          <w:tab w:leader="none" w:pos="637" w:val="left"/>
        </w:tabs>
        <w:numPr>
          <w:ilvl w:val="1"/>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Period-end loans held for investment increased by $35.0 billion to $312.3 billion as of December 31, 2022 from December 31, 2021 primarily driven by growth across all of our segments, including $23.0 billion in Credit Card.</w:t>
      </w:r>
    </w:p>
    <w:p>
      <w:pPr>
        <w:spacing w:after="0" w:line="75"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1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Average loans held for investment increased by $39.5 billion to $292.2 billion in 2022 compared to 2021 primarily driven by growth across all of our segments, including $17.7 billion in Credit Card.</w:t>
      </w:r>
    </w:p>
    <w:p>
      <w:pPr>
        <w:spacing w:after="0" w:line="112" w:lineRule="exact"/>
        <w:rPr>
          <w:rFonts w:ascii="Times New Roman" w:cs="Times New Roman" w:eastAsia="Times New Roman" w:hAnsi="Times New Roman"/>
          <w:sz w:val="12"/>
          <w:szCs w:val="12"/>
          <w:i w:val="1"/>
          <w:iCs w:val="1"/>
          <w:color w:val="auto"/>
        </w:rPr>
      </w:pPr>
    </w:p>
    <w:p>
      <w:pPr>
        <w:ind w:left="320" w:hanging="220"/>
        <w:spacing w:after="0"/>
        <w:tabs>
          <w:tab w:leader="none" w:pos="320" w:val="left"/>
        </w:tabs>
        <w:numPr>
          <w:ilvl w:val="0"/>
          <w:numId w:val="1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Net Charge-Off and Delinquency Metrics:</w:t>
      </w:r>
    </w:p>
    <w:p>
      <w:pPr>
        <w:spacing w:after="0" w:line="116" w:lineRule="exact"/>
        <w:rPr>
          <w:rFonts w:ascii="Times New Roman" w:cs="Times New Roman" w:eastAsia="Times New Roman" w:hAnsi="Times New Roman"/>
          <w:sz w:val="12"/>
          <w:szCs w:val="12"/>
          <w:i w:val="1"/>
          <w:iCs w:val="1"/>
          <w:color w:val="auto"/>
        </w:rPr>
      </w:pPr>
    </w:p>
    <w:p>
      <w:pPr>
        <w:ind w:left="740" w:hanging="208"/>
        <w:spacing w:after="0"/>
        <w:tabs>
          <w:tab w:leader="none" w:pos="740" w:val="left"/>
        </w:tabs>
        <w:numPr>
          <w:ilvl w:val="2"/>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net charge-off rate increased by 48 basis points (“bps”) to 1.36% in 2022 compared to 2021 primarily driven by continued credit normalization in our consumer businesses.</w:t>
      </w:r>
    </w:p>
    <w:p>
      <w:pPr>
        <w:spacing w:after="0" w:line="114" w:lineRule="exact"/>
        <w:rPr>
          <w:rFonts w:ascii="Times New Roman" w:cs="Times New Roman" w:eastAsia="Times New Roman" w:hAnsi="Times New Roman"/>
          <w:sz w:val="12"/>
          <w:szCs w:val="12"/>
          <w:color w:val="auto"/>
        </w:rPr>
      </w:pPr>
    </w:p>
    <w:p>
      <w:pPr>
        <w:ind w:left="740" w:hanging="208"/>
        <w:spacing w:after="0"/>
        <w:tabs>
          <w:tab w:leader="none" w:pos="740" w:val="left"/>
        </w:tabs>
        <w:numPr>
          <w:ilvl w:val="2"/>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30+ day delinquency rate increased by 80 bps to 3.21% as of December 31, 2022 from December 31, 2021 primarily driven by continued credit normalization.</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48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hanging="220"/>
        <w:spacing w:after="0"/>
        <w:tabs>
          <w:tab w:leader="none" w:pos="3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Allowance for Credit Losses: </w:t>
      </w:r>
      <w:r>
        <w:rPr>
          <w:rFonts w:ascii="Times New Roman" w:cs="Times New Roman" w:eastAsia="Times New Roman" w:hAnsi="Times New Roman"/>
          <w:sz w:val="12"/>
          <w:szCs w:val="12"/>
          <w:color w:val="auto"/>
        </w:rPr>
        <w:t>Our allowance for credit losses increased by $1.8 billion to $13.2 billion and our allowance coverage ratio increased by 12 bps to 4.24% as of December 31, 2022 compared to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16661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6661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9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section below provides a comparative discussion of our consolidated financial performance for 2022 and 2021. We provide a discussion of our business segment results in the following section, “Business Segment Financial Performance.” This section should be read together with our “Executive Summary,” where we discuss trends and other factors that we expect will affect our future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Interest Income</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Net interest income represents the difference between interest income, including certain fees, earned on our interest-earning assets and the interest expense incurred on our interest-bearing liabilities. Our interest-earning assets include loans, investment securities and other interest-earning assets, while our interest-bearing liabilities include interest-bearing deposits, securitized debt obligations, senior and subordinated notes, other borrowings and other interest-bearing liabilities. Generally, we include in interest income any past due fees, net of reversals, on loans that we deem collectible. Our net interest margin, based on our consolidated results, represents the difference between the yield on our interest-earning assets and the cost of our interest-bearing liabilities, including the notional impact of non-interest-bearing funding. We expect net interest income and our net interest margin to fluctuate based on changes in interest rates and changes in the amount and composition of our interest-earning assets and interest-bearing liabilities.</w:t>
      </w:r>
    </w:p>
    <w:p>
      <w:pPr>
        <w:spacing w:after="0" w:line="200" w:lineRule="exact"/>
        <w:rPr>
          <w:sz w:val="20"/>
          <w:szCs w:val="20"/>
          <w:color w:val="auto"/>
        </w:rPr>
      </w:pPr>
    </w:p>
    <w:p>
      <w:pPr>
        <w:spacing w:after="0" w:line="345"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49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50" w:name="page51"/>
    <w:bookmarkEnd w:id="50"/>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1 below presents the average outstanding balance, interest income earned, interest expense incurred and average yield for 2022, 2021 and 2020 for each major category of our interest-earning assets and interest-bearing liabilities.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Nonperforming loans are included in the average loan balances below.</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 Average Balances, Net Interest Income and Net Interest Margin</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Pr>
          <w:p>
            <w:pPr>
              <w:spacing w:after="0"/>
              <w:rPr>
                <w:sz w:val="7"/>
                <w:szCs w:val="7"/>
                <w:color w:val="auto"/>
              </w:rPr>
            </w:pPr>
          </w:p>
        </w:tc>
        <w:tc>
          <w:tcPr>
            <w:tcW w:w="720" w:type="dxa"/>
            <w:vAlign w:val="bottom"/>
            <w:gridSpan w:val="2"/>
          </w:tcPr>
          <w:p>
            <w:pPr>
              <w:ind w:left="80"/>
              <w:spacing w:after="0" w:line="84" w:lineRule="exact"/>
              <w:rPr>
                <w:sz w:val="20"/>
                <w:szCs w:val="20"/>
                <w:color w:val="auto"/>
              </w:rPr>
            </w:pPr>
            <w:r>
              <w:rPr>
                <w:rFonts w:ascii="Times New Roman" w:cs="Times New Roman" w:eastAsia="Times New Roman" w:hAnsi="Times New Roman"/>
                <w:sz w:val="8"/>
                <w:szCs w:val="8"/>
                <w:b w:val="1"/>
                <w:bCs w:val="1"/>
                <w:color w:val="auto"/>
              </w:rPr>
              <w:t>Average</w:t>
            </w:r>
          </w:p>
        </w:tc>
        <w:tc>
          <w:tcPr>
            <w:tcW w:w="80" w:type="dxa"/>
            <w:vAlign w:val="bottom"/>
          </w:tcPr>
          <w:p>
            <w:pPr>
              <w:spacing w:after="0"/>
              <w:rPr>
                <w:sz w:val="7"/>
                <w:szCs w:val="7"/>
                <w:color w:val="auto"/>
              </w:rPr>
            </w:pPr>
          </w:p>
        </w:tc>
        <w:tc>
          <w:tcPr>
            <w:tcW w:w="820" w:type="dxa"/>
            <w:vAlign w:val="bottom"/>
            <w:gridSpan w:val="2"/>
          </w:tcPr>
          <w:p>
            <w:pPr>
              <w:jc w:val="center"/>
              <w:ind w:right="160"/>
              <w:spacing w:after="0" w:line="84" w:lineRule="exact"/>
              <w:rPr>
                <w:sz w:val="20"/>
                <w:szCs w:val="20"/>
                <w:color w:val="auto"/>
              </w:rPr>
            </w:pPr>
            <w:r>
              <w:rPr>
                <w:rFonts w:ascii="Times New Roman" w:cs="Times New Roman" w:eastAsia="Times New Roman" w:hAnsi="Times New Roman"/>
                <w:sz w:val="8"/>
                <w:szCs w:val="8"/>
                <w:b w:val="1"/>
                <w:bCs w:val="1"/>
                <w:color w:val="auto"/>
              </w:rPr>
              <w:t>Interest Income/</w:t>
            </w:r>
          </w:p>
        </w:tc>
        <w:tc>
          <w:tcPr>
            <w:tcW w:w="880" w:type="dxa"/>
            <w:vAlign w:val="bottom"/>
          </w:tcPr>
          <w:p>
            <w:pPr>
              <w:jc w:val="right"/>
              <w:ind w:right="92"/>
              <w:spacing w:after="0" w:line="84" w:lineRule="exact"/>
              <w:rPr>
                <w:sz w:val="20"/>
                <w:szCs w:val="20"/>
                <w:color w:val="auto"/>
              </w:rPr>
            </w:pPr>
            <w:r>
              <w:rPr>
                <w:rFonts w:ascii="Times New Roman" w:cs="Times New Roman" w:eastAsia="Times New Roman" w:hAnsi="Times New Roman"/>
                <w:sz w:val="8"/>
                <w:szCs w:val="8"/>
                <w:b w:val="1"/>
                <w:bCs w:val="1"/>
                <w:color w:val="auto"/>
              </w:rPr>
              <w:t>Average Yield/</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ind w:right="192"/>
              <w:spacing w:after="0" w:line="84" w:lineRule="exact"/>
              <w:rPr>
                <w:sz w:val="20"/>
                <w:szCs w:val="20"/>
                <w:color w:val="auto"/>
              </w:rPr>
            </w:pPr>
            <w:r>
              <w:rPr>
                <w:rFonts w:ascii="Times New Roman" w:cs="Times New Roman" w:eastAsia="Times New Roman" w:hAnsi="Times New Roman"/>
                <w:sz w:val="8"/>
                <w:szCs w:val="8"/>
                <w:b w:val="1"/>
                <w:bCs w:val="1"/>
                <w:color w:val="auto"/>
              </w:rPr>
              <w:t>Average</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tcPr>
          <w:p>
            <w:pPr>
              <w:jc w:val="center"/>
              <w:ind w:right="300"/>
              <w:spacing w:after="0" w:line="84" w:lineRule="exact"/>
              <w:rPr>
                <w:sz w:val="20"/>
                <w:szCs w:val="20"/>
                <w:color w:val="auto"/>
              </w:rPr>
            </w:pPr>
            <w:r>
              <w:rPr>
                <w:rFonts w:ascii="Times New Roman" w:cs="Times New Roman" w:eastAsia="Times New Roman" w:hAnsi="Times New Roman"/>
                <w:sz w:val="8"/>
                <w:szCs w:val="8"/>
                <w:b w:val="1"/>
                <w:bCs w:val="1"/>
                <w:color w:val="auto"/>
              </w:rPr>
              <w:t>Interest Income/</w:t>
            </w:r>
          </w:p>
        </w:tc>
        <w:tc>
          <w:tcPr>
            <w:tcW w:w="800" w:type="dxa"/>
            <w:vAlign w:val="bottom"/>
          </w:tcPr>
          <w:p>
            <w:pPr>
              <w:jc w:val="right"/>
              <w:ind w:right="132"/>
              <w:spacing w:after="0" w:line="84" w:lineRule="exact"/>
              <w:rPr>
                <w:sz w:val="20"/>
                <w:szCs w:val="20"/>
                <w:color w:val="auto"/>
              </w:rPr>
            </w:pPr>
            <w:r>
              <w:rPr>
                <w:rFonts w:ascii="Times New Roman" w:cs="Times New Roman" w:eastAsia="Times New Roman" w:hAnsi="Times New Roman"/>
                <w:sz w:val="8"/>
                <w:szCs w:val="8"/>
                <w:b w:val="1"/>
                <w:bCs w:val="1"/>
                <w:color w:val="auto"/>
              </w:rPr>
              <w:t>Average Yield/</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tcPr>
          <w:p>
            <w:pPr>
              <w:ind w:left="80"/>
              <w:spacing w:after="0" w:line="84" w:lineRule="exact"/>
              <w:rPr>
                <w:sz w:val="20"/>
                <w:szCs w:val="20"/>
                <w:color w:val="auto"/>
              </w:rPr>
            </w:pPr>
            <w:r>
              <w:rPr>
                <w:rFonts w:ascii="Times New Roman" w:cs="Times New Roman" w:eastAsia="Times New Roman" w:hAnsi="Times New Roman"/>
                <w:sz w:val="8"/>
                <w:szCs w:val="8"/>
                <w:b w:val="1"/>
                <w:bCs w:val="1"/>
                <w:color w:val="auto"/>
              </w:rPr>
              <w:t>Average</w:t>
            </w:r>
          </w:p>
        </w:tc>
        <w:tc>
          <w:tcPr>
            <w:tcW w:w="60" w:type="dxa"/>
            <w:vAlign w:val="bottom"/>
          </w:tcPr>
          <w:p>
            <w:pPr>
              <w:spacing w:after="0"/>
              <w:rPr>
                <w:sz w:val="7"/>
                <w:szCs w:val="7"/>
                <w:color w:val="auto"/>
              </w:rPr>
            </w:pPr>
          </w:p>
        </w:tc>
        <w:tc>
          <w:tcPr>
            <w:tcW w:w="820" w:type="dxa"/>
            <w:vAlign w:val="bottom"/>
            <w:gridSpan w:val="2"/>
          </w:tcPr>
          <w:p>
            <w:pPr>
              <w:jc w:val="center"/>
              <w:ind w:right="140"/>
              <w:spacing w:after="0" w:line="84" w:lineRule="exact"/>
              <w:rPr>
                <w:sz w:val="20"/>
                <w:szCs w:val="20"/>
                <w:color w:val="auto"/>
              </w:rPr>
            </w:pPr>
            <w:r>
              <w:rPr>
                <w:rFonts w:ascii="Times New Roman" w:cs="Times New Roman" w:eastAsia="Times New Roman" w:hAnsi="Times New Roman"/>
                <w:sz w:val="8"/>
                <w:szCs w:val="8"/>
                <w:b w:val="1"/>
                <w:bCs w:val="1"/>
                <w:color w:val="auto"/>
              </w:rPr>
              <w:t>Interest Income/</w:t>
            </w:r>
          </w:p>
        </w:tc>
        <w:tc>
          <w:tcPr>
            <w:tcW w:w="880" w:type="dxa"/>
            <w:vAlign w:val="bottom"/>
          </w:tcPr>
          <w:p>
            <w:pPr>
              <w:jc w:val="right"/>
              <w:ind w:right="92"/>
              <w:spacing w:after="0" w:line="84" w:lineRule="exact"/>
              <w:rPr>
                <w:sz w:val="20"/>
                <w:szCs w:val="20"/>
                <w:color w:val="auto"/>
              </w:rPr>
            </w:pPr>
            <w:r>
              <w:rPr>
                <w:rFonts w:ascii="Times New Roman" w:cs="Times New Roman" w:eastAsia="Times New Roman" w:hAnsi="Times New Roman"/>
                <w:sz w:val="8"/>
                <w:szCs w:val="8"/>
                <w:b w:val="1"/>
                <w:bCs w:val="1"/>
                <w:color w:val="auto"/>
              </w:rPr>
              <w:t>Average Yield/</w:t>
            </w:r>
          </w:p>
        </w:tc>
        <w:tc>
          <w:tcPr>
            <w:tcW w:w="0" w:type="dxa"/>
            <w:vAlign w:val="bottom"/>
          </w:tcPr>
          <w:p>
            <w:pPr>
              <w:spacing w:after="0"/>
              <w:rPr>
                <w:sz w:val="1"/>
                <w:szCs w:val="1"/>
                <w:color w:val="auto"/>
              </w:rPr>
            </w:pPr>
          </w:p>
        </w:tc>
      </w:tr>
      <w:tr>
        <w:trPr>
          <w:trHeight w:val="135"/>
        </w:trPr>
        <w:tc>
          <w:tcPr>
            <w:tcW w:w="3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880" w:type="dxa"/>
            <w:vAlign w:val="bottom"/>
          </w:tcPr>
          <w:p>
            <w:pPr>
              <w:jc w:val="right"/>
              <w:ind w:right="272"/>
              <w:spacing w:after="0" w:line="135"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12"/>
                <w:szCs w:val="12"/>
                <w:b w:val="1"/>
                <w:bCs w:val="1"/>
                <w:color w:val="auto"/>
                <w:vertAlign w:val="superscript"/>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800" w:type="dxa"/>
            <w:vAlign w:val="bottom"/>
          </w:tcPr>
          <w:p>
            <w:pPr>
              <w:jc w:val="right"/>
              <w:ind w:right="292"/>
              <w:spacing w:after="0" w:line="135"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12"/>
                <w:szCs w:val="12"/>
                <w:b w:val="1"/>
                <w:bCs w:val="1"/>
                <w:color w:val="auto"/>
                <w:vertAlign w:val="superscript"/>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6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Expense</w:t>
            </w:r>
          </w:p>
        </w:tc>
        <w:tc>
          <w:tcPr>
            <w:tcW w:w="880" w:type="dxa"/>
            <w:vAlign w:val="bottom"/>
          </w:tcPr>
          <w:p>
            <w:pPr>
              <w:jc w:val="right"/>
              <w:ind w:right="252"/>
              <w:spacing w:after="0" w:line="135"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12"/>
                <w:szCs w:val="12"/>
                <w:b w:val="1"/>
                <w:bCs w:val="1"/>
                <w:color w:val="auto"/>
                <w:vertAlign w:val="superscript"/>
              </w:rPr>
              <w:t>(1)</w:t>
            </w:r>
          </w:p>
        </w:tc>
        <w:tc>
          <w:tcPr>
            <w:tcW w:w="0" w:type="dxa"/>
            <w:vAlign w:val="bottom"/>
          </w:tcPr>
          <w:p>
            <w:pPr>
              <w:spacing w:after="0"/>
              <w:rPr>
                <w:sz w:val="1"/>
                <w:szCs w:val="1"/>
                <w:color w:val="auto"/>
              </w:rPr>
            </w:pPr>
          </w:p>
        </w:tc>
      </w:tr>
      <w:tr>
        <w:trPr>
          <w:trHeight w:val="124"/>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Interest-earning assets: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Loans:</w:t>
            </w:r>
            <w:r>
              <w:rPr>
                <w:rFonts w:ascii="Times New Roman" w:cs="Times New Roman" w:eastAsia="Times New Roman" w:hAnsi="Times New Roman"/>
                <w:sz w:val="12"/>
                <w:szCs w:val="12"/>
                <w:color w:val="auto"/>
                <w:vertAlign w:val="superscript"/>
              </w:rPr>
              <w:t>(2)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Credit card</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121,055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19,626</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16.21 %</w:t>
            </w:r>
          </w:p>
        </w:tc>
        <w:tc>
          <w:tcPr>
            <w:tcW w:w="22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106,016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15,474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14.60 %</w:t>
            </w: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110,634</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15,575</w:t>
            </w: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14.08 %</w:t>
            </w:r>
          </w:p>
        </w:tc>
        <w:tc>
          <w:tcPr>
            <w:tcW w:w="0" w:type="dxa"/>
            <w:vAlign w:val="bottom"/>
          </w:tcPr>
          <w:p>
            <w:pPr>
              <w:spacing w:after="0"/>
              <w:rPr>
                <w:sz w:val="1"/>
                <w:szCs w:val="1"/>
                <w:color w:val="auto"/>
              </w:rPr>
            </w:pPr>
          </w:p>
        </w:tc>
      </w:tr>
      <w:tr>
        <w:trPr>
          <w:trHeight w:val="140"/>
        </w:trPr>
        <w:tc>
          <w:tcPr>
            <w:tcW w:w="3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Consumer banking</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80,511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5,782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7.18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5,804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66,299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5,551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8.37</w:t>
            </w:r>
          </w:p>
        </w:tc>
        <w:tc>
          <w:tcPr>
            <w:tcW w:w="0" w:type="dxa"/>
            <w:vAlign w:val="bottom"/>
          </w:tcPr>
          <w:p>
            <w:pPr>
              <w:spacing w:after="0"/>
              <w:rPr>
                <w:sz w:val="1"/>
                <w:szCs w:val="1"/>
                <w:color w:val="auto"/>
              </w:rPr>
            </w:pPr>
          </w:p>
        </w:tc>
      </w:tr>
      <w:tr>
        <w:trPr>
          <w:trHeight w:val="135"/>
        </w:trPr>
        <w:tc>
          <w:tcPr>
            <w:tcW w:w="30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0"/>
                <w:szCs w:val="10"/>
                <w:color w:val="auto"/>
              </w:rPr>
              <w:t>Commercial banking</w:t>
            </w:r>
            <w:r>
              <w:rPr>
                <w:rFonts w:ascii="Times New Roman" w:cs="Times New Roman" w:eastAsia="Times New Roman" w:hAnsi="Times New Roman"/>
                <w:sz w:val="12"/>
                <w:szCs w:val="12"/>
                <w:color w:val="auto"/>
                <w:vertAlign w:val="superscript"/>
              </w:rPr>
              <w:t>(3)</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92,273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3,702</w:t>
            </w:r>
          </w:p>
        </w:tc>
        <w:tc>
          <w:tcPr>
            <w:tcW w:w="100" w:type="dxa"/>
            <w:vAlign w:val="bottom"/>
          </w:tcPr>
          <w:p>
            <w:pPr>
              <w:spacing w:after="0"/>
              <w:rPr>
                <w:sz w:val="11"/>
                <w:szCs w:val="11"/>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4.01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77,968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2,438</w:t>
            </w:r>
          </w:p>
        </w:tc>
        <w:tc>
          <w:tcPr>
            <w:tcW w:w="8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3.13</w:t>
            </w:r>
          </w:p>
        </w:tc>
        <w:tc>
          <w:tcPr>
            <w:tcW w:w="0" w:type="dxa"/>
            <w:vAlign w:val="bottom"/>
          </w:tcPr>
          <w:p>
            <w:pPr>
              <w:spacing w:after="0"/>
              <w:rPr>
                <w:sz w:val="1"/>
                <w:szCs w:val="1"/>
                <w:color w:val="auto"/>
              </w:rPr>
            </w:pPr>
          </w:p>
        </w:tc>
      </w:tr>
      <w:tr>
        <w:trPr>
          <w:trHeight w:val="135"/>
        </w:trPr>
        <w:tc>
          <w:tcPr>
            <w:tcW w:w="308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(4)</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9"/>
        </w:trPr>
        <w:tc>
          <w:tcPr>
            <w:tcW w:w="30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Total loans, including loans held for sale</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293,839</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28,910</w:t>
            </w:r>
          </w:p>
        </w:tc>
        <w:tc>
          <w:tcPr>
            <w:tcW w:w="100" w:type="dxa"/>
            <w:vAlign w:val="bottom"/>
          </w:tcPr>
          <w:p>
            <w:pPr>
              <w:spacing w:after="0"/>
              <w:rPr>
                <w:sz w:val="10"/>
                <w:szCs w:val="10"/>
                <w:color w:val="auto"/>
              </w:rPr>
            </w:pPr>
          </w:p>
        </w:tc>
        <w:tc>
          <w:tcPr>
            <w:tcW w:w="880" w:type="dxa"/>
            <w:vAlign w:val="bottom"/>
          </w:tcPr>
          <w:p>
            <w:pPr>
              <w:jc w:val="right"/>
              <w:ind w:right="92"/>
              <w:spacing w:after="0" w:line="106" w:lineRule="exact"/>
              <w:rPr>
                <w:sz w:val="20"/>
                <w:szCs w:val="20"/>
                <w:color w:val="auto"/>
              </w:rPr>
            </w:pPr>
            <w:r>
              <w:rPr>
                <w:rFonts w:ascii="Times New Roman" w:cs="Times New Roman" w:eastAsia="Times New Roman" w:hAnsi="Times New Roman"/>
                <w:sz w:val="10"/>
                <w:szCs w:val="10"/>
                <w:b w:val="1"/>
                <w:bCs w:val="1"/>
                <w:color w:val="auto"/>
              </w:rPr>
              <w:t>9.84</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257,328</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24,263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2"/>
              <w:spacing w:after="0" w:line="104" w:lineRule="exact"/>
              <w:rPr>
                <w:sz w:val="20"/>
                <w:szCs w:val="20"/>
                <w:color w:val="auto"/>
              </w:rPr>
            </w:pPr>
            <w:r>
              <w:rPr>
                <w:rFonts w:ascii="Times New Roman" w:cs="Times New Roman" w:eastAsia="Times New Roman" w:hAnsi="Times New Roman"/>
                <w:sz w:val="10"/>
                <w:szCs w:val="10"/>
                <w:color w:val="auto"/>
              </w:rPr>
              <w:t>9.43</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254,901</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24,074</w:t>
            </w:r>
          </w:p>
        </w:tc>
        <w:tc>
          <w:tcPr>
            <w:tcW w:w="80" w:type="dxa"/>
            <w:vAlign w:val="bottom"/>
          </w:tcPr>
          <w:p>
            <w:pPr>
              <w:spacing w:after="0"/>
              <w:rPr>
                <w:sz w:val="10"/>
                <w:szCs w:val="10"/>
                <w:color w:val="auto"/>
              </w:rPr>
            </w:pPr>
          </w:p>
        </w:tc>
        <w:tc>
          <w:tcPr>
            <w:tcW w:w="880" w:type="dxa"/>
            <w:vAlign w:val="bottom"/>
          </w:tcPr>
          <w:p>
            <w:pPr>
              <w:jc w:val="right"/>
              <w:ind w:right="72"/>
              <w:spacing w:after="0" w:line="104" w:lineRule="exact"/>
              <w:rPr>
                <w:sz w:val="20"/>
                <w:szCs w:val="20"/>
                <w:color w:val="auto"/>
              </w:rPr>
            </w:pPr>
            <w:r>
              <w:rPr>
                <w:rFonts w:ascii="Times New Roman" w:cs="Times New Roman" w:eastAsia="Times New Roman" w:hAnsi="Times New Roman"/>
                <w:sz w:val="10"/>
                <w:szCs w:val="10"/>
                <w:color w:val="auto"/>
              </w:rPr>
              <w:t>9.44</w:t>
            </w:r>
          </w:p>
        </w:tc>
        <w:tc>
          <w:tcPr>
            <w:tcW w:w="0" w:type="dxa"/>
            <w:vAlign w:val="bottom"/>
          </w:tcPr>
          <w:p>
            <w:pPr>
              <w:spacing w:after="0"/>
              <w:rPr>
                <w:sz w:val="1"/>
                <w:szCs w:val="1"/>
                <w:color w:val="auto"/>
              </w:rPr>
            </w:pPr>
          </w:p>
        </w:tc>
      </w:tr>
      <w:tr>
        <w:trPr>
          <w:trHeight w:val="14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 securities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90,608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1,884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2.08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98,394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87,222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1,877</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30"/>
        </w:trPr>
        <w:tc>
          <w:tcPr>
            <w:tcW w:w="3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color w:val="auto"/>
              </w:rPr>
              <w:t>Cash equivalents and other interest-earning assets</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22,199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443</w:t>
            </w: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2.00</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33,614</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0"/>
                <w:szCs w:val="10"/>
                <w:color w:val="auto"/>
              </w:rPr>
              <w:t>0.18</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36,239</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0"/>
                <w:szCs w:val="10"/>
                <w:color w:val="auto"/>
              </w:rPr>
              <w:t>0.23</w:t>
            </w:r>
          </w:p>
        </w:tc>
        <w:tc>
          <w:tcPr>
            <w:tcW w:w="0" w:type="dxa"/>
            <w:vAlign w:val="bottom"/>
          </w:tcPr>
          <w:p>
            <w:pPr>
              <w:spacing w:after="0"/>
              <w:rPr>
                <w:sz w:val="1"/>
                <w:szCs w:val="1"/>
                <w:color w:val="auto"/>
              </w:rPr>
            </w:pPr>
          </w:p>
        </w:tc>
      </w:tr>
      <w:tr>
        <w:trPr>
          <w:trHeight w:val="129"/>
        </w:trPr>
        <w:tc>
          <w:tcPr>
            <w:tcW w:w="308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Total interest-earning assets</w:t>
            </w: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406,646</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31,237</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92"/>
              <w:spacing w:after="0" w:line="111" w:lineRule="exact"/>
              <w:rPr>
                <w:sz w:val="20"/>
                <w:szCs w:val="20"/>
                <w:color w:val="auto"/>
              </w:rPr>
            </w:pPr>
            <w:r>
              <w:rPr>
                <w:rFonts w:ascii="Times New Roman" w:cs="Times New Roman" w:eastAsia="Times New Roman" w:hAnsi="Times New Roman"/>
                <w:sz w:val="10"/>
                <w:szCs w:val="10"/>
                <w:b w:val="1"/>
                <w:bCs w:val="1"/>
                <w:color w:val="auto"/>
              </w:rPr>
              <w:t>7.68</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389,336</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25,769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6.62</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378,362</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26,033</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6.88</w:t>
            </w:r>
          </w:p>
        </w:tc>
        <w:tc>
          <w:tcPr>
            <w:tcW w:w="0" w:type="dxa"/>
            <w:vAlign w:val="bottom"/>
          </w:tcPr>
          <w:p>
            <w:pPr>
              <w:spacing w:after="0"/>
              <w:rPr>
                <w:sz w:val="1"/>
                <w:szCs w:val="1"/>
                <w:color w:val="auto"/>
              </w:rPr>
            </w:pPr>
          </w:p>
        </w:tc>
      </w:tr>
      <w:tr>
        <w:trPr>
          <w:trHeight w:val="119"/>
        </w:trPr>
        <w:tc>
          <w:tcPr>
            <w:tcW w:w="30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Cash and due from banks</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5,054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5,281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4,839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Allowance for credit losses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(11,620)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(13,354)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(14,382)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Premises and equipment, net</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4,265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4,334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assets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36,193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39,001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38,034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gridSpan w:val="2"/>
          </w:tcPr>
          <w:p>
            <w:pPr>
              <w:spacing w:after="0" w:line="107" w:lineRule="exact"/>
              <w:rPr>
                <w:sz w:val="20"/>
                <w:szCs w:val="20"/>
                <w:color w:val="auto"/>
              </w:rPr>
            </w:pPr>
            <w:r>
              <w:rPr>
                <w:rFonts w:ascii="Times New Roman" w:cs="Times New Roman" w:eastAsia="Times New Roman" w:hAnsi="Times New Roman"/>
                <w:sz w:val="10"/>
                <w:szCs w:val="10"/>
                <w:color w:val="auto"/>
              </w:rPr>
              <w:t>Total assets</w:t>
            </w: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440,538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424,521</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411,187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08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Liabilities and stockholders’ equity:</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Interest-bearing liabilities: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Interest-bearing deposits</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277,208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2,535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0.91 %</w:t>
            </w: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271,500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0.35 %</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263,279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2,165</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0.82 %</w:t>
            </w:r>
          </w:p>
        </w:tc>
        <w:tc>
          <w:tcPr>
            <w:tcW w:w="0" w:type="dxa"/>
            <w:vAlign w:val="bottom"/>
          </w:tcPr>
          <w:p>
            <w:pPr>
              <w:spacing w:after="0"/>
              <w:rPr>
                <w:sz w:val="1"/>
                <w:szCs w:val="1"/>
                <w:color w:val="auto"/>
              </w:rPr>
            </w:pPr>
          </w:p>
        </w:tc>
      </w:tr>
      <w:tr>
        <w:trPr>
          <w:trHeight w:val="130"/>
        </w:trPr>
        <w:tc>
          <w:tcPr>
            <w:tcW w:w="30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Securitized debt obligations</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15,603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384</w:t>
            </w:r>
          </w:p>
        </w:tc>
        <w:tc>
          <w:tcPr>
            <w:tcW w:w="100" w:type="dxa"/>
            <w:vAlign w:val="bottom"/>
          </w:tcPr>
          <w:p>
            <w:pPr>
              <w:spacing w:after="0"/>
              <w:rPr>
                <w:sz w:val="11"/>
                <w:szCs w:val="11"/>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2.46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0.96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w:t>
            </w:r>
          </w:p>
        </w:tc>
        <w:tc>
          <w:tcPr>
            <w:tcW w:w="8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40"/>
        </w:trPr>
        <w:tc>
          <w:tcPr>
            <w:tcW w:w="3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Senior and subordinated notes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29,286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1,074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3.67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29,621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679</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2.29</w:t>
            </w:r>
          </w:p>
        </w:tc>
        <w:tc>
          <w:tcPr>
            <w:tcW w:w="0" w:type="dxa"/>
            <w:vAlign w:val="bottom"/>
          </w:tcPr>
          <w:p>
            <w:pPr>
              <w:spacing w:after="0"/>
              <w:rPr>
                <w:sz w:val="1"/>
                <w:szCs w:val="1"/>
                <w:color w:val="auto"/>
              </w:rPr>
            </w:pPr>
          </w:p>
        </w:tc>
      </w:tr>
      <w:tr>
        <w:trPr>
          <w:trHeight w:val="130"/>
        </w:trPr>
        <w:tc>
          <w:tcPr>
            <w:tcW w:w="3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0"/>
                <w:szCs w:val="10"/>
                <w:color w:val="auto"/>
              </w:rPr>
              <w:t>Other borrowings and liabilities</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7,800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130</w:t>
            </w: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1.67</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0"/>
                <w:szCs w:val="10"/>
                <w:color w:val="auto"/>
              </w:rPr>
              <w:t>1.57</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2,882</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0"/>
                <w:szCs w:val="10"/>
                <w:color w:val="auto"/>
              </w:rPr>
              <w:t>1.55</w:t>
            </w:r>
          </w:p>
        </w:tc>
        <w:tc>
          <w:tcPr>
            <w:tcW w:w="0" w:type="dxa"/>
            <w:vAlign w:val="bottom"/>
          </w:tcPr>
          <w:p>
            <w:pPr>
              <w:spacing w:after="0"/>
              <w:rPr>
                <w:sz w:val="1"/>
                <w:szCs w:val="1"/>
                <w:color w:val="auto"/>
              </w:rPr>
            </w:pPr>
          </w:p>
        </w:tc>
      </w:tr>
      <w:tr>
        <w:trPr>
          <w:trHeight w:val="129"/>
        </w:trPr>
        <w:tc>
          <w:tcPr>
            <w:tcW w:w="308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Total interest-bearing liabilities</w:t>
            </w: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329,897</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4,123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92"/>
              <w:spacing w:after="0" w:line="111" w:lineRule="exact"/>
              <w:rPr>
                <w:sz w:val="20"/>
                <w:szCs w:val="20"/>
                <w:color w:val="auto"/>
              </w:rPr>
            </w:pPr>
            <w:r>
              <w:rPr>
                <w:rFonts w:ascii="Times New Roman" w:cs="Times New Roman" w:eastAsia="Times New Roman" w:hAnsi="Times New Roman"/>
                <w:sz w:val="10"/>
                <w:szCs w:val="10"/>
                <w:b w:val="1"/>
                <w:bCs w:val="1"/>
                <w:color w:val="auto"/>
              </w:rPr>
              <w:t>1.25</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311,627</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0.51</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311,315</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3,120</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2"/>
              <w:spacing w:after="0" w:line="108" w:lineRule="exact"/>
              <w:rPr>
                <w:sz w:val="20"/>
                <w:szCs w:val="20"/>
                <w:color w:val="auto"/>
              </w:rPr>
            </w:pPr>
            <w:r>
              <w:rPr>
                <w:rFonts w:ascii="Times New Roman" w:cs="Times New Roman" w:eastAsia="Times New Roman" w:hAnsi="Times New Roman"/>
                <w:sz w:val="10"/>
                <w:szCs w:val="10"/>
                <w:color w:val="auto"/>
              </w:rPr>
              <w:t>1.00</w:t>
            </w:r>
          </w:p>
        </w:tc>
        <w:tc>
          <w:tcPr>
            <w:tcW w:w="0" w:type="dxa"/>
            <w:vAlign w:val="bottom"/>
          </w:tcPr>
          <w:p>
            <w:pPr>
              <w:spacing w:after="0"/>
              <w:rPr>
                <w:sz w:val="1"/>
                <w:szCs w:val="1"/>
                <w:color w:val="auto"/>
              </w:rPr>
            </w:pPr>
          </w:p>
        </w:tc>
      </w:tr>
      <w:tr>
        <w:trPr>
          <w:trHeight w:val="119"/>
        </w:trPr>
        <w:tc>
          <w:tcPr>
            <w:tcW w:w="30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Non-interest-bearing deposits</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36,343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34,897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27,556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liabilities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19,173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80" w:type="dxa"/>
            <w:vAlign w:val="bottom"/>
            <w:gridSpan w:val="2"/>
          </w:tcPr>
          <w:p>
            <w:pPr>
              <w:spacing w:after="0" w:line="104" w:lineRule="exact"/>
              <w:rPr>
                <w:sz w:val="20"/>
                <w:szCs w:val="20"/>
                <w:color w:val="auto"/>
              </w:rPr>
            </w:pPr>
            <w:r>
              <w:rPr>
                <w:rFonts w:ascii="Times New Roman" w:cs="Times New Roman" w:eastAsia="Times New Roman" w:hAnsi="Times New Roman"/>
                <w:sz w:val="10"/>
                <w:szCs w:val="10"/>
                <w:color w:val="auto"/>
              </w:rPr>
              <w:t>Total liabilities</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385,413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361,965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352,986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Stockholders’ equity</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55,125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62,556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58,201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CCEEFF"/>
            </w:tcBorders>
            <w:gridSpan w:val="2"/>
          </w:tcPr>
          <w:p>
            <w:pPr>
              <w:spacing w:after="0" w:line="107"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440,538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424,521</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411,187</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80" w:type="dxa"/>
            <w:vAlign w:val="bottom"/>
            <w:tcBorders>
              <w:bottom w:val="single" w:sz="8" w:color="CCEEFF"/>
            </w:tcBorders>
            <w:gridSpan w:val="2"/>
            <w:shd w:val="clear" w:color="auto" w:fill="CCEEFF"/>
          </w:tcPr>
          <w:p>
            <w:pPr>
              <w:spacing w:after="0" w:line="87" w:lineRule="exact"/>
              <w:rPr>
                <w:sz w:val="20"/>
                <w:szCs w:val="20"/>
                <w:color w:val="auto"/>
              </w:rPr>
            </w:pPr>
            <w:r>
              <w:rPr>
                <w:rFonts w:ascii="Times New Roman" w:cs="Times New Roman" w:eastAsia="Times New Roman" w:hAnsi="Times New Roman"/>
                <w:sz w:val="10"/>
                <w:szCs w:val="10"/>
                <w:color w:val="auto"/>
              </w:rPr>
              <w:t>Net interest income/spread</w:t>
            </w:r>
          </w:p>
        </w:tc>
        <w:tc>
          <w:tcPr>
            <w:tcW w:w="1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27,114</w:t>
            </w: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ind w:right="92"/>
              <w:spacing w:after="0" w:line="87" w:lineRule="exact"/>
              <w:rPr>
                <w:sz w:val="20"/>
                <w:szCs w:val="20"/>
                <w:color w:val="auto"/>
              </w:rPr>
            </w:pPr>
            <w:r>
              <w:rPr>
                <w:rFonts w:ascii="Times New Roman" w:cs="Times New Roman" w:eastAsia="Times New Roman" w:hAnsi="Times New Roman"/>
                <w:sz w:val="10"/>
                <w:szCs w:val="10"/>
                <w:b w:val="1"/>
                <w:bCs w:val="1"/>
                <w:color w:val="auto"/>
              </w:rPr>
              <w:t>6.43</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24,171</w:t>
            </w:r>
          </w:p>
        </w:tc>
        <w:tc>
          <w:tcPr>
            <w:tcW w:w="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jc w:val="right"/>
              <w:ind w:right="72"/>
              <w:spacing w:after="0" w:line="87" w:lineRule="exact"/>
              <w:rPr>
                <w:sz w:val="20"/>
                <w:szCs w:val="20"/>
                <w:color w:val="auto"/>
              </w:rPr>
            </w:pPr>
            <w:r>
              <w:rPr>
                <w:rFonts w:ascii="Times New Roman" w:cs="Times New Roman" w:eastAsia="Times New Roman" w:hAnsi="Times New Roman"/>
                <w:sz w:val="10"/>
                <w:szCs w:val="10"/>
                <w:color w:val="auto"/>
              </w:rPr>
              <w:t>6.11</w:t>
            </w: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line="100" w:lineRule="exact"/>
              <w:rPr>
                <w:sz w:val="20"/>
                <w:szCs w:val="20"/>
                <w:color w:val="auto"/>
              </w:rPr>
            </w:pPr>
            <w:r>
              <w:rPr>
                <w:rFonts w:ascii="Times New Roman" w:cs="Times New Roman" w:eastAsia="Times New Roman" w:hAnsi="Times New Roman"/>
                <w:sz w:val="10"/>
                <w:szCs w:val="10"/>
                <w:color w:val="auto"/>
              </w:rPr>
              <w:t>22,913</w:t>
            </w:r>
          </w:p>
        </w:tc>
        <w:tc>
          <w:tcPr>
            <w:tcW w:w="8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jc w:val="right"/>
              <w:ind w:right="72"/>
              <w:spacing w:after="0" w:line="87" w:lineRule="exact"/>
              <w:rPr>
                <w:sz w:val="20"/>
                <w:szCs w:val="20"/>
                <w:color w:val="auto"/>
              </w:rPr>
            </w:pPr>
            <w:r>
              <w:rPr>
                <w:rFonts w:ascii="Times New Roman" w:cs="Times New Roman" w:eastAsia="Times New Roman" w:hAnsi="Times New Roman"/>
                <w:sz w:val="10"/>
                <w:szCs w:val="10"/>
                <w:color w:val="auto"/>
              </w:rPr>
              <w:t>5.88</w:t>
            </w:r>
          </w:p>
        </w:tc>
        <w:tc>
          <w:tcPr>
            <w:tcW w:w="0" w:type="dxa"/>
            <w:vAlign w:val="bottom"/>
          </w:tcPr>
          <w:p>
            <w:pPr>
              <w:spacing w:after="0"/>
              <w:rPr>
                <w:sz w:val="1"/>
                <w:szCs w:val="1"/>
                <w:color w:val="auto"/>
              </w:rPr>
            </w:pPr>
          </w:p>
        </w:tc>
      </w:tr>
      <w:tr>
        <w:trPr>
          <w:trHeight w:val="110"/>
        </w:trPr>
        <w:tc>
          <w:tcPr>
            <w:tcW w:w="3080" w:type="dxa"/>
            <w:vAlign w:val="bottom"/>
            <w:tcBorders>
              <w:bottom w:val="single" w:sz="8" w:color="CCEEFF"/>
            </w:tcBorders>
            <w:gridSpan w:val="2"/>
          </w:tcPr>
          <w:p>
            <w:pPr>
              <w:spacing w:after="0" w:line="104" w:lineRule="exact"/>
              <w:rPr>
                <w:sz w:val="20"/>
                <w:szCs w:val="20"/>
                <w:color w:val="auto"/>
              </w:rPr>
            </w:pPr>
            <w:r>
              <w:rPr>
                <w:rFonts w:ascii="Times New Roman" w:cs="Times New Roman" w:eastAsia="Times New Roman" w:hAnsi="Times New Roman"/>
                <w:sz w:val="10"/>
                <w:szCs w:val="10"/>
                <w:color w:val="auto"/>
              </w:rPr>
              <w:t>Impact of non-interest-bearing funding</w:t>
            </w:r>
          </w:p>
        </w:tc>
        <w:tc>
          <w:tcPr>
            <w:tcW w:w="16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ind w:right="92"/>
              <w:spacing w:after="0" w:line="106" w:lineRule="exact"/>
              <w:rPr>
                <w:sz w:val="20"/>
                <w:szCs w:val="20"/>
                <w:color w:val="auto"/>
              </w:rPr>
            </w:pPr>
            <w:r>
              <w:rPr>
                <w:rFonts w:ascii="Times New Roman" w:cs="Times New Roman" w:eastAsia="Times New Roman" w:hAnsi="Times New Roman"/>
                <w:sz w:val="10"/>
                <w:szCs w:val="10"/>
                <w:b w:val="1"/>
                <w:bCs w:val="1"/>
                <w:color w:val="auto"/>
              </w:rPr>
              <w:t>0.24</w:t>
            </w: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6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72"/>
              <w:spacing w:after="0" w:line="104" w:lineRule="exact"/>
              <w:rPr>
                <w:sz w:val="20"/>
                <w:szCs w:val="20"/>
                <w:color w:val="auto"/>
              </w:rPr>
            </w:pPr>
            <w:r>
              <w:rPr>
                <w:rFonts w:ascii="Times New Roman" w:cs="Times New Roman" w:eastAsia="Times New Roman" w:hAnsi="Times New Roman"/>
                <w:sz w:val="10"/>
                <w:szCs w:val="10"/>
                <w:color w:val="auto"/>
              </w:rPr>
              <w:t>0.10</w:t>
            </w: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6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ind w:right="72"/>
              <w:spacing w:after="0" w:line="104" w:lineRule="exact"/>
              <w:rPr>
                <w:sz w:val="20"/>
                <w:szCs w:val="20"/>
                <w:color w:val="auto"/>
              </w:rPr>
            </w:pPr>
            <w:r>
              <w:rPr>
                <w:rFonts w:ascii="Times New Roman" w:cs="Times New Roman" w:eastAsia="Times New Roman" w:hAnsi="Times New Roman"/>
                <w:sz w:val="10"/>
                <w:szCs w:val="10"/>
                <w:color w:val="auto"/>
              </w:rPr>
              <w:t>0.18</w:t>
            </w:r>
          </w:p>
        </w:tc>
        <w:tc>
          <w:tcPr>
            <w:tcW w:w="0" w:type="dxa"/>
            <w:vAlign w:val="bottom"/>
          </w:tcPr>
          <w:p>
            <w:pPr>
              <w:spacing w:after="0"/>
              <w:rPr>
                <w:sz w:val="1"/>
                <w:szCs w:val="1"/>
                <w:color w:val="auto"/>
              </w:rPr>
            </w:pPr>
          </w:p>
        </w:tc>
      </w:tr>
      <w:tr>
        <w:trPr>
          <w:trHeight w:val="145"/>
        </w:trPr>
        <w:tc>
          <w:tcPr>
            <w:tcW w:w="3080" w:type="dxa"/>
            <w:vAlign w:val="bottom"/>
            <w:tcBorders>
              <w:bottom w:val="single" w:sz="8" w:color="CCEEFF"/>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Net interest margin</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6.67 %</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6.21 %</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6.06 %</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28" w:lineRule="auto"/>
        <w:tabs>
          <w:tab w:leader="none" w:pos="20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Average yield is calculated based on interest income for the period divided by average loans during the period. Interest income does not include any allocations, such as funds transfer pricing. Average yield is calculated using whole dollar values for average balances and interest income/expense.</w:t>
      </w:r>
    </w:p>
    <w:p>
      <w:pPr>
        <w:spacing w:after="0" w:line="20"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2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Past due fees, net of reversals, included in interest income totaled approximately $1.9 billion in 2022, $1.4 billion in 2021 and $1.3 billion in 2020.</w:t>
      </w:r>
    </w:p>
    <w:p>
      <w:pPr>
        <w:spacing w:after="0" w:line="38" w:lineRule="exact"/>
        <w:rPr>
          <w:rFonts w:ascii="Times New Roman" w:cs="Times New Roman" w:eastAsia="Times New Roman" w:hAnsi="Times New Roman"/>
          <w:sz w:val="6"/>
          <w:szCs w:val="6"/>
          <w:color w:val="auto"/>
        </w:rPr>
      </w:pPr>
    </w:p>
    <w:p>
      <w:pPr>
        <w:jc w:val="both"/>
        <w:ind w:left="208" w:hanging="208"/>
        <w:spacing w:after="0" w:line="233" w:lineRule="auto"/>
        <w:tabs>
          <w:tab w:leader="none" w:pos="20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 Taxable-equivalent adjustments included in the interest income and yield computations for our commercial loans totaled approximately $74 million in both 2022 and 2021, and $81 million in 2020, with corresponding reductions to the Other category.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50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51" w:name="page52"/>
    <w:bookmarkEnd w:id="51"/>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right="2560" w:hanging="8"/>
        <w:spacing w:after="0" w:line="289" w:lineRule="auto"/>
        <w:tabs>
          <w:tab w:leader="none" w:pos="216"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Interest income/expense in the Other category represents the impact of hedge accounting on our loan portfolios and the offsetting reduction of the taxable-equivalent adjustments of our commercial loans as described above. ** Not meaningful.</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Net interest income increased by $2.9 billion to $27.1 billion in 2022 compared to 2021 primarily driven by higher average loan balances in our credit card loan portfolio.</w:t>
      </w:r>
    </w:p>
    <w:p>
      <w:pPr>
        <w:spacing w:after="0" w:line="11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Net interest margin increased by 46 basis points to 6.67% in 2022 compared to 2021 primarily driven by growth in our credit card loan portfolio relative to the movement in other interest-earning assets, partially offset by higher rates paid on interest-bearing liabilities.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2 displays the change in our net interest income between periods and the extent to which the variance is attributable to:</w:t>
      </w:r>
    </w:p>
    <w:p>
      <w:pPr>
        <w:spacing w:after="0" w:line="114" w:lineRule="exact"/>
        <w:rPr>
          <w:sz w:val="20"/>
          <w:szCs w:val="20"/>
          <w:color w:val="auto"/>
        </w:rPr>
      </w:pPr>
    </w:p>
    <w:p>
      <w:pPr>
        <w:ind w:left="328" w:hanging="220"/>
        <w:spacing w:after="0"/>
        <w:tabs>
          <w:tab w:leader="none" w:pos="32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volume of our interest-earning assets and interest-bearing liabilities; or</w:t>
      </w:r>
    </w:p>
    <w:p>
      <w:pPr>
        <w:spacing w:after="0" w:line="114"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interest rates related to these assets and liabilities.</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2: Rate/Volume Analysis of Net Interest Income</w:t>
      </w:r>
      <w:r>
        <w:rPr>
          <w:rFonts w:ascii="Times New Roman" w:cs="Times New Roman" w:eastAsia="Times New Roman" w:hAnsi="Times New Roman"/>
          <w:sz w:val="14"/>
          <w:szCs w:val="14"/>
          <w:b w:val="1"/>
          <w:bCs w:val="1"/>
          <w:color w:val="auto"/>
          <w:vertAlign w:val="superscript"/>
        </w:rPr>
        <w:t>(1)</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2022 vs. 2021</w:t>
            </w: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2021 vs. 2020</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130"/>
        </w:trPr>
        <w:tc>
          <w:tcPr>
            <w:tcW w:w="52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20" w:type="dxa"/>
            <w:vAlign w:val="bottom"/>
          </w:tcPr>
          <w:p>
            <w:pPr>
              <w:spacing w:after="0"/>
              <w:rPr>
                <w:sz w:val="11"/>
                <w:szCs w:val="1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Total Variance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Volume</w:t>
            </w:r>
          </w:p>
        </w:tc>
        <w:tc>
          <w:tcPr>
            <w:tcW w:w="220" w:type="dxa"/>
            <w:vAlign w:val="bottom"/>
          </w:tcPr>
          <w:p>
            <w:pPr>
              <w:spacing w:after="0"/>
              <w:rPr>
                <w:sz w:val="11"/>
                <w:szCs w:val="11"/>
                <w:color w:val="auto"/>
              </w:rPr>
            </w:pP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Rate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Total Variance</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Volume</w:t>
            </w:r>
          </w:p>
        </w:tc>
        <w:tc>
          <w:tcPr>
            <w:tcW w:w="220" w:type="dxa"/>
            <w:vAlign w:val="bottom"/>
          </w:tcPr>
          <w:p>
            <w:pPr>
              <w:spacing w:after="0"/>
              <w:rPr>
                <w:sz w:val="11"/>
                <w:szCs w:val="11"/>
                <w:color w:val="auto"/>
              </w:rPr>
            </w:pP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Rate</w:t>
            </w:r>
          </w:p>
        </w:tc>
      </w:tr>
      <w:tr>
        <w:trPr>
          <w:trHeight w:val="147"/>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Interest income:</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Loans:</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Credit card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4,152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2,324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549</w:t>
            </w:r>
          </w:p>
        </w:tc>
      </w:tr>
      <w:tr>
        <w:trPr>
          <w:trHeight w:val="15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Consumer banking</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r>
      <w:tr>
        <w:trPr>
          <w:trHeight w:val="153"/>
        </w:trPr>
        <w:tc>
          <w:tcPr>
            <w:tcW w:w="5280" w:type="dxa"/>
            <w:vAlign w:val="bottom"/>
            <w:gridSpan w:val="2"/>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Commercial banking</w:t>
            </w:r>
            <w:r>
              <w:rPr>
                <w:rFonts w:ascii="Times New Roman" w:cs="Times New Roman" w:eastAsia="Times New Roman" w:hAnsi="Times New Roman"/>
                <w:sz w:val="15"/>
                <w:szCs w:val="15"/>
                <w:color w:val="auto"/>
                <w:vertAlign w:val="superscript"/>
              </w:rPr>
              <w:t>(2)</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1,583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w:t>
            </w:r>
          </w:p>
        </w:tc>
      </w:tr>
      <w:tr>
        <w:trPr>
          <w:trHeight w:val="153"/>
        </w:trPr>
        <w:tc>
          <w:tcPr>
            <w:tcW w:w="5280" w:type="dxa"/>
            <w:vAlign w:val="bottom"/>
            <w:gridSpan w:val="2"/>
          </w:tcPr>
          <w:p>
            <w:pPr>
              <w:ind w:left="140"/>
              <w:spacing w:after="0" w:line="153"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(3)</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356</w:t>
            </w:r>
          </w:p>
        </w:tc>
      </w:tr>
      <w:tr>
        <w:trPr>
          <w:trHeight w:val="142"/>
        </w:trPr>
        <w:tc>
          <w:tcPr>
            <w:tcW w:w="528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loans, including loans held for sale</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4,647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3,255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1,392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260</w:t>
            </w:r>
          </w:p>
        </w:tc>
      </w:tr>
      <w:tr>
        <w:trPr>
          <w:trHeight w:val="142"/>
        </w:trPr>
        <w:tc>
          <w:tcPr>
            <w:tcW w:w="528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Investment securities</w:t>
            </w:r>
          </w:p>
        </w:tc>
        <w:tc>
          <w:tcPr>
            <w:tcW w:w="12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w:t>
            </w:r>
          </w:p>
        </w:tc>
      </w:tr>
      <w:tr>
        <w:trPr>
          <w:trHeight w:val="153"/>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equivalents and other interest-earning assets</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383</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403</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2"/>
        </w:trPr>
        <w:tc>
          <w:tcPr>
            <w:tcW w:w="528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 interest income</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5,468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3,120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2,348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w:t>
            </w:r>
          </w:p>
        </w:tc>
      </w:tr>
      <w:tr>
        <w:trPr>
          <w:trHeight w:val="133"/>
        </w:trPr>
        <w:tc>
          <w:tcPr>
            <w:tcW w:w="52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Interest expense:</w:t>
            </w: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5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Interest-bearing deposits</w:t>
            </w:r>
          </w:p>
        </w:tc>
        <w:tc>
          <w:tcPr>
            <w:tcW w:w="12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1,579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(1,238)</w:t>
            </w:r>
          </w:p>
        </w:tc>
      </w:tr>
      <w:tr>
        <w:trPr>
          <w:trHeight w:val="153"/>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Securitized debt obligations</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265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r>
      <w:tr>
        <w:trPr>
          <w:trHeight w:val="15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Senior and subordinated notes</w:t>
            </w:r>
          </w:p>
        </w:tc>
        <w:tc>
          <w:tcPr>
            <w:tcW w:w="12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586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borrowings and liabilities</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95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28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 interest expense</w:t>
            </w: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2,525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2,296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(1,415)</w:t>
            </w:r>
          </w:p>
        </w:tc>
      </w:tr>
      <w:tr>
        <w:trPr>
          <w:trHeight w:val="158"/>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2,943</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2,891</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1,064</w:t>
            </w:r>
          </w:p>
        </w:tc>
      </w:tr>
    </w:tbl>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19" w:lineRule="auto"/>
        <w:tabs>
          <w:tab w:leader="none" w:pos="200" w:val="left"/>
        </w:tabs>
        <w:numPr>
          <w:ilvl w:val="0"/>
          <w:numId w:val="2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calculate the change in interest income and interest expense separately for each item. The portion of interest income or interest expense attributable to both volume and rate is allocated proportionately when the calculation results in a positive value. When the portion of interest income or interest expense attributable to both volume and rate results in a negative value, the total amount is allocated to volume or rate, depending on which amount is positive.</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61" w:lineRule="auto"/>
        <w:tabs>
          <w:tab w:leader="none" w:pos="200" w:val="left"/>
        </w:tabs>
        <w:numPr>
          <w:ilvl w:val="0"/>
          <w:numId w:val="2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5"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2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Interest income/expense in the Other category represents the impact of hedge accounting on our loan portfolios and the offsetting reduction of the taxable-equivalent adjustments of our commercial loans as described above.</w:t>
      </w:r>
    </w:p>
    <w:p>
      <w:pPr>
        <w:spacing w:after="0" w:line="200" w:lineRule="exact"/>
        <w:rPr>
          <w:sz w:val="20"/>
          <w:szCs w:val="20"/>
          <w:color w:val="auto"/>
        </w:rPr>
      </w:pPr>
    </w:p>
    <w:p>
      <w:pPr>
        <w:spacing w:after="0" w:line="28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51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52" w:name="page53"/>
    <w:bookmarkEnd w:id="5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Non-Interest Income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3 displays the components of non-interest income for 2022, 2021 and 2020.</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3: Non-Interest Income</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8"/>
        </w:trPr>
        <w:tc>
          <w:tcPr>
            <w:tcW w:w="6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36"/>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w:t>
            </w:r>
          </w:p>
        </w:tc>
        <w:tc>
          <w:tcPr>
            <w:tcW w:w="340" w:type="dxa"/>
            <w:vAlign w:val="bottom"/>
          </w:tcPr>
          <w:p>
            <w:pPr>
              <w:spacing w:after="0"/>
              <w:rPr>
                <w:sz w:val="11"/>
                <w:szCs w:val="11"/>
                <w:color w:val="auto"/>
              </w:rPr>
            </w:pPr>
          </w:p>
        </w:tc>
        <w:tc>
          <w:tcPr>
            <w:tcW w:w="1040" w:type="dxa"/>
            <w:vAlign w:val="bottom"/>
          </w:tcPr>
          <w:p>
            <w:pPr>
              <w:jc w:val="right"/>
              <w:ind w:right="5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jc w:val="right"/>
              <w:ind w:right="521"/>
              <w:spacing w:after="0"/>
              <w:rPr>
                <w:sz w:val="20"/>
                <w:szCs w:val="20"/>
                <w:color w:val="auto"/>
              </w:rPr>
            </w:pPr>
            <w:r>
              <w:rPr>
                <w:rFonts w:ascii="Times New Roman" w:cs="Times New Roman" w:eastAsia="Times New Roman" w:hAnsi="Times New Roman"/>
                <w:sz w:val="11"/>
                <w:szCs w:val="11"/>
                <w:b w:val="1"/>
                <w:bCs w:val="1"/>
                <w:color w:val="auto"/>
              </w:rPr>
              <w:t>2021</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52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3"/>
        </w:trPr>
        <w:tc>
          <w:tcPr>
            <w:tcW w:w="6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Interchange fees, net</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4,606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3,860</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3,017</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Service charges and other customer-related fees</w:t>
            </w:r>
          </w:p>
        </w:tc>
        <w:tc>
          <w:tcPr>
            <w:tcW w:w="340" w:type="dxa"/>
            <w:vAlign w:val="bottom"/>
          </w:tcPr>
          <w:p>
            <w:pPr>
              <w:spacing w:after="0"/>
              <w:rPr>
                <w:sz w:val="13"/>
                <w:szCs w:val="13"/>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1,625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1,578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1,243</w:t>
            </w:r>
          </w:p>
        </w:tc>
      </w:tr>
      <w:tr>
        <w:trPr>
          <w:trHeight w:val="153"/>
        </w:trPr>
        <w:tc>
          <w:tcPr>
            <w:tcW w:w="70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Other non-interest income:</w:t>
            </w:r>
            <w:r>
              <w:rPr>
                <w:rFonts w:ascii="Times New Roman" w:cs="Times New Roman" w:eastAsia="Times New Roman" w:hAnsi="Times New Roman"/>
                <w:sz w:val="15"/>
                <w:szCs w:val="15"/>
                <w:color w:val="auto"/>
                <w:vertAlign w:val="superscript"/>
              </w:rPr>
              <w:t>(1)</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Mortgage banking revenue</w:t>
            </w:r>
          </w:p>
        </w:tc>
        <w:tc>
          <w:tcPr>
            <w:tcW w:w="340" w:type="dxa"/>
            <w:vAlign w:val="bottom"/>
          </w:tcPr>
          <w:p>
            <w:pPr>
              <w:spacing w:after="0"/>
              <w:rPr>
                <w:sz w:val="13"/>
                <w:szCs w:val="13"/>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193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235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249</w:t>
            </w:r>
          </w:p>
        </w:tc>
      </w:tr>
      <w:tr>
        <w:trPr>
          <w:trHeight w:val="153"/>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Treasury and other investment income</w:t>
            </w: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51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151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2C2C2C"/>
              </w:rPr>
              <w:t>701</w:t>
            </w:r>
          </w:p>
        </w:tc>
      </w:tr>
      <w:tr>
        <w:trPr>
          <w:trHeight w:val="153"/>
        </w:trPr>
        <w:tc>
          <w:tcPr>
            <w:tcW w:w="7040" w:type="dxa"/>
            <w:vAlign w:val="bottom"/>
            <w:tcBorders>
              <w:bottom w:val="single" w:sz="8" w:color="CCEEFF"/>
            </w:tcBorders>
            <w:gridSpan w:val="2"/>
          </w:tcPr>
          <w:p>
            <w:pPr>
              <w:ind w:left="140"/>
              <w:spacing w:after="0" w:line="153"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(2)</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661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440</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400</w:t>
            </w:r>
          </w:p>
        </w:tc>
      </w:tr>
      <w:tr>
        <w:trPr>
          <w:trHeight w:val="142"/>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non-interest income</w:t>
            </w: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b w:val="1"/>
                <w:bCs w:val="1"/>
                <w:color w:val="2C2C2C"/>
              </w:rPr>
              <w:t>905</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2C2C2C"/>
              </w:rPr>
              <w:t>826</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2C2C2C"/>
              </w:rPr>
              <w:t>1,350</w:t>
            </w:r>
          </w:p>
        </w:tc>
      </w:tr>
      <w:tr>
        <w:trPr>
          <w:trHeight w:val="142"/>
        </w:trPr>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non-interest income</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7,136</w:t>
            </w: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6,264</w:t>
            </w:r>
          </w:p>
        </w:tc>
        <w:tc>
          <w:tcPr>
            <w:tcW w:w="6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5,610</w:t>
            </w:r>
          </w:p>
        </w:tc>
      </w:tr>
      <w:tr>
        <w:trPr>
          <w:trHeight w:val="20"/>
        </w:trPr>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w:t>
      </w:r>
    </w:p>
    <w:p>
      <w:pPr>
        <w:spacing w:after="0" w:line="24" w:lineRule="exact"/>
        <w:rPr>
          <w:sz w:val="20"/>
          <w:szCs w:val="20"/>
          <w:color w:val="auto"/>
        </w:rPr>
      </w:pPr>
    </w:p>
    <w:p>
      <w:pPr>
        <w:ind w:left="208" w:hanging="208"/>
        <w:spacing w:after="0"/>
        <w:tabs>
          <w:tab w:leader="none" w:pos="208" w:val="left"/>
        </w:tabs>
        <w:numPr>
          <w:ilvl w:val="0"/>
          <w:numId w:val="24"/>
        </w:numPr>
        <w:rPr>
          <w:rFonts w:ascii="Times New Roman" w:cs="Times New Roman" w:eastAsia="Times New Roman" w:hAnsi="Times New Roman"/>
          <w:sz w:val="12"/>
          <w:szCs w:val="12"/>
          <w:b w:val="1"/>
          <w:bCs w:val="1"/>
          <w:color w:val="auto"/>
          <w:vertAlign w:val="superscript"/>
        </w:rPr>
      </w:pPr>
      <w:r>
        <w:rPr>
          <w:rFonts w:ascii="Times New Roman" w:cs="Times New Roman" w:eastAsia="Times New Roman" w:hAnsi="Times New Roman"/>
          <w:sz w:val="10"/>
          <w:szCs w:val="10"/>
          <w:color w:val="auto"/>
        </w:rPr>
        <w:t>Includes a loss of $78 million and gains of $69 million and $45 million on deferred compensation plan investments for 2022, 2021 and 2020, respectively. These amounts have corresponding offsets in non-interest expense.</w:t>
      </w:r>
    </w:p>
    <w:p>
      <w:pPr>
        <w:spacing w:after="0" w:line="37" w:lineRule="exact"/>
        <w:rPr>
          <w:rFonts w:ascii="Times New Roman" w:cs="Times New Roman" w:eastAsia="Times New Roman" w:hAnsi="Times New Roman"/>
          <w:sz w:val="12"/>
          <w:szCs w:val="12"/>
          <w:b w:val="1"/>
          <w:bCs w:val="1"/>
          <w:color w:val="auto"/>
          <w:vertAlign w:val="superscript"/>
        </w:rPr>
      </w:pPr>
    </w:p>
    <w:p>
      <w:pPr>
        <w:ind w:left="208" w:hanging="208"/>
        <w:spacing w:after="0" w:line="201" w:lineRule="auto"/>
        <w:tabs>
          <w:tab w:leader="none" w:pos="208" w:val="left"/>
        </w:tabs>
        <w:numPr>
          <w:ilvl w:val="0"/>
          <w:numId w:val="2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Primarily consists of revenue from Capital One Shopping, our credit card partnership agreements and gains or losses on loan sales. In 2022, the gain on sale of card partnership loan portfolios was $192 million.</w:t>
      </w:r>
    </w:p>
    <w:p>
      <w:pPr>
        <w:spacing w:after="0" w:line="105" w:lineRule="exact"/>
        <w:rPr>
          <w:sz w:val="20"/>
          <w:szCs w:val="20"/>
          <w:color w:val="auto"/>
        </w:rPr>
      </w:pPr>
    </w:p>
    <w:p>
      <w:pPr>
        <w:ind w:left="8" w:right="1520"/>
        <w:spacing w:after="0" w:line="438" w:lineRule="auto"/>
        <w:rPr>
          <w:sz w:val="20"/>
          <w:szCs w:val="20"/>
          <w:color w:val="auto"/>
        </w:rPr>
      </w:pPr>
      <w:r>
        <w:rPr>
          <w:rFonts w:ascii="Times New Roman" w:cs="Times New Roman" w:eastAsia="Times New Roman" w:hAnsi="Times New Roman"/>
          <w:sz w:val="12"/>
          <w:szCs w:val="12"/>
          <w:color w:val="auto"/>
        </w:rPr>
        <w:t xml:space="preserve">Non-interest income increased by $872 million to $7.1 billion in 2022 compared to 2021 primarily driven by higher net interchange fees due to an increase in purchase volume in our Credit Card business. </w:t>
      </w:r>
      <w:r>
        <w:rPr>
          <w:rFonts w:ascii="Times New Roman" w:cs="Times New Roman" w:eastAsia="Times New Roman" w:hAnsi="Times New Roman"/>
          <w:sz w:val="12"/>
          <w:szCs w:val="12"/>
          <w:b w:val="1"/>
          <w:bCs w:val="1"/>
          <w:color w:val="auto"/>
        </w:rPr>
        <w:t>Provision for Credit Losses</w:t>
      </w: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Our provision for credit losses in each period is driven by net charge-offs, changes to the allowance for credit losses and changes to the reserve for unfunded lending commitments. We recorded a provision for credit losses of $5.8 billion in 2022, $(1.9) billion in 2021 and $10.3 billion in 2020</w:t>
      </w:r>
      <w:r>
        <w:rPr>
          <w:rFonts w:ascii="Times New Roman" w:cs="Times New Roman" w:eastAsia="Times New Roman" w:hAnsi="Times New Roman"/>
          <w:sz w:val="9"/>
          <w:szCs w:val="9"/>
          <w:color w:val="auto"/>
        </w:rPr>
        <w:t>.</w:t>
      </w:r>
    </w:p>
    <w:p>
      <w:pPr>
        <w:spacing w:after="0" w:line="7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Our provision for credit losses increased by $7.8 billion to $5.8 billion in 2022 compared to 2021 primarily driven by a net allowance build across all of our segments due to credit normalization, a modestly worse economic outlook and loan growth, compared to a net allowance release across all of our segments in 2021.</w:t>
      </w:r>
    </w:p>
    <w:p>
      <w:pPr>
        <w:spacing w:after="0" w:line="75"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We provide additional information on the provision for credit losses and changes in the allowance for credit losses within “Credit Risk Profile” and “Part II—Item 8. Financial Statements and Supplementary Data—Note 4—Allowance for Credit Losses and Reserve for Unfunded Lending Commitments.” For information on the allowance methodology for each of our loan categories, see “Part II—Item 8. Financial Statements and Supplementary Data—Note 1— Summary of Significant Accounting Policies.”</w:t>
      </w:r>
    </w:p>
    <w:p>
      <w:pPr>
        <w:spacing w:after="0" w:line="200" w:lineRule="exact"/>
        <w:rPr>
          <w:sz w:val="20"/>
          <w:szCs w:val="20"/>
          <w:color w:val="auto"/>
        </w:rPr>
      </w:pPr>
    </w:p>
    <w:p>
      <w:pPr>
        <w:spacing w:after="0" w:line="338"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52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53" w:name="page54"/>
    <w:bookmarkEnd w:id="5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Non-Interest Expense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4 displays the components of non-interest expense for 2022, 2021 and 2020.</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4: Non-Interest Expense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89"/>
        </w:trPr>
        <w:tc>
          <w:tcPr>
            <w:tcW w:w="6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6"/>
        </w:trPr>
        <w:tc>
          <w:tcPr>
            <w:tcW w:w="68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320" w:type="dxa"/>
            <w:vAlign w:val="bottom"/>
          </w:tcPr>
          <w:p>
            <w:pPr>
              <w:spacing w:after="0"/>
              <w:rPr>
                <w:sz w:val="12"/>
                <w:szCs w:val="12"/>
                <w:color w:val="auto"/>
              </w:rPr>
            </w:pPr>
          </w:p>
        </w:tc>
        <w:tc>
          <w:tcPr>
            <w:tcW w:w="106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42"/>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r>
      <w:tr>
        <w:trPr>
          <w:trHeight w:val="153"/>
        </w:trPr>
        <w:tc>
          <w:tcPr>
            <w:tcW w:w="684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2"/>
                <w:szCs w:val="12"/>
                <w:color w:val="auto"/>
              </w:rPr>
              <w:t>Salaries and associate benefits</w:t>
            </w:r>
            <w:r>
              <w:rPr>
                <w:rFonts w:ascii="Times New Roman" w:cs="Times New Roman" w:eastAsia="Times New Roman" w:hAnsi="Times New Roman"/>
                <w:sz w:val="15"/>
                <w:szCs w:val="15"/>
                <w:color w:val="auto"/>
                <w:vertAlign w:val="superscript"/>
              </w:rPr>
              <w:t>(1)</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8,425</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7,421</w:t>
            </w:r>
          </w:p>
        </w:tc>
        <w:tc>
          <w:tcPr>
            <w:tcW w:w="1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6,805</w:t>
            </w:r>
          </w:p>
        </w:tc>
      </w:tr>
      <w:tr>
        <w:trPr>
          <w:trHeight w:val="153"/>
        </w:trPr>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Occupancy and equipment</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2,050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2,003</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2,118</w:t>
            </w:r>
          </w:p>
        </w:tc>
      </w:tr>
      <w:tr>
        <w:trPr>
          <w:trHeight w:val="153"/>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Professional services</w:t>
            </w:r>
          </w:p>
        </w:tc>
        <w:tc>
          <w:tcPr>
            <w:tcW w:w="32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1,807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1,440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1,312</w:t>
            </w:r>
          </w:p>
        </w:tc>
      </w:tr>
      <w:tr>
        <w:trPr>
          <w:trHeight w:val="153"/>
        </w:trPr>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Communications and data processing</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1,379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1,262</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1,215</w:t>
            </w:r>
          </w:p>
        </w:tc>
      </w:tr>
      <w:tr>
        <w:trPr>
          <w:trHeight w:val="153"/>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32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70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w:t>
            </w:r>
          </w:p>
        </w:tc>
      </w:tr>
      <w:tr>
        <w:trPr>
          <w:trHeight w:val="153"/>
        </w:trPr>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non-interest expense:</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3"/>
        </w:trPr>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Bankcard, regulatory and other fee assessments</w:t>
            </w:r>
          </w:p>
        </w:tc>
        <w:tc>
          <w:tcPr>
            <w:tcW w:w="32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264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267</w:t>
            </w:r>
          </w:p>
        </w:tc>
      </w:tr>
      <w:tr>
        <w:trPr>
          <w:trHeight w:val="153"/>
        </w:trPr>
        <w:tc>
          <w:tcPr>
            <w:tcW w:w="6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Collections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331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360</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323</w:t>
            </w:r>
          </w:p>
        </w:tc>
      </w:tr>
      <w:tr>
        <w:trPr>
          <w:trHeight w:val="153"/>
        </w:trPr>
        <w:tc>
          <w:tcPr>
            <w:tcW w:w="68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820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985</w:t>
            </w: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1,346</w:t>
            </w:r>
          </w:p>
        </w:tc>
      </w:tr>
      <w:tr>
        <w:trPr>
          <w:trHeight w:val="142"/>
        </w:trPr>
        <w:tc>
          <w:tcPr>
            <w:tcW w:w="68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2"/>
                <w:szCs w:val="12"/>
                <w:color w:val="auto"/>
              </w:rPr>
              <w:t>Total other non-interest expense</w:t>
            </w: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1,415</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1,544</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1,936</w:t>
            </w:r>
          </w:p>
        </w:tc>
      </w:tr>
      <w:tr>
        <w:trPr>
          <w:trHeight w:val="142"/>
        </w:trPr>
        <w:tc>
          <w:tcPr>
            <w:tcW w:w="68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 operating expense</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15,146</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13,699</w:t>
            </w:r>
          </w:p>
        </w:tc>
        <w:tc>
          <w:tcPr>
            <w:tcW w:w="16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13,446</w:t>
            </w:r>
          </w:p>
        </w:tc>
      </w:tr>
      <w:tr>
        <w:trPr>
          <w:trHeight w:val="153"/>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4,017</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2,871</w:t>
            </w:r>
          </w:p>
        </w:tc>
        <w:tc>
          <w:tcPr>
            <w:tcW w:w="1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1,610</w:t>
            </w:r>
          </w:p>
        </w:tc>
      </w:tr>
      <w:tr>
        <w:trPr>
          <w:trHeight w:val="142"/>
        </w:trPr>
        <w:tc>
          <w:tcPr>
            <w:tcW w:w="6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non-interest expense</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19,163</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16,570</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15,056</w:t>
            </w:r>
          </w:p>
        </w:tc>
      </w:tr>
      <w:tr>
        <w:trPr>
          <w:trHeight w:val="20"/>
        </w:trPr>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w:t>
      </w:r>
    </w:p>
    <w:p>
      <w:pPr>
        <w:spacing w:after="0" w:line="24" w:lineRule="exact"/>
        <w:rPr>
          <w:sz w:val="20"/>
          <w:szCs w:val="20"/>
          <w:color w:val="auto"/>
        </w:rPr>
      </w:pPr>
    </w:p>
    <w:p>
      <w:pPr>
        <w:ind w:left="208" w:hanging="208"/>
        <w:spacing w:after="0"/>
        <w:tabs>
          <w:tab w:leader="none" w:pos="208" w:val="left"/>
        </w:tabs>
        <w:numPr>
          <w:ilvl w:val="0"/>
          <w:numId w:val="2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a benefit of $78 million and expenses of $69 million and $45 million related to our deferred compensation plan investments for 2022, 2021 and 2020, respectively. These amounts have corresponding offsets from investments in other non-interest income.</w:t>
      </w:r>
    </w:p>
    <w:p>
      <w:pPr>
        <w:spacing w:after="0" w:line="10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Non-interest expense increased by $2.6 billion to $19.2 billion in the year ended 2022 compared to 2021, primarily driven by increased marketing spend and increased salaries and associate benefits due to increased employee headcount and continued investment in technology.</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11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recorded an income tax provision of $1.9 billion (20.3% effective income tax rate), $3.4 billion (21.6% effective income tax rate), and $486 million (15.2% effective income tax rate) in 2022, 2021 and 2020, respectively. Our effective tax rate on income from continuing operations varies between periods due, in part, to the impact of changes in pre-tax income and changes in tax credits, tax-exempt income and non-deductible expenses relative to our pre-tax earnings.</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effective income tax rate in 2022 decreased by 1.3% compared to 2021. We recorded discrete tax benefits of $71 million in 2022, $66 million in 2021 and $22 million in 2020.</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provide additional information on items affecting our income taxes and effective tax rate in “Part II—Item 8. Financial Statements and Supplementary Data—Note 15—Income Taxes.”</w:t>
      </w:r>
    </w:p>
    <w:p>
      <w:pPr>
        <w:spacing w:after="0" w:line="200" w:lineRule="exact"/>
        <w:rPr>
          <w:sz w:val="20"/>
          <w:szCs w:val="20"/>
          <w:color w:val="auto"/>
        </w:rPr>
      </w:pPr>
    </w:p>
    <w:p>
      <w:pPr>
        <w:spacing w:after="0" w:line="36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53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BALANCE SHEETS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assets increased by $22.9 billion to $455.2 billion as of December 31, 2022 from December 31, 2021 primarily driven by growth in our loan portfolios, partially offset by a decrease in our investment securities portfolio.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liabilities increased by $31.3 billion to $402.7 billion as of December 31, 2022 from December 31, 2021 primarily driven by deposit growth.</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Stockholders’ equity decreased by $8.4 billion to $52.6 billion as of December 31, 2022 from December 31, 2021 primarily driven by a decrease in AOCI due to a decline in the fair value of our investment securities portfolio and our common stock repurchases, partially offset by net income of $7.4 billion.</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following is a discussion of material changes in the major components of our assets and liabilities during 2022. Period-end balance sheet amounts may vary from average balance sheet amounts due to liquidity and balance sheet management activities that are intended to support the adequacy of capital while managing our liquidity requirements, our customers and our market risk exposure in accordance with our risk appetite.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 Securities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investment securities portfolio consists of the following: U.S. government-sponsored enterprise or agency (“Agency”) and non-agency residential mortgage-backed securities (“RMBS”), agency commercial mortgage-backed securities (“CMBS”), U.S. Treasury securities and other securities. Agency securities include Government National Mortgage Association (“Ginnie Mae”) guaranteed securities, Federal National Mortgage Association (“Fannie Mae”) and Federal Home Loan Mortgage Corporation (“Freddie Mac”) issued securities. The carrying value of our investments in Agency and U.S. Treasury securities represented 97% and 96% of our total investment securities portfolio as of December 31, 2022 and 2021, respectively.</w:t>
      </w:r>
    </w:p>
    <w:p>
      <w:pPr>
        <w:spacing w:after="0" w:line="8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fair value of our available for sale securities portfolio decreased by $18.3 billion to $76.9 billion as of December 31, 2022 from December 31, 2021, driven by increases in interest rates and credit spreads, lower reinvestment rates of principal paydowns, and sales. See “Part II—Item 8. Financial Statements and Supplementary Data—Note 2—Investment Securities”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Loans Held for Investment</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Total loans held for investment consists of both unsecuritized loans and loans held in our consolidated trusts. Table 5 summarizes, by portfolio segment, the carrying value of our loans held for investment, the allowance for credit losses and net loan balance as of December 31, 2022 and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5: Loans Held for Investment</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9"/>
        </w:trPr>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42"/>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300" w:type="dxa"/>
            <w:vAlign w:val="bottom"/>
          </w:tcPr>
          <w:p>
            <w:pPr>
              <w:spacing w:after="0"/>
              <w:rPr>
                <w:sz w:val="12"/>
                <w:szCs w:val="12"/>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Allowance</w:t>
            </w:r>
          </w:p>
        </w:tc>
        <w:tc>
          <w:tcPr>
            <w:tcW w:w="240" w:type="dxa"/>
            <w:vAlign w:val="bottom"/>
          </w:tcPr>
          <w:p>
            <w:pPr>
              <w:spacing w:after="0"/>
              <w:rPr>
                <w:sz w:val="12"/>
                <w:szCs w:val="12"/>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Net Loans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100" w:type="dxa"/>
            <w:vAlign w:val="bottom"/>
          </w:tcPr>
          <w:p>
            <w:pPr>
              <w:spacing w:after="0"/>
              <w:rPr>
                <w:sz w:val="12"/>
                <w:szCs w:val="12"/>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Allowance</w:t>
            </w:r>
          </w:p>
        </w:tc>
        <w:tc>
          <w:tcPr>
            <w:tcW w:w="260" w:type="dxa"/>
            <w:vAlign w:val="bottom"/>
          </w:tcPr>
          <w:p>
            <w:pPr>
              <w:spacing w:after="0"/>
              <w:rPr>
                <w:sz w:val="12"/>
                <w:szCs w:val="12"/>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Net Loans</w:t>
            </w:r>
          </w:p>
        </w:tc>
      </w:tr>
      <w:tr>
        <w:trPr>
          <w:trHeight w:val="142"/>
        </w:trPr>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Credit Card</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137,730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9,545</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128,185</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2C2C2C"/>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C2C2C"/>
              </w:rPr>
              <w:t>114,772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2C2C2C"/>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C2C2C"/>
              </w:rPr>
              <w:t>8,345</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2C2C2C"/>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C2C2C"/>
              </w:rPr>
              <w:t>106,427</w:t>
            </w:r>
          </w:p>
        </w:tc>
      </w:tr>
      <w:tr>
        <w:trPr>
          <w:trHeight w:val="153"/>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Consumer Banking</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79,925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2,237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77,688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2C2C2C"/>
              </w:rPr>
              <w:t>77,646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2C2C2C"/>
              </w:rPr>
              <w:t>1,918</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2C2C2C"/>
              </w:rPr>
              <w:t>75,728</w:t>
            </w:r>
          </w:p>
        </w:tc>
      </w:tr>
      <w:tr>
        <w:trPr>
          <w:trHeight w:val="153"/>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Banking</w:t>
            </w: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94,676</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93,218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C2C2C"/>
              </w:rPr>
              <w:t>84,922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C2C2C"/>
              </w:rPr>
              <w:t>1,167</w:t>
            </w:r>
          </w:p>
        </w:tc>
        <w:tc>
          <w:tcPr>
            <w:tcW w:w="1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2C2C2C"/>
              </w:rPr>
              <w:t>83,755</w:t>
            </w:r>
          </w:p>
        </w:tc>
      </w:tr>
      <w:tr>
        <w:trPr>
          <w:trHeight w:val="142"/>
        </w:trPr>
        <w:tc>
          <w:tcPr>
            <w:tcW w:w="2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312,331</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13,240</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299,091</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2C2C2C"/>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2C2C2C"/>
              </w:rPr>
              <w:t>277,340</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2C2C2C"/>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2C2C2C"/>
              </w:rPr>
              <w:t>11,430</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2C2C2C"/>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2C2C2C"/>
              </w:rPr>
              <w:t>265,910</w:t>
            </w: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Loans held for investment increased by $35.0 billion to $312.3 billion as of December 31, 2022 from December 31, 2021 primarily driven by growth across all of our segments.</w:t>
      </w:r>
    </w:p>
    <w:p>
      <w:pPr>
        <w:spacing w:after="0" w:line="11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provide additional information on the composition of our loan portfolio and credit quality in “Credit Risk Profile,” “Consolidated Results of Operations” and “Part II—Item 8. Financial Statements and Supplementary Data—Note 3 —Loans.”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Funding Sources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primary source of funding comes from deposits, as they are a stable and relatively low cost source of funding. In addition to deposits, we raise funding through the issuance of senior and subordinated notes, securitized debt obligations, federal funds</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54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55" w:name="page56"/>
    <w:bookmarkEnd w:id="55"/>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purchased, securities loaned or sold under agreements to repurchase, and FHLB advances secured by certain portions of our loan and securities portfolios.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6 provides the composition of our primary sources of funding as of December 31, 2022 and 2021.</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8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6: Funding Sources Composition</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02"/>
        </w:trPr>
        <w:tc>
          <w:tcPr>
            <w:tcW w:w="5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4"/>
          </w:tcPr>
          <w:p>
            <w:pPr>
              <w:ind w:left="6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60" w:type="dxa"/>
            <w:vAlign w:val="bottom"/>
          </w:tcPr>
          <w:p>
            <w:pPr>
              <w:spacing w:after="0"/>
              <w:rPr>
                <w:sz w:val="17"/>
                <w:szCs w:val="17"/>
                <w:color w:val="auto"/>
              </w:rPr>
            </w:pPr>
          </w:p>
        </w:tc>
        <w:tc>
          <w:tcPr>
            <w:tcW w:w="2400" w:type="dxa"/>
            <w:vAlign w:val="bottom"/>
            <w:gridSpan w:val="3"/>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4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 of Total</w:t>
            </w: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2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of Total</w:t>
            </w:r>
          </w:p>
        </w:tc>
      </w:tr>
      <w:tr>
        <w:trPr>
          <w:trHeight w:val="142"/>
        </w:trPr>
        <w:tc>
          <w:tcPr>
            <w:tcW w:w="5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Deposits:</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r>
      <w:tr>
        <w:trPr>
          <w:trHeight w:val="153"/>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Consumer Banking</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270,592</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71 %</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256,407</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72 %</w:t>
            </w:r>
          </w:p>
        </w:tc>
      </w:tr>
      <w:tr>
        <w:trPr>
          <w:trHeight w:val="153"/>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Banking</w:t>
            </w: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40,808</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44,809</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w:t>
            </w:r>
          </w:p>
        </w:tc>
      </w:tr>
      <w:tr>
        <w:trPr>
          <w:trHeight w:val="153"/>
        </w:trPr>
        <w:tc>
          <w:tcPr>
            <w:tcW w:w="5880" w:type="dxa"/>
            <w:vAlign w:val="bottom"/>
            <w:tcBorders>
              <w:bottom w:val="single" w:sz="8" w:color="CCEEFF"/>
            </w:tcBorders>
            <w:gridSpan w:val="2"/>
          </w:tcPr>
          <w:p>
            <w:pPr>
              <w:ind w:left="140"/>
              <w:spacing w:after="0" w:line="153"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(1)</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21,592</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9,764</w:t>
            </w: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r>
      <w:tr>
        <w:trPr>
          <w:trHeight w:val="142"/>
        </w:trPr>
        <w:tc>
          <w:tcPr>
            <w:tcW w:w="58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deposits</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332,992</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310,980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88</w:t>
            </w:r>
          </w:p>
        </w:tc>
      </w:tr>
      <w:tr>
        <w:trPr>
          <w:trHeight w:val="153"/>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Securitized debt obligations</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16,973</w:t>
            </w:r>
          </w:p>
        </w:tc>
        <w:tc>
          <w:tcPr>
            <w:tcW w:w="100" w:type="dxa"/>
            <w:vAlign w:val="bottom"/>
          </w:tcPr>
          <w:p>
            <w:pPr>
              <w:spacing w:after="0"/>
              <w:rPr>
                <w:sz w:val="13"/>
                <w:szCs w:val="13"/>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14,994</w:t>
            </w:r>
          </w:p>
        </w:tc>
        <w:tc>
          <w:tcPr>
            <w:tcW w:w="8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w:t>
            </w:r>
          </w:p>
        </w:tc>
      </w:tr>
      <w:tr>
        <w:trPr>
          <w:trHeight w:val="153"/>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debt</w:t>
            </w:r>
          </w:p>
        </w:tc>
        <w:tc>
          <w:tcPr>
            <w:tcW w:w="2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31,742</w:t>
            </w:r>
          </w:p>
        </w:tc>
        <w:tc>
          <w:tcPr>
            <w:tcW w:w="1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28,092</w:t>
            </w:r>
          </w:p>
        </w:tc>
        <w:tc>
          <w:tcPr>
            <w:tcW w:w="8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w:t>
            </w:r>
          </w:p>
        </w:tc>
      </w:tr>
      <w:tr>
        <w:trPr>
          <w:trHeight w:val="142"/>
        </w:trPr>
        <w:tc>
          <w:tcPr>
            <w:tcW w:w="5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funding sources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381,707</w:t>
            </w: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100 %</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354,066</w:t>
            </w:r>
          </w:p>
        </w:tc>
        <w:tc>
          <w:tcPr>
            <w:tcW w:w="80" w:type="dxa"/>
            <w:vAlign w:val="bottom"/>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100 %</w:t>
            </w: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2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brokered deposits of $20.6 billion and $8.6 billion as of December 31, 2022 and 2021, respectively.</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Total deposits increased by $22.0 billion to $333.0 billion as of December 31, 2022 from December 31, 2021 primarily driven by our national banking strategy and issuances of brokered deposits.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Securitized debt obligations increased by $2.0 billion to $17.0 billion as of December 31, 2022 from December 31, 2021 primarily driven by net issuances in our auto and credit card securitization programs.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Other debt increased by $3.7 billion to $31.7 billion as of December 31, 2022 from December 31, 2021 primarily driven by net issuances of senior debt.</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provide additional information on our funding sources in “Liquidity Risk Profile” and “Part II—Item 8. Financial Statements and Supplementary Data—Note 8—Deposits and Borrowings.”</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Deferred Tax Assets and Liabilities</w:t>
      </w:r>
    </w:p>
    <w:p>
      <w:pPr>
        <w:spacing w:after="0" w:line="11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Deferred tax assets and liabilities represent decreases or increases in taxes expected to be paid in the future because of future reversals of temporary differences between the financial reporting and tax bases of assets and liabilities, as well as from net operating loss and tax credit carryforwards. Deferred tax assets are recognized subject to management’s judgment that these future deductions are more likely than not to be realized. We evaluate the recoverability of these future tax deductions by assessing the adequacy of expected taxable income from all sources, including taxable income in carryback years, reversal of taxable temporary differences, forecasted operating earnings and available tax planning strategies. These sources of income rely heavily on estimates. We use our historical experience and our short and long-range business forecasts to make these estimates.</w:t>
      </w:r>
    </w:p>
    <w:p>
      <w:pPr>
        <w:spacing w:after="0" w:line="86"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Deferred tax assets, net of deferred tax liabilities and valuation allowances, were approximately $7.7 billion as of December 31, 2022, an increase of $4.0 billion from December 31, 2021. The increase in our net deferred tax assets was primarily driven by the decrease in fair value of our available for sale securities and derivatives, as well as the increase in allowance for credit losses in 2022.</w:t>
      </w:r>
    </w:p>
    <w:p>
      <w:pPr>
        <w:spacing w:after="0" w:line="7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We recorded valuation allowances of $446 million and $355 million as of December 31, 2022 and 2021, respectively. If changes in circumstances lead us to change our judgment about our ability to realize deferred tax assets in future years, we will adjust our valuation allowances in the period that our change in judgment occurs and record a corresponding increase or charge to income.</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provide additional information on income taxes in “Consolidated Results of Operations” and “Part II—Item 8. Financial Statements and Supplementary Data—Note 15—Income Taxes.”</w:t>
      </w:r>
    </w:p>
    <w:p>
      <w:pPr>
        <w:spacing w:after="0" w:line="200" w:lineRule="exact"/>
        <w:rPr>
          <w:sz w:val="20"/>
          <w:szCs w:val="20"/>
          <w:color w:val="auto"/>
        </w:rPr>
      </w:pPr>
    </w:p>
    <w:p>
      <w:pPr>
        <w:spacing w:after="0" w:line="36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55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the ordinary course of business, we engage in certain activities that are not reflected on our consolidated balance sheets, generally referred to as off-balance sheet arrangements. These activities typically involve transactions with unconsolidated variable interest entities (“VIEs”) as well as other arrangements, such as letters of credit, loan commitments and guarantees, to meet the financing needs of our customers and support their ongoing operations. We provide additional information regarding these types of activities in “Part II—Item 8. Financial Statements and Supplementary Data—Note 5—Variable Interest Entities and Securitizations” and “Part II—Item 8. Financial Statements and Supplementary Data—Note 18—Commitments, Contingencies, Guarantees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6661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SEGMENT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6661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principal operations are organized for management reporting purposes into three major business segments, which are defined primarily based on the products and services provided or the types of customer served: Credit Card, Consumer Banking and Commercial Banking. The operations of acquired businesses have been integrated into or managed as a part of our existing business segments. Certain activities that are not part of a segment, such as management of our corporate investment portfolio, asset/liability management and oversight of our funds transfer pricing process, are centralized in our Corporate Treasury group. Our residual tax expense or benefit to arrive at the consolidated effective tax rate that is not assessed to our primary business segments is included in the Other category.</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results of our individual businesses, which we report on a continuing operations basis, reflect the manner in which management evaluates performance and makes decisions about funding our operations and allocating resources. We may periodically change our business segments or reclassify business segment results based on modifications to our management reporting methodologies and changes in organizational alignment. Our business segment results are intended to reflect each segment as if it were a stand-alone business. We use an internal management and reporting process to derive our business segment results. Our internal management and reporting process employs various allocation methodologies, including funds transfer pricing, to assign certain balance sheet assets, deposits and other liabilities and their related revenue and expenses directly or indirectly attributable to each business segment. Total interest income and non-interest income are directly attributable to the segment in which they are reported. The net interest income of each segment reflects the results of our funds transfer pricing process, which is primarily based on a matched funding concept that takes into consideration market interest rates. Our funds transfer pricing process is managed by our centralized Corporate Treasury group and provides a funds credit for sources of funds, such as deposits generated by our Consumer Banking and Commercial Banking businesses, and a charge for the use of funds by each segment. The allocation is unique to each business segment and acquired business and is based on the composition of assets and liabilities. The funds transfer pricing process considers the interest rate and liquidity risk characteristics of assets and liabilities and off-balance sheet products. Periodically, the methodology and assumptions utilized in the funds transfer pricing process are adjusted to reflect economic conditions and other factors, which may impact the allocation of net interest income to the business segments. We regularly assess the assumptions, methodologies and reporting classifications used for segment reporting, which may result in the implementation of refinements or changes in future periods.</w:t>
      </w:r>
    </w:p>
    <w:p>
      <w:pPr>
        <w:spacing w:after="0" w:line="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We refer to the business segment results derived from our internal management accounting and reporting process as our “managed” presentation, which differs in some cases from our reported results prepared based on U.S. GAAP. There is no comprehensive authoritative body of guidance for management accounting equivalent to U.S. GAAP; therefore, the managed presentation of our business segment results may not be comparable to similar information provided by other financial services companies. In addition, our individual business segment results should not be used as a substitute for comparable results determined in accordance with U.S. GAAP.</w:t>
      </w:r>
    </w:p>
    <w:p>
      <w:pPr>
        <w:spacing w:after="0" w:line="1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We summarize our business segment results for the years ended December 31, 2022, 2021 and 2020 and provide a comparative discussion of these results for 2022 and 2021, as well as changes in our financial condition and credit performance metrics as of December 31, 2022 compared to December 31, 2021. We provide a reconciliation of our total business segment results to our reported consolidated results in “Part II—Item 8. Financial Statements and Supplementary Data—Note 17—Business Segments and Revenue from Contracts with Customers.”</w:t>
      </w:r>
    </w:p>
    <w:p>
      <w:pPr>
        <w:spacing w:after="0" w:line="200" w:lineRule="exact"/>
        <w:rPr>
          <w:sz w:val="20"/>
          <w:szCs w:val="20"/>
          <w:color w:val="auto"/>
        </w:rPr>
      </w:pPr>
    </w:p>
    <w:p>
      <w:pPr>
        <w:spacing w:after="0" w:line="240"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56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57" w:name="page58"/>
    <w:bookmarkEnd w:id="57"/>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Business Segment Financial Performance</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Table 7 summarizes our business segment results, which we report based on revenue (loss) and income (loss) from continuing operations, for the years ended December 31, 2022, 2021 and 2020. We provide information on the allocation methodologies used to derive our business segment results in “Part II—Item 8. Financial Statements and Supplementary Data—Note 17—Business Segments and Revenue from Contracts with Customers.”</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7: Business Segment Results</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3"/>
          </w:tcPr>
          <w:p>
            <w:pPr>
              <w:ind w:left="420"/>
              <w:spacing w:after="0" w:line="84" w:lineRule="exact"/>
              <w:rPr>
                <w:sz w:val="20"/>
                <w:szCs w:val="20"/>
                <w:color w:val="auto"/>
              </w:rPr>
            </w:pPr>
            <w:r>
              <w:rPr>
                <w:rFonts w:ascii="Times New Roman" w:cs="Times New Roman" w:eastAsia="Times New Roman" w:hAnsi="Times New Roman"/>
                <w:sz w:val="8"/>
                <w:szCs w:val="8"/>
                <w:b w:val="1"/>
                <w:bCs w:val="1"/>
                <w:color w:val="auto"/>
              </w:rPr>
              <w:t>Total Net</w:t>
            </w: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tcPr>
          <w:p>
            <w:pPr>
              <w:ind w:left="380"/>
              <w:spacing w:after="0" w:line="84" w:lineRule="exact"/>
              <w:rPr>
                <w:sz w:val="20"/>
                <w:szCs w:val="20"/>
                <w:color w:val="auto"/>
              </w:rPr>
            </w:pPr>
            <w:r>
              <w:rPr>
                <w:rFonts w:ascii="Times New Roman" w:cs="Times New Roman" w:eastAsia="Times New Roman" w:hAnsi="Times New Roman"/>
                <w:sz w:val="8"/>
                <w:szCs w:val="8"/>
                <w:b w:val="1"/>
                <w:bCs w:val="1"/>
                <w:color w:val="auto"/>
              </w:rPr>
              <w:t>Net Income</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3"/>
          </w:tcPr>
          <w:p>
            <w:pPr>
              <w:ind w:left="440"/>
              <w:spacing w:after="0" w:line="84" w:lineRule="exact"/>
              <w:rPr>
                <w:sz w:val="20"/>
                <w:szCs w:val="20"/>
                <w:color w:val="auto"/>
              </w:rPr>
            </w:pPr>
            <w:r>
              <w:rPr>
                <w:rFonts w:ascii="Times New Roman" w:cs="Times New Roman" w:eastAsia="Times New Roman" w:hAnsi="Times New Roman"/>
                <w:sz w:val="8"/>
                <w:szCs w:val="8"/>
                <w:b w:val="1"/>
                <w:bCs w:val="1"/>
                <w:color w:val="auto"/>
              </w:rPr>
              <w:t>Total Net</w:t>
            </w: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tcPr>
          <w:p>
            <w:pPr>
              <w:ind w:left="380"/>
              <w:spacing w:after="0" w:line="84" w:lineRule="exact"/>
              <w:rPr>
                <w:sz w:val="20"/>
                <w:szCs w:val="20"/>
                <w:color w:val="auto"/>
              </w:rPr>
            </w:pPr>
            <w:r>
              <w:rPr>
                <w:rFonts w:ascii="Times New Roman" w:cs="Times New Roman" w:eastAsia="Times New Roman" w:hAnsi="Times New Roman"/>
                <w:sz w:val="8"/>
                <w:szCs w:val="8"/>
                <w:b w:val="1"/>
                <w:bCs w:val="1"/>
                <w:color w:val="auto"/>
              </w:rPr>
              <w:t>Net Income</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tcPr>
          <w:p>
            <w:pPr>
              <w:jc w:val="center"/>
              <w:ind w:left="309"/>
              <w:spacing w:after="0" w:line="84" w:lineRule="exact"/>
              <w:rPr>
                <w:sz w:val="20"/>
                <w:szCs w:val="20"/>
                <w:color w:val="auto"/>
              </w:rPr>
            </w:pPr>
            <w:r>
              <w:rPr>
                <w:rFonts w:ascii="Times New Roman" w:cs="Times New Roman" w:eastAsia="Times New Roman" w:hAnsi="Times New Roman"/>
                <w:sz w:val="8"/>
                <w:szCs w:val="8"/>
                <w:b w:val="1"/>
                <w:bCs w:val="1"/>
                <w:color w:val="auto"/>
              </w:rPr>
              <w:t>Total Net</w:t>
            </w: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tcPr>
          <w:p>
            <w:pPr>
              <w:jc w:val="center"/>
              <w:ind w:left="289"/>
              <w:spacing w:after="0" w:line="84" w:lineRule="exact"/>
              <w:rPr>
                <w:sz w:val="20"/>
                <w:szCs w:val="20"/>
                <w:color w:val="auto"/>
              </w:rPr>
            </w:pPr>
            <w:r>
              <w:rPr>
                <w:rFonts w:ascii="Times New Roman" w:cs="Times New Roman" w:eastAsia="Times New Roman" w:hAnsi="Times New Roman"/>
                <w:sz w:val="8"/>
                <w:szCs w:val="8"/>
                <w:b w:val="1"/>
                <w:bCs w:val="1"/>
                <w:color w:val="auto"/>
              </w:rPr>
              <w:t>Net Income</w:t>
            </w: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rPr>
              <w:t>Revenue (Loss)</w:t>
            </w:r>
            <w:r>
              <w:rPr>
                <w:rFonts w:ascii="Times New Roman" w:cs="Times New Roman" w:eastAsia="Times New Roman" w:hAnsi="Times New Roman"/>
                <w:sz w:val="6"/>
                <w:szCs w:val="6"/>
                <w:b w:val="1"/>
                <w:bCs w:val="1"/>
                <w:color w:val="auto"/>
              </w:rPr>
              <w:t>(1)</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0"/>
                <w:szCs w:val="10"/>
                <w:b w:val="1"/>
                <w:bCs w:val="1"/>
                <w:color w:val="auto"/>
              </w:rPr>
              <w:t>(Loss)</w:t>
            </w:r>
            <w:r>
              <w:rPr>
                <w:rFonts w:ascii="Times New Roman" w:cs="Times New Roman" w:eastAsia="Times New Roman" w:hAnsi="Times New Roman"/>
                <w:sz w:val="6"/>
                <w:szCs w:val="6"/>
                <w:b w:val="1"/>
                <w:bCs w:val="1"/>
                <w:color w:val="auto"/>
              </w:rPr>
              <w:t>(2)</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rPr>
              <w:t>Revenue (Loss)</w:t>
            </w:r>
            <w:r>
              <w:rPr>
                <w:rFonts w:ascii="Times New Roman" w:cs="Times New Roman" w:eastAsia="Times New Roman" w:hAnsi="Times New Roman"/>
                <w:sz w:val="6"/>
                <w:szCs w:val="6"/>
                <w:b w:val="1"/>
                <w:bCs w:val="1"/>
                <w:color w:val="auto"/>
              </w:rPr>
              <w:t>(1)</w:t>
            </w: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0"/>
                <w:szCs w:val="10"/>
                <w:b w:val="1"/>
                <w:bCs w:val="1"/>
                <w:color w:val="auto"/>
              </w:rPr>
              <w:t>(Loss)</w:t>
            </w:r>
            <w:r>
              <w:rPr>
                <w:rFonts w:ascii="Times New Roman" w:cs="Times New Roman" w:eastAsia="Times New Roman" w:hAnsi="Times New Roman"/>
                <w:sz w:val="6"/>
                <w:szCs w:val="6"/>
                <w:b w:val="1"/>
                <w:bCs w:val="1"/>
                <w:color w:val="auto"/>
              </w:rPr>
              <w:t>(2)</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center"/>
              <w:ind w:left="309"/>
              <w:spacing w:after="0"/>
              <w:rPr>
                <w:sz w:val="20"/>
                <w:szCs w:val="20"/>
                <w:color w:val="auto"/>
              </w:rPr>
            </w:pPr>
            <w:r>
              <w:rPr>
                <w:rFonts w:ascii="Times New Roman" w:cs="Times New Roman" w:eastAsia="Times New Roman" w:hAnsi="Times New Roman"/>
                <w:sz w:val="10"/>
                <w:szCs w:val="10"/>
                <w:b w:val="1"/>
                <w:bCs w:val="1"/>
                <w:color w:val="auto"/>
                <w:w w:val="96"/>
              </w:rPr>
              <w:t>Revenue</w:t>
            </w:r>
            <w:r>
              <w:rPr>
                <w:rFonts w:ascii="Times New Roman" w:cs="Times New Roman" w:eastAsia="Times New Roman" w:hAnsi="Times New Roman"/>
                <w:sz w:val="6"/>
                <w:szCs w:val="6"/>
                <w:b w:val="1"/>
                <w:bCs w:val="1"/>
                <w:color w:val="auto"/>
                <w:w w:val="96"/>
              </w:rPr>
              <w:t>(1)</w:t>
            </w: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center"/>
              <w:ind w:left="289"/>
              <w:spacing w:after="0"/>
              <w:rPr>
                <w:sz w:val="20"/>
                <w:szCs w:val="20"/>
                <w:color w:val="auto"/>
              </w:rPr>
            </w:pPr>
            <w:r>
              <w:rPr>
                <w:rFonts w:ascii="Times New Roman" w:cs="Times New Roman" w:eastAsia="Times New Roman" w:hAnsi="Times New Roman"/>
                <w:sz w:val="10"/>
                <w:szCs w:val="10"/>
                <w:b w:val="1"/>
                <w:bCs w:val="1"/>
                <w:color w:val="auto"/>
                <w:w w:val="96"/>
              </w:rPr>
              <w:t>(Loss)</w:t>
            </w:r>
            <w:r>
              <w:rPr>
                <w:rFonts w:ascii="Times New Roman" w:cs="Times New Roman" w:eastAsia="Times New Roman" w:hAnsi="Times New Roman"/>
                <w:sz w:val="6"/>
                <w:szCs w:val="6"/>
                <w:b w:val="1"/>
                <w:bCs w:val="1"/>
                <w:color w:val="auto"/>
                <w:w w:val="96"/>
              </w:rPr>
              <w:t>(2)</w:t>
            </w: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40" w:type="dxa"/>
            <w:vAlign w:val="bottom"/>
          </w:tcPr>
          <w:p>
            <w:pPr>
              <w:spacing w:after="0"/>
              <w:rPr>
                <w:sz w:val="7"/>
                <w:szCs w:val="7"/>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40" w:type="dxa"/>
            <w:vAlign w:val="bottom"/>
          </w:tcPr>
          <w:p>
            <w:pPr>
              <w:jc w:val="right"/>
              <w:ind w:right="109"/>
              <w:spacing w:after="0" w:line="84" w:lineRule="exact"/>
              <w:rPr>
                <w:sz w:val="20"/>
                <w:szCs w:val="20"/>
                <w:color w:val="auto"/>
              </w:rPr>
            </w:pPr>
            <w:r>
              <w:rPr>
                <w:rFonts w:ascii="Times New Roman" w:cs="Times New Roman" w:eastAsia="Times New Roman" w:hAnsi="Times New Roman"/>
                <w:sz w:val="8"/>
                <w:szCs w:val="8"/>
                <w:b w:val="1"/>
                <w:bCs w:val="1"/>
                <w:color w:val="auto"/>
              </w:rPr>
              <w:t>% of</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80" w:type="dxa"/>
            <w:vAlign w:val="bottom"/>
          </w:tcPr>
          <w:p>
            <w:pPr>
              <w:jc w:val="right"/>
              <w:ind w:right="189"/>
              <w:spacing w:after="0" w:line="84" w:lineRule="exact"/>
              <w:rPr>
                <w:sz w:val="20"/>
                <w:szCs w:val="20"/>
                <w:color w:val="auto"/>
              </w:rPr>
            </w:pPr>
            <w:r>
              <w:rPr>
                <w:rFonts w:ascii="Times New Roman" w:cs="Times New Roman" w:eastAsia="Times New Roman" w:hAnsi="Times New Roman"/>
                <w:sz w:val="8"/>
                <w:szCs w:val="8"/>
                <w:b w:val="1"/>
                <w:bCs w:val="1"/>
                <w:color w:val="auto"/>
              </w:rPr>
              <w:t>% of</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60" w:type="dxa"/>
            <w:vAlign w:val="bottom"/>
          </w:tcPr>
          <w:p>
            <w:pPr>
              <w:jc w:val="right"/>
              <w:ind w:right="109"/>
              <w:spacing w:after="0" w:line="84" w:lineRule="exact"/>
              <w:rPr>
                <w:sz w:val="20"/>
                <w:szCs w:val="20"/>
                <w:color w:val="auto"/>
              </w:rPr>
            </w:pPr>
            <w:r>
              <w:rPr>
                <w:rFonts w:ascii="Times New Roman" w:cs="Times New Roman" w:eastAsia="Times New Roman" w:hAnsi="Times New Roman"/>
                <w:sz w:val="8"/>
                <w:szCs w:val="8"/>
                <w:b w:val="1"/>
                <w:bCs w:val="1"/>
                <w:color w:val="auto"/>
              </w:rPr>
              <w:t>% of</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80" w:type="dxa"/>
            <w:vAlign w:val="bottom"/>
          </w:tcPr>
          <w:p>
            <w:pPr>
              <w:jc w:val="right"/>
              <w:ind w:right="189"/>
              <w:spacing w:after="0" w:line="84" w:lineRule="exact"/>
              <w:rPr>
                <w:sz w:val="20"/>
                <w:szCs w:val="20"/>
                <w:color w:val="auto"/>
              </w:rPr>
            </w:pPr>
            <w:r>
              <w:rPr>
                <w:rFonts w:ascii="Times New Roman" w:cs="Times New Roman" w:eastAsia="Times New Roman" w:hAnsi="Times New Roman"/>
                <w:sz w:val="8"/>
                <w:szCs w:val="8"/>
                <w:b w:val="1"/>
                <w:bCs w:val="1"/>
                <w:color w:val="auto"/>
              </w:rPr>
              <w:t>% of</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20" w:type="dxa"/>
            <w:vAlign w:val="bottom"/>
          </w:tcPr>
          <w:p>
            <w:pPr>
              <w:jc w:val="right"/>
              <w:ind w:right="109"/>
              <w:spacing w:after="0" w:line="84" w:lineRule="exact"/>
              <w:rPr>
                <w:sz w:val="20"/>
                <w:szCs w:val="20"/>
                <w:color w:val="auto"/>
              </w:rPr>
            </w:pPr>
            <w:r>
              <w:rPr>
                <w:rFonts w:ascii="Times New Roman" w:cs="Times New Roman" w:eastAsia="Times New Roman" w:hAnsi="Times New Roman"/>
                <w:sz w:val="8"/>
                <w:szCs w:val="8"/>
                <w:b w:val="1"/>
                <w:bCs w:val="1"/>
                <w:color w:val="auto"/>
              </w:rPr>
              <w:t>% of</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80" w:type="dxa"/>
            <w:vAlign w:val="bottom"/>
          </w:tcPr>
          <w:p>
            <w:pPr>
              <w:jc w:val="right"/>
              <w:ind w:right="189"/>
              <w:spacing w:after="0" w:line="84" w:lineRule="exact"/>
              <w:rPr>
                <w:sz w:val="20"/>
                <w:szCs w:val="20"/>
                <w:color w:val="auto"/>
              </w:rPr>
            </w:pPr>
            <w:r>
              <w:rPr>
                <w:rFonts w:ascii="Times New Roman" w:cs="Times New Roman" w:eastAsia="Times New Roman" w:hAnsi="Times New Roman"/>
                <w:sz w:val="8"/>
                <w:szCs w:val="8"/>
                <w:b w:val="1"/>
                <w:bCs w:val="1"/>
                <w:color w:val="auto"/>
              </w:rPr>
              <w:t>% of</w:t>
            </w:r>
          </w:p>
        </w:tc>
        <w:tc>
          <w:tcPr>
            <w:tcW w:w="0" w:type="dxa"/>
            <w:vAlign w:val="bottom"/>
          </w:tcPr>
          <w:p>
            <w:pPr>
              <w:spacing w:after="0"/>
              <w:rPr>
                <w:sz w:val="1"/>
                <w:szCs w:val="1"/>
                <w:color w:val="auto"/>
              </w:rPr>
            </w:pPr>
          </w:p>
        </w:tc>
      </w:tr>
      <w:tr>
        <w:trPr>
          <w:trHeight w:val="130"/>
        </w:trPr>
        <w:tc>
          <w:tcPr>
            <w:tcW w:w="17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4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1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6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420" w:type="dxa"/>
            <w:vAlign w:val="bottom"/>
          </w:tcPr>
          <w:p>
            <w:pPr>
              <w:jc w:val="right"/>
              <w:ind w:right="10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480" w:type="dxa"/>
            <w:vAlign w:val="bottom"/>
          </w:tcPr>
          <w:p>
            <w:pPr>
              <w:jc w:val="right"/>
              <w:ind w:right="16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8"/>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Credit Card</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22,355</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w:t>
            </w: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4,927</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67%</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18,880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7,758</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17,599</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1,361</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43"/>
        </w:trPr>
        <w:tc>
          <w:tcPr>
            <w:tcW w:w="1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Consumer Banking</w:t>
            </w:r>
          </w:p>
        </w:tc>
        <w:tc>
          <w:tcPr>
            <w:tcW w:w="140" w:type="dxa"/>
            <w:vAlign w:val="bottom"/>
          </w:tcPr>
          <w:p>
            <w:pPr>
              <w:spacing w:after="0"/>
              <w:rPr>
                <w:sz w:val="12"/>
                <w:szCs w:val="12"/>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9,434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45"/>
        </w:trPr>
        <w:tc>
          <w:tcPr>
            <w:tcW w:w="17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Commercial Banking</w:t>
            </w:r>
            <w:r>
              <w:rPr>
                <w:rFonts w:ascii="Times New Roman" w:cs="Times New Roman" w:eastAsia="Times New Roman" w:hAnsi="Times New Roman"/>
                <w:sz w:val="14"/>
                <w:szCs w:val="14"/>
                <w:color w:val="auto"/>
                <w:vertAlign w:val="superscript"/>
              </w:rPr>
              <w:t>(3)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3,590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4"/>
        </w:trPr>
        <w:tc>
          <w:tcPr>
            <w:tcW w:w="1740" w:type="dxa"/>
            <w:vAlign w:val="bottom"/>
            <w:tcBorders>
              <w:bottom w:val="single" w:sz="8" w:color="CCEEFF"/>
            </w:tcBorders>
            <w:gridSpan w:val="2"/>
          </w:tcPr>
          <w:p>
            <w:pPr>
              <w:spacing w:after="0" w:line="144" w:lineRule="exact"/>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(3)</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(1,129)</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(3)</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w w:val="92"/>
              </w:rPr>
              <w:t>(660)</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color w:val="auto"/>
                <w:w w:val="92"/>
              </w:rPr>
              <w:t>(572)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34,250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7,360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100%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30,435</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12,394</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28,523</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2,717</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tabs>
          <w:tab w:leader="none" w:pos="208" w:val="left"/>
        </w:tabs>
        <w:numPr>
          <w:ilvl w:val="0"/>
          <w:numId w:val="2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Total net revenue (loss) consists of net interest income and non-interest income.</w:t>
      </w:r>
    </w:p>
    <w:p>
      <w:pPr>
        <w:spacing w:after="0" w:line="23"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2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Net income (loss) for our business segments and the Other category is based on income (loss) from continuing operations, net of tax.</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20" w:lineRule="auto"/>
        <w:tabs>
          <w:tab w:leader="none" w:pos="200" w:val="left"/>
        </w:tabs>
        <w:numPr>
          <w:ilvl w:val="0"/>
          <w:numId w:val="2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Credit Card Business</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primary sources of revenue for our Credit Card business are net interest income, net interchange income and fees collected from customers. Expenses primarily consist of the provision for credit losses, operating costs and marketing expenses.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Credit Card business generated net income from continuing operations of $4.9 billion, $7.8 billion and $1.4 billion in 2022, 2021 and 2020, respectively.</w:t>
      </w:r>
    </w:p>
    <w:p>
      <w:pPr>
        <w:spacing w:after="0" w:line="200" w:lineRule="exact"/>
        <w:rPr>
          <w:sz w:val="20"/>
          <w:szCs w:val="20"/>
          <w:color w:val="auto"/>
        </w:rPr>
      </w:pPr>
    </w:p>
    <w:p>
      <w:pPr>
        <w:spacing w:after="0" w:line="36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57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58" w:name="page59"/>
    <w:bookmarkEnd w:id="58"/>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8 summarizes the financial results of our Credit Card business and displays selected key metrics for the periods indicated.</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8: Credit Card Business Results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9"/>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966"/>
              <w:spacing w:after="0"/>
              <w:rPr>
                <w:sz w:val="20"/>
                <w:szCs w:val="20"/>
                <w:color w:val="auto"/>
              </w:rPr>
            </w:pPr>
            <w:r>
              <w:rPr>
                <w:rFonts w:ascii="Times New Roman" w:cs="Times New Roman" w:eastAsia="Times New Roman" w:hAnsi="Times New Roman"/>
                <w:sz w:val="11"/>
                <w:szCs w:val="11"/>
                <w:b w:val="1"/>
                <w:bCs w:val="1"/>
                <w:color w:val="auto"/>
                <w:w w:val="94"/>
              </w:rPr>
              <w:t>Change</w:t>
            </w:r>
          </w:p>
        </w:tc>
      </w:tr>
      <w:tr>
        <w:trPr>
          <w:trHeight w:val="136"/>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100" w:type="dxa"/>
            <w:vAlign w:val="bottom"/>
          </w:tcPr>
          <w:p>
            <w:pPr>
              <w:spacing w:after="0"/>
              <w:rPr>
                <w:sz w:val="11"/>
                <w:szCs w:val="11"/>
                <w:color w:val="auto"/>
              </w:rPr>
            </w:pPr>
          </w:p>
        </w:tc>
        <w:tc>
          <w:tcPr>
            <w:tcW w:w="108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1"/>
                <w:szCs w:val="11"/>
                <w:color w:val="auto"/>
              </w:rPr>
            </w:pP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2022 vs. 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2021 vs. 2020</w:t>
            </w:r>
          </w:p>
        </w:tc>
      </w:tr>
      <w:tr>
        <w:trPr>
          <w:trHeight w:val="134"/>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income statement data:</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16,584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14,074</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13,776</w:t>
            </w:r>
          </w:p>
        </w:tc>
        <w:tc>
          <w:tcPr>
            <w:tcW w:w="11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18%</w:t>
            </w:r>
          </w:p>
        </w:tc>
        <w:tc>
          <w:tcPr>
            <w:tcW w:w="138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2%</w:t>
            </w: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5,771</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4,806</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3,823</w:t>
            </w:r>
          </w:p>
        </w:tc>
        <w:tc>
          <w:tcPr>
            <w:tcW w:w="11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20</w:t>
            </w:r>
          </w:p>
        </w:tc>
        <w:tc>
          <w:tcPr>
            <w:tcW w:w="1380" w:type="dxa"/>
            <w:vAlign w:val="bottom"/>
            <w:gridSpan w:val="3"/>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26</w:t>
            </w:r>
          </w:p>
        </w:tc>
      </w:tr>
      <w:tr>
        <w:trPr>
          <w:trHeight w:val="133"/>
        </w:trPr>
        <w:tc>
          <w:tcPr>
            <w:tcW w:w="5140" w:type="dxa"/>
            <w:vAlign w:val="bottom"/>
            <w:gridSpan w:val="2"/>
          </w:tcPr>
          <w:p>
            <w:pPr>
              <w:spacing w:after="0" w:line="133" w:lineRule="exact"/>
              <w:rPr>
                <w:sz w:val="20"/>
                <w:szCs w:val="20"/>
                <w:color w:val="auto"/>
              </w:rPr>
            </w:pPr>
            <w:r>
              <w:rPr>
                <w:rFonts w:ascii="Times New Roman" w:cs="Times New Roman" w:eastAsia="Times New Roman" w:hAnsi="Times New Roman"/>
                <w:sz w:val="11"/>
                <w:szCs w:val="11"/>
                <w:color w:val="auto"/>
              </w:rPr>
              <w:t>Total net revenue</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1"/>
                <w:szCs w:val="11"/>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22,355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18,880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17,599</w:t>
            </w:r>
          </w:p>
        </w:tc>
        <w:tc>
          <w:tcPr>
            <w:tcW w:w="110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18</w:t>
            </w:r>
          </w:p>
        </w:tc>
        <w:tc>
          <w:tcPr>
            <w:tcW w:w="1380" w:type="dxa"/>
            <w:vAlign w:val="bottom"/>
            <w:gridSpan w:val="3"/>
          </w:tcPr>
          <w:p>
            <w:pPr>
              <w:jc w:val="right"/>
              <w:ind w:right="146"/>
              <w:spacing w:after="0" w:line="121" w:lineRule="exact"/>
              <w:rPr>
                <w:sz w:val="20"/>
                <w:szCs w:val="20"/>
                <w:color w:val="auto"/>
              </w:rPr>
            </w:pPr>
            <w:r>
              <w:rPr>
                <w:rFonts w:ascii="Times New Roman" w:cs="Times New Roman" w:eastAsia="Times New Roman" w:hAnsi="Times New Roman"/>
                <w:sz w:val="11"/>
                <w:szCs w:val="11"/>
                <w:color w:val="auto"/>
              </w:rPr>
              <w:t>7</w:t>
            </w:r>
          </w:p>
        </w:tc>
      </w:tr>
      <w:tr>
        <w:trPr>
          <w:trHeight w:val="14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(benefit) for credit losses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4,265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(902)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7,327</w:t>
            </w:r>
          </w:p>
        </w:tc>
        <w:tc>
          <w:tcPr>
            <w:tcW w:w="11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3"/>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11,627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9,621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8,491</w:t>
            </w:r>
          </w:p>
        </w:tc>
        <w:tc>
          <w:tcPr>
            <w:tcW w:w="1100" w:type="dxa"/>
            <w:vAlign w:val="bottom"/>
            <w:tcBorders>
              <w:bottom w:val="single" w:sz="8" w:color="CCEEFF"/>
            </w:tcBorders>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21</w:t>
            </w:r>
          </w:p>
        </w:tc>
        <w:tc>
          <w:tcPr>
            <w:tcW w:w="1380" w:type="dxa"/>
            <w:vAlign w:val="bottom"/>
            <w:tcBorders>
              <w:bottom w:val="single" w:sz="8" w:color="CCEEFF"/>
            </w:tcBorders>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13</w:t>
            </w:r>
          </w:p>
        </w:tc>
      </w:tr>
      <w:tr>
        <w:trPr>
          <w:trHeight w:val="13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from continuing operations before income taxes</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6,463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10,161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1,781</w:t>
            </w:r>
          </w:p>
        </w:tc>
        <w:tc>
          <w:tcPr>
            <w:tcW w:w="11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(36)</w:t>
            </w:r>
          </w:p>
        </w:tc>
        <w:tc>
          <w:tcPr>
            <w:tcW w:w="1380" w:type="dxa"/>
            <w:vAlign w:val="bottom"/>
            <w:gridSpan w:val="3"/>
            <w:shd w:val="clear" w:color="auto" w:fill="CCEEFF"/>
          </w:tcPr>
          <w:p>
            <w:pPr>
              <w:jc w:val="right"/>
              <w:ind w:right="186"/>
              <w:spacing w:after="0" w:line="121" w:lineRule="exact"/>
              <w:rPr>
                <w:sz w:val="20"/>
                <w:szCs w:val="20"/>
                <w:color w:val="auto"/>
              </w:rPr>
            </w:pPr>
            <w:r>
              <w:rPr>
                <w:rFonts w:ascii="Times New Roman" w:cs="Times New Roman" w:eastAsia="Times New Roman" w:hAnsi="Times New Roman"/>
                <w:sz w:val="11"/>
                <w:szCs w:val="11"/>
                <w:color w:val="auto"/>
              </w:rPr>
              <w:t>**</w:t>
            </w:r>
          </w:p>
        </w:tc>
      </w:tr>
      <w:tr>
        <w:trPr>
          <w:trHeight w:val="143"/>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provision</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1,536</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2,403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420</w:t>
            </w:r>
          </w:p>
        </w:tc>
        <w:tc>
          <w:tcPr>
            <w:tcW w:w="1100" w:type="dxa"/>
            <w:vAlign w:val="bottom"/>
            <w:tcBorders>
              <w:bottom w:val="single" w:sz="8" w:color="CCEEFF"/>
            </w:tcBorders>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(36)</w:t>
            </w:r>
          </w:p>
        </w:tc>
        <w:tc>
          <w:tcPr>
            <w:tcW w:w="1380" w:type="dxa"/>
            <w:vAlign w:val="bottom"/>
            <w:tcBorders>
              <w:bottom w:val="single" w:sz="8" w:color="CCEEFF"/>
            </w:tcBorders>
            <w:gridSpan w:val="3"/>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from continuing operations,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4,927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7,758</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1,361</w:t>
            </w:r>
          </w:p>
        </w:tc>
        <w:tc>
          <w:tcPr>
            <w:tcW w:w="110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(36)</w:t>
            </w:r>
          </w:p>
        </w:tc>
        <w:tc>
          <w:tcPr>
            <w:tcW w:w="1380" w:type="dxa"/>
            <w:vAlign w:val="bottom"/>
            <w:tcBorders>
              <w:bottom w:val="single" w:sz="8" w:color="CCEEFF"/>
            </w:tcBorders>
            <w:gridSpan w:val="3"/>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r>
      <w:tr>
        <w:trPr>
          <w:trHeight w:val="121"/>
        </w:trPr>
        <w:tc>
          <w:tcPr>
            <w:tcW w:w="514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Selected performance metrics:</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loans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120,392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102,731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110,082</w:t>
            </w:r>
          </w:p>
        </w:tc>
        <w:tc>
          <w:tcPr>
            <w:tcW w:w="11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17</w:t>
            </w:r>
          </w:p>
        </w:tc>
        <w:tc>
          <w:tcPr>
            <w:tcW w:w="138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(7)</w:t>
            </w:r>
          </w:p>
        </w:tc>
      </w:tr>
      <w:tr>
        <w:trPr>
          <w:trHeight w:val="144"/>
        </w:trPr>
        <w:tc>
          <w:tcPr>
            <w:tcW w:w="51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Average yield on loans</w:t>
            </w:r>
            <w:r>
              <w:rPr>
                <w:rFonts w:ascii="Times New Roman" w:cs="Times New Roman" w:eastAsia="Times New Roman" w:hAnsi="Times New Roman"/>
                <w:sz w:val="14"/>
                <w:szCs w:val="14"/>
                <w:color w:val="auto"/>
                <w:vertAlign w:val="superscript"/>
              </w:rPr>
              <w:t>(2)</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16.21 %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14.08 %</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161bps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52bps</w:t>
            </w:r>
          </w:p>
        </w:tc>
      </w:tr>
      <w:tr>
        <w:trPr>
          <w:trHeight w:val="144"/>
        </w:trPr>
        <w:tc>
          <w:tcPr>
            <w:tcW w:w="5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Total net revenue margin</w:t>
            </w:r>
            <w:r>
              <w:rPr>
                <w:rFonts w:ascii="Times New Roman" w:cs="Times New Roman" w:eastAsia="Times New Roman" w:hAnsi="Times New Roman"/>
                <w:sz w:val="14"/>
                <w:szCs w:val="14"/>
                <w:color w:val="auto"/>
                <w:vertAlign w:val="superscript"/>
              </w:rPr>
              <w:t>(3)</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18.47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17.81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15.91</w:t>
            </w:r>
          </w:p>
        </w:tc>
        <w:tc>
          <w:tcPr>
            <w:tcW w:w="11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66</w:t>
            </w:r>
          </w:p>
        </w:tc>
        <w:tc>
          <w:tcPr>
            <w:tcW w:w="1380" w:type="dxa"/>
            <w:vAlign w:val="bottom"/>
            <w:gridSpan w:val="3"/>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190</w:t>
            </w: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charge-offs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3,048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1,956</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4,270</w:t>
            </w:r>
          </w:p>
        </w:tc>
        <w:tc>
          <w:tcPr>
            <w:tcW w:w="11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56%</w:t>
            </w:r>
          </w:p>
        </w:tc>
        <w:tc>
          <w:tcPr>
            <w:tcW w:w="138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(54)%</w:t>
            </w: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charge-off rate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2.53 %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3.88 %</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63bps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(198)bps</w:t>
            </w:r>
          </w:p>
        </w:tc>
      </w:tr>
      <w:tr>
        <w:trPr>
          <w:trHeight w:val="142"/>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 volume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587,283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527,605</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414,312</w:t>
            </w:r>
          </w:p>
        </w:tc>
        <w:tc>
          <w:tcPr>
            <w:tcW w:w="11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11%</w:t>
            </w:r>
          </w:p>
        </w:tc>
        <w:tc>
          <w:tcPr>
            <w:tcW w:w="138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27%</w:t>
            </w:r>
          </w:p>
        </w:tc>
      </w:tr>
      <w:tr>
        <w:trPr>
          <w:trHeight w:val="324"/>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100" w:type="dxa"/>
            <w:vAlign w:val="bottom"/>
          </w:tcPr>
          <w:p>
            <w:pPr>
              <w:spacing w:after="0"/>
              <w:rPr>
                <w:sz w:val="24"/>
                <w:szCs w:val="24"/>
                <w:color w:val="auto"/>
              </w:rPr>
            </w:pP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40" w:type="dxa"/>
            <w:vAlign w:val="bottom"/>
          </w:tcPr>
          <w:p>
            <w:pPr>
              <w:spacing w:after="0"/>
              <w:rPr>
                <w:sz w:val="24"/>
                <w:szCs w:val="24"/>
                <w:color w:val="auto"/>
              </w:rPr>
            </w:pPr>
          </w:p>
        </w:tc>
        <w:tc>
          <w:tcPr>
            <w:tcW w:w="9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35"/>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period-end data:</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137,730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114,772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386"/>
              <w:spacing w:after="0"/>
              <w:rPr>
                <w:sz w:val="20"/>
                <w:szCs w:val="20"/>
                <w:color w:val="auto"/>
              </w:rPr>
            </w:pPr>
            <w:r>
              <w:rPr>
                <w:rFonts w:ascii="Times New Roman" w:cs="Times New Roman" w:eastAsia="Times New Roman" w:hAnsi="Times New Roman"/>
                <w:sz w:val="11"/>
                <w:szCs w:val="11"/>
                <w:color w:val="auto"/>
                <w:w w:val="98"/>
              </w:rPr>
              <w:t>20%</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30+ day performing delinquency rate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3.46 %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left="406"/>
              <w:spacing w:after="0"/>
              <w:rPr>
                <w:sz w:val="20"/>
                <w:szCs w:val="20"/>
                <w:color w:val="auto"/>
              </w:rPr>
            </w:pPr>
            <w:r>
              <w:rPr>
                <w:rFonts w:ascii="Times New Roman" w:cs="Times New Roman" w:eastAsia="Times New Roman" w:hAnsi="Times New Roman"/>
                <w:sz w:val="11"/>
                <w:szCs w:val="11"/>
                <w:color w:val="auto"/>
                <w:w w:val="94"/>
              </w:rPr>
              <w:t>118bps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30+ day delinquency rate</w:t>
            </w:r>
          </w:p>
        </w:tc>
        <w:tc>
          <w:tcPr>
            <w:tcW w:w="10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3.46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5"/>
        </w:trPr>
        <w:tc>
          <w:tcPr>
            <w:tcW w:w="51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Nonperforming loan rate</w:t>
            </w:r>
            <w:r>
              <w:rPr>
                <w:rFonts w:ascii="Times New Roman" w:cs="Times New Roman" w:eastAsia="Times New Roman" w:hAnsi="Times New Roman"/>
                <w:sz w:val="14"/>
                <w:szCs w:val="14"/>
                <w:color w:val="auto"/>
                <w:vertAlign w:val="superscript"/>
              </w:rPr>
              <w:t>(4)</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0.01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9,545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8,345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left="386"/>
              <w:spacing w:after="0"/>
              <w:rPr>
                <w:sz w:val="20"/>
                <w:szCs w:val="20"/>
                <w:color w:val="auto"/>
              </w:rPr>
            </w:pPr>
            <w:r>
              <w:rPr>
                <w:rFonts w:ascii="Times New Roman" w:cs="Times New Roman" w:eastAsia="Times New Roman" w:hAnsi="Times New Roman"/>
                <w:sz w:val="11"/>
                <w:szCs w:val="11"/>
                <w:color w:val="auto"/>
                <w:w w:val="98"/>
              </w:rPr>
              <w:t>14%</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Allowance coverage ratio</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6.93 %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left="386"/>
              <w:spacing w:after="0"/>
              <w:rPr>
                <w:sz w:val="20"/>
                <w:szCs w:val="20"/>
                <w:color w:val="auto"/>
              </w:rPr>
            </w:pPr>
            <w:r>
              <w:rPr>
                <w:rFonts w:ascii="Times New Roman" w:cs="Times New Roman" w:eastAsia="Times New Roman" w:hAnsi="Times New Roman"/>
                <w:sz w:val="11"/>
                <w:szCs w:val="11"/>
                <w:color w:val="auto"/>
                <w:w w:val="95"/>
              </w:rPr>
              <w:t>(34)bps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28" w:lineRule="auto"/>
        <w:tabs>
          <w:tab w:leader="none" w:pos="200" w:val="left"/>
        </w:tabs>
        <w:numPr>
          <w:ilvl w:val="0"/>
          <w:numId w:val="2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recognize finance charges and fee income on open-ended loans in accordance with the contractual provisions of the credit arrangements and charge off any uncollectible amounts. Total net revenue was reduced by $946 million, $629 million and $1.1 billion in 2022, 2021 and 2020, respectively, for finance charges and fees charged-off as uncollectible.</w:t>
      </w:r>
    </w:p>
    <w:p>
      <w:pPr>
        <w:spacing w:after="0" w:line="15"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2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Average yield is calculated based on interest income for the period divided by average loans during the period and does not include any allocations, such as funds transfer pricing.</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36" w:lineRule="auto"/>
        <w:tabs>
          <w:tab w:leader="none" w:pos="208" w:val="left"/>
        </w:tabs>
        <w:numPr>
          <w:ilvl w:val="0"/>
          <w:numId w:val="2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Total net revenue margin is calculated based on total net revenue for the period divided by average loans during the period.</w:t>
      </w:r>
    </w:p>
    <w:p>
      <w:pPr>
        <w:spacing w:after="0" w:line="29"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2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Within our credit card loan portfolio, only certain loans in our international card businesses are classified as nonperforming. See “Nonperforming Loans and Other Nonperforming Assets” for additional information.</w:t>
      </w:r>
    </w:p>
    <w:p>
      <w:pPr>
        <w:spacing w:after="0" w:line="38" w:lineRule="exact"/>
        <w:rPr>
          <w:sz w:val="20"/>
          <w:szCs w:val="20"/>
          <w:color w:val="auto"/>
        </w:rPr>
      </w:pPr>
    </w:p>
    <w:p>
      <w:pPr>
        <w:ind w:left="8"/>
        <w:spacing w:after="0"/>
        <w:tabs>
          <w:tab w:leader="none" w:pos="168" w:val="left"/>
        </w:tabs>
        <w:rPr>
          <w:sz w:val="20"/>
          <w:szCs w:val="20"/>
          <w:color w:val="auto"/>
        </w:rPr>
      </w:pPr>
      <w:r>
        <w:rPr>
          <w:rFonts w:ascii="Times New Roman" w:cs="Times New Roman" w:eastAsia="Times New Roman" w:hAnsi="Times New Roman"/>
          <w:sz w:val="10"/>
          <w:szCs w:val="10"/>
          <w:color w:val="auto"/>
        </w:rPr>
        <w:t>**</w:t>
      </w:r>
      <w:r>
        <w:rPr>
          <w:sz w:val="20"/>
          <w:szCs w:val="20"/>
          <w:color w:val="auto"/>
        </w:rPr>
        <w:tab/>
      </w:r>
      <w:r>
        <w:rPr>
          <w:rFonts w:ascii="Times New Roman" w:cs="Times New Roman" w:eastAsia="Times New Roman" w:hAnsi="Times New Roman"/>
          <w:sz w:val="8"/>
          <w:szCs w:val="8"/>
          <w:color w:val="auto"/>
        </w:rPr>
        <w:t>Not meaningful.</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Key factors affecting the results of our Credit Card business for 2022 compared to 2021, and changes in financial condition and credit performance between December 31, 2022 and 2021 include the following:</w:t>
      </w:r>
    </w:p>
    <w:p>
      <w:pPr>
        <w:spacing w:after="0" w:line="112" w:lineRule="exact"/>
        <w:rPr>
          <w:sz w:val="20"/>
          <w:szCs w:val="20"/>
          <w:color w:val="auto"/>
        </w:rPr>
      </w:pPr>
    </w:p>
    <w:p>
      <w:pPr>
        <w:ind w:left="328" w:hanging="220"/>
        <w:spacing w:after="0"/>
        <w:tabs>
          <w:tab w:leader="none" w:pos="32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Net Interest Income: </w:t>
      </w:r>
      <w:r>
        <w:rPr>
          <w:rFonts w:ascii="Times New Roman" w:cs="Times New Roman" w:eastAsia="Times New Roman" w:hAnsi="Times New Roman"/>
          <w:sz w:val="12"/>
          <w:szCs w:val="12"/>
          <w:color w:val="auto"/>
        </w:rPr>
        <w:t>Net interest income increased by $2.5 billion to $16.6 billion in 2022 primarily driven by higher average loan balances.</w:t>
      </w:r>
    </w:p>
    <w:p>
      <w:pPr>
        <w:spacing w:after="0" w:line="114" w:lineRule="exact"/>
        <w:rPr>
          <w:rFonts w:ascii="Times New Roman" w:cs="Times New Roman" w:eastAsia="Times New Roman" w:hAnsi="Times New Roman"/>
          <w:sz w:val="12"/>
          <w:szCs w:val="12"/>
          <w:color w:val="auto"/>
        </w:rPr>
      </w:pPr>
    </w:p>
    <w:p>
      <w:pPr>
        <w:ind w:left="308" w:hanging="200"/>
        <w:spacing w:after="0"/>
        <w:tabs>
          <w:tab w:leader="none" w:pos="308"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i w:val="1"/>
          <w:iCs w:val="1"/>
          <w:color w:val="auto"/>
        </w:rPr>
        <w:t xml:space="preserve">Non-Interest Income: </w:t>
      </w:r>
      <w:r>
        <w:rPr>
          <w:rFonts w:ascii="Times New Roman" w:cs="Times New Roman" w:eastAsia="Times New Roman" w:hAnsi="Times New Roman"/>
          <w:sz w:val="12"/>
          <w:szCs w:val="12"/>
          <w:color w:val="auto"/>
        </w:rPr>
        <w:t>Non-interest income increased by $965 million to $5.8 billion in 2022 primarily driven by higher net interchange fees due to an increase in purchase volume.</w:t>
      </w:r>
    </w:p>
    <w:p>
      <w:pPr>
        <w:spacing w:after="0" w:line="114" w:lineRule="exact"/>
        <w:rPr>
          <w:rFonts w:ascii="Times New Roman" w:cs="Times New Roman" w:eastAsia="Times New Roman" w:hAnsi="Times New Roman"/>
          <w:sz w:val="11"/>
          <w:szCs w:val="11"/>
          <w:color w:val="auto"/>
        </w:rPr>
      </w:pPr>
    </w:p>
    <w:p>
      <w:pPr>
        <w:ind w:left="328" w:hanging="220"/>
        <w:spacing w:after="0" w:line="283" w:lineRule="auto"/>
        <w:tabs>
          <w:tab w:leader="none" w:pos="321"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i w:val="1"/>
          <w:iCs w:val="1"/>
          <w:color w:val="auto"/>
        </w:rPr>
        <w:t xml:space="preserve">Provision for Credit Losses: </w:t>
      </w:r>
      <w:r>
        <w:rPr>
          <w:rFonts w:ascii="Times New Roman" w:cs="Times New Roman" w:eastAsia="Times New Roman" w:hAnsi="Times New Roman"/>
          <w:sz w:val="12"/>
          <w:szCs w:val="12"/>
          <w:color w:val="auto"/>
        </w:rPr>
        <w:t>Provision for credit losses increased by $5.2 billion to $4.3 billion in 2022 primarily driven by a net allowance build due to credit normalization, a modestly worse economic outlook and loan growth,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compared to a net allowance release in 2021.</w:t>
      </w:r>
    </w:p>
    <w:p>
      <w:pPr>
        <w:spacing w:after="0" w:line="200" w:lineRule="exact"/>
        <w:rPr>
          <w:sz w:val="20"/>
          <w:szCs w:val="20"/>
          <w:color w:val="auto"/>
        </w:rPr>
      </w:pPr>
    </w:p>
    <w:p>
      <w:pPr>
        <w:spacing w:after="0" w:line="328"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58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59" w:name="page60"/>
    <w:bookmarkEnd w:id="5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8" w:hanging="220"/>
        <w:spacing w:after="0"/>
        <w:tabs>
          <w:tab w:leader="none" w:pos="32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Non-Interest Expense: </w:t>
      </w:r>
      <w:r>
        <w:rPr>
          <w:rFonts w:ascii="Times New Roman" w:cs="Times New Roman" w:eastAsia="Times New Roman" w:hAnsi="Times New Roman"/>
          <w:sz w:val="12"/>
          <w:szCs w:val="12"/>
          <w:color w:val="auto"/>
        </w:rPr>
        <w:t>Non-interest expense increased by $2.0 billion to $11.6 billion in 2022 primarily driven by increased marketing spend, as well as continued investment in technology.</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Loans Held for Investment:</w:t>
      </w:r>
    </w:p>
    <w:p>
      <w:pPr>
        <w:spacing w:after="0" w:line="35" w:lineRule="exact"/>
        <w:rPr>
          <w:sz w:val="20"/>
          <w:szCs w:val="20"/>
          <w:color w:val="auto"/>
        </w:rPr>
      </w:pPr>
    </w:p>
    <w:p>
      <w:pPr>
        <w:ind w:left="328" w:hanging="220"/>
        <w:spacing w:after="0" w:line="264" w:lineRule="auto"/>
        <w:tabs>
          <w:tab w:leader="none" w:pos="325"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Period-end loans held for investment increased by $23.0 billion to $137.7 billion as of December 31, 2022 from December 31, 2021 and average loans held for investment increased by $17.7 billion to $120.4 billion in 2022 compared to 2021 primarily driven by continued strength in purchase volume, which outpaced customer payments.</w:t>
      </w:r>
    </w:p>
    <w:p>
      <w:pPr>
        <w:spacing w:after="0" w:line="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Net Charge-Off and Delinquency Metrics:</w:t>
      </w:r>
    </w:p>
    <w:p>
      <w:pPr>
        <w:spacing w:after="0" w:line="107" w:lineRule="exact"/>
        <w:rPr>
          <w:sz w:val="20"/>
          <w:szCs w:val="20"/>
          <w:color w:val="auto"/>
        </w:rPr>
      </w:pPr>
    </w:p>
    <w:p>
      <w:pPr>
        <w:ind w:left="328" w:hanging="220"/>
        <w:spacing w:after="0"/>
        <w:tabs>
          <w:tab w:leader="none" w:pos="328" w:val="left"/>
        </w:tabs>
        <w:numPr>
          <w:ilvl w:val="0"/>
          <w:numId w:val="3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net charge-off rate increased by 63 basis points to 2.53% in 2022 compared to 2021 primarily driven by continued credit normalization.</w:t>
      </w:r>
    </w:p>
    <w:p>
      <w:pPr>
        <w:spacing w:after="0" w:line="150" w:lineRule="exact"/>
        <w:rPr>
          <w:rFonts w:ascii="Times New Roman" w:cs="Times New Roman" w:eastAsia="Times New Roman" w:hAnsi="Times New Roman"/>
          <w:sz w:val="12"/>
          <w:szCs w:val="12"/>
          <w:i w:val="1"/>
          <w:iCs w:val="1"/>
          <w:color w:val="auto"/>
        </w:rPr>
      </w:pPr>
    </w:p>
    <w:p>
      <w:pPr>
        <w:ind w:left="328" w:hanging="220"/>
        <w:spacing w:after="0"/>
        <w:tabs>
          <w:tab w:leader="none" w:pos="328" w:val="left"/>
        </w:tabs>
        <w:numPr>
          <w:ilvl w:val="0"/>
          <w:numId w:val="3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The 30+ day delinquency rate increased by 117 basis points to 3.46% as of December 31, 2022 from December 31, 2021 primarily driven by continued credit normalization.</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Domestic Card Business</w:t>
      </w:r>
    </w:p>
    <w:p>
      <w:pPr>
        <w:spacing w:after="0" w:line="118"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Domestic Card business generated net income from continuing operations of $4.7 billion, $7.3 billion and $1.2 billion in 2022, 2021 and 2020, respectively. In 2022, 2021 and 2020, the Domestic Card business accounted for greater than 90% of total net revenue of our Credit Card business.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8.1 summarizes the financial results for Domestic Card business and displays selected key metrics for the periods indicated.</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3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8.1: Domestic Card Business Results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98"/>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866"/>
              <w:spacing w:after="0"/>
              <w:rPr>
                <w:sz w:val="20"/>
                <w:szCs w:val="20"/>
                <w:color w:val="auto"/>
              </w:rPr>
            </w:pPr>
            <w:r>
              <w:rPr>
                <w:rFonts w:ascii="Times New Roman" w:cs="Times New Roman" w:eastAsia="Times New Roman" w:hAnsi="Times New Roman"/>
                <w:sz w:val="11"/>
                <w:szCs w:val="11"/>
                <w:b w:val="1"/>
                <w:bCs w:val="1"/>
                <w:color w:val="auto"/>
                <w:w w:val="94"/>
              </w:rPr>
              <w:t>Change</w:t>
            </w:r>
          </w:p>
        </w:tc>
      </w:tr>
      <w:tr>
        <w:trPr>
          <w:trHeight w:val="136"/>
        </w:trPr>
        <w:tc>
          <w:tcPr>
            <w:tcW w:w="536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120" w:type="dxa"/>
            <w:vAlign w:val="bottom"/>
          </w:tcPr>
          <w:p>
            <w:pPr>
              <w:spacing w:after="0"/>
              <w:rPr>
                <w:sz w:val="11"/>
                <w:szCs w:val="11"/>
                <w:color w:val="auto"/>
              </w:rPr>
            </w:pPr>
          </w:p>
        </w:tc>
        <w:tc>
          <w:tcPr>
            <w:tcW w:w="110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2022 vs. 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2021 vs. 2020</w:t>
            </w:r>
          </w:p>
        </w:tc>
      </w:tr>
      <w:tr>
        <w:trPr>
          <w:trHeight w:val="134"/>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income statement data:</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r>
      <w:tr>
        <w:trPr>
          <w:trHeight w:val="143"/>
        </w:trPr>
        <w:tc>
          <w:tcPr>
            <w:tcW w:w="5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15,616</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12,916</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12,599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28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3%</w:t>
            </w:r>
          </w:p>
        </w:tc>
      </w:tr>
      <w:tr>
        <w:trPr>
          <w:trHeight w:val="145"/>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5,363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4,532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3,583</w:t>
            </w:r>
          </w:p>
        </w:tc>
        <w:tc>
          <w:tcPr>
            <w:tcW w:w="9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w:t>
            </w:r>
          </w:p>
        </w:tc>
        <w:tc>
          <w:tcPr>
            <w:tcW w:w="1280" w:type="dxa"/>
            <w:vAlign w:val="bottom"/>
            <w:gridSpan w:val="3"/>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26</w:t>
            </w:r>
          </w:p>
        </w:tc>
      </w:tr>
      <w:tr>
        <w:trPr>
          <w:trHeight w:val="133"/>
        </w:trPr>
        <w:tc>
          <w:tcPr>
            <w:tcW w:w="5360" w:type="dxa"/>
            <w:vAlign w:val="bottom"/>
            <w:gridSpan w:val="2"/>
          </w:tcPr>
          <w:p>
            <w:pPr>
              <w:spacing w:after="0" w:line="133" w:lineRule="exact"/>
              <w:rPr>
                <w:sz w:val="20"/>
                <w:szCs w:val="20"/>
                <w:color w:val="auto"/>
              </w:rPr>
            </w:pPr>
            <w:r>
              <w:rPr>
                <w:rFonts w:ascii="Times New Roman" w:cs="Times New Roman" w:eastAsia="Times New Roman" w:hAnsi="Times New Roman"/>
                <w:sz w:val="11"/>
                <w:szCs w:val="11"/>
                <w:color w:val="auto"/>
              </w:rPr>
              <w:t>Total net revenue</w:t>
            </w:r>
            <w:r>
              <w:rPr>
                <w:rFonts w:ascii="Times New Roman" w:cs="Times New Roman" w:eastAsia="Times New Roman" w:hAnsi="Times New Roman"/>
                <w:sz w:val="14"/>
                <w:szCs w:val="14"/>
                <w:color w:val="auto"/>
                <w:vertAlign w:val="superscript"/>
              </w:rPr>
              <w:t>(1)</w:t>
            </w:r>
          </w:p>
        </w:tc>
        <w:tc>
          <w:tcPr>
            <w:tcW w:w="12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20,979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17,448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16,182</w:t>
            </w:r>
          </w:p>
        </w:tc>
        <w:tc>
          <w:tcPr>
            <w:tcW w:w="9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20</w:t>
            </w:r>
          </w:p>
        </w:tc>
        <w:tc>
          <w:tcPr>
            <w:tcW w:w="1280" w:type="dxa"/>
            <w:vAlign w:val="bottom"/>
            <w:gridSpan w:val="3"/>
          </w:tcPr>
          <w:p>
            <w:pPr>
              <w:jc w:val="right"/>
              <w:ind w:right="146"/>
              <w:spacing w:after="0" w:line="121" w:lineRule="exact"/>
              <w:rPr>
                <w:sz w:val="20"/>
                <w:szCs w:val="20"/>
                <w:color w:val="auto"/>
              </w:rPr>
            </w:pPr>
            <w:r>
              <w:rPr>
                <w:rFonts w:ascii="Times New Roman" w:cs="Times New Roman" w:eastAsia="Times New Roman" w:hAnsi="Times New Roman"/>
                <w:sz w:val="11"/>
                <w:szCs w:val="11"/>
                <w:color w:val="auto"/>
              </w:rPr>
              <w:t>8</w:t>
            </w:r>
          </w:p>
        </w:tc>
      </w:tr>
      <w:tr>
        <w:trPr>
          <w:trHeight w:val="144"/>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(benefit) for credit losses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4,020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6,979</w:t>
            </w:r>
          </w:p>
        </w:tc>
        <w:tc>
          <w:tcPr>
            <w:tcW w:w="9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10,827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8,712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7,625</w:t>
            </w:r>
          </w:p>
        </w:tc>
        <w:tc>
          <w:tcPr>
            <w:tcW w:w="980" w:type="dxa"/>
            <w:vAlign w:val="bottom"/>
            <w:tcBorders>
              <w:bottom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24</w:t>
            </w:r>
          </w:p>
        </w:tc>
        <w:tc>
          <w:tcPr>
            <w:tcW w:w="1280" w:type="dxa"/>
            <w:vAlign w:val="bottom"/>
            <w:tcBorders>
              <w:bottom w:val="single" w:sz="8" w:color="CCEEFF"/>
            </w:tcBorders>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14</w:t>
            </w:r>
          </w:p>
        </w:tc>
      </w:tr>
      <w:tr>
        <w:trPr>
          <w:trHeight w:val="134"/>
        </w:trPr>
        <w:tc>
          <w:tcPr>
            <w:tcW w:w="536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Income from continuing operations before income taxes</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6,132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9,604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1,578</w:t>
            </w:r>
          </w:p>
        </w:tc>
        <w:tc>
          <w:tcPr>
            <w:tcW w:w="9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w:t>
            </w:r>
          </w:p>
        </w:tc>
        <w:tc>
          <w:tcPr>
            <w:tcW w:w="128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provision</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1,453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2,266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374</w:t>
            </w:r>
          </w:p>
        </w:tc>
        <w:tc>
          <w:tcPr>
            <w:tcW w:w="980" w:type="dxa"/>
            <w:vAlign w:val="bottom"/>
            <w:tcBorders>
              <w:bottom w:val="single" w:sz="8" w:color="CCEEFF"/>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(36)</w:t>
            </w:r>
          </w:p>
        </w:tc>
        <w:tc>
          <w:tcPr>
            <w:tcW w:w="1280" w:type="dxa"/>
            <w:vAlign w:val="bottom"/>
            <w:tcBorders>
              <w:bottom w:val="single" w:sz="8" w:color="CCEEFF"/>
            </w:tcBorders>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36"/>
        </w:trPr>
        <w:tc>
          <w:tcPr>
            <w:tcW w:w="5360" w:type="dxa"/>
            <w:vAlign w:val="bottom"/>
            <w:tcBorders>
              <w:bottom w:val="single" w:sz="8" w:color="CCEEFF"/>
            </w:tcBorders>
            <w:gridSpan w:val="2"/>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Income from continuing operations, net of tax</w:t>
            </w:r>
          </w:p>
        </w:tc>
        <w:tc>
          <w:tcPr>
            <w:tcW w:w="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shd w:val="clear" w:color="auto" w:fill="CCEEFF"/>
          </w:tcPr>
          <w:p>
            <w:pPr>
              <w:jc w:val="right"/>
              <w:ind w:right="46"/>
              <w:spacing w:after="0" w:line="116" w:lineRule="exact"/>
              <w:rPr>
                <w:sz w:val="20"/>
                <w:szCs w:val="20"/>
                <w:color w:val="auto"/>
              </w:rPr>
            </w:pPr>
            <w:r>
              <w:rPr>
                <w:rFonts w:ascii="Times New Roman" w:cs="Times New Roman" w:eastAsia="Times New Roman" w:hAnsi="Times New Roman"/>
                <w:sz w:val="11"/>
                <w:szCs w:val="11"/>
                <w:b w:val="1"/>
                <w:bCs w:val="1"/>
                <w:color w:val="auto"/>
              </w:rPr>
              <w:t>4,679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ind w:right="26"/>
              <w:spacing w:after="0" w:line="116" w:lineRule="exact"/>
              <w:rPr>
                <w:sz w:val="20"/>
                <w:szCs w:val="20"/>
                <w:color w:val="auto"/>
              </w:rPr>
            </w:pPr>
            <w:r>
              <w:rPr>
                <w:rFonts w:ascii="Times New Roman" w:cs="Times New Roman" w:eastAsia="Times New Roman" w:hAnsi="Times New Roman"/>
                <w:sz w:val="11"/>
                <w:szCs w:val="11"/>
                <w:color w:val="auto"/>
              </w:rPr>
              <w:t>7,338</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6"/>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ind w:right="26"/>
              <w:spacing w:after="0" w:line="116" w:lineRule="exact"/>
              <w:rPr>
                <w:sz w:val="20"/>
                <w:szCs w:val="20"/>
                <w:color w:val="auto"/>
              </w:rPr>
            </w:pPr>
            <w:r>
              <w:rPr>
                <w:rFonts w:ascii="Times New Roman" w:cs="Times New Roman" w:eastAsia="Times New Roman" w:hAnsi="Times New Roman"/>
                <w:sz w:val="11"/>
                <w:szCs w:val="11"/>
                <w:color w:val="auto"/>
              </w:rPr>
              <w:t>1,204</w:t>
            </w:r>
          </w:p>
        </w:tc>
        <w:tc>
          <w:tcPr>
            <w:tcW w:w="980" w:type="dxa"/>
            <w:vAlign w:val="bottom"/>
            <w:tcBorders>
              <w:bottom w:val="single" w:sz="8" w:color="CCEEFF"/>
            </w:tcBorders>
            <w:gridSpan w:val="2"/>
            <w:shd w:val="clear" w:color="auto" w:fill="CCEEFF"/>
          </w:tcPr>
          <w:p>
            <w:pPr>
              <w:jc w:val="right"/>
              <w:ind w:right="26"/>
              <w:spacing w:after="0" w:line="116" w:lineRule="exact"/>
              <w:rPr>
                <w:sz w:val="20"/>
                <w:szCs w:val="20"/>
                <w:color w:val="auto"/>
              </w:rPr>
            </w:pPr>
            <w:r>
              <w:rPr>
                <w:rFonts w:ascii="Times New Roman" w:cs="Times New Roman" w:eastAsia="Times New Roman" w:hAnsi="Times New Roman"/>
                <w:sz w:val="11"/>
                <w:szCs w:val="11"/>
                <w:color w:val="auto"/>
              </w:rPr>
              <w:t>(36)</w:t>
            </w:r>
          </w:p>
        </w:tc>
        <w:tc>
          <w:tcPr>
            <w:tcW w:w="1280" w:type="dxa"/>
            <w:vAlign w:val="bottom"/>
            <w:tcBorders>
              <w:bottom w:val="single" w:sz="8" w:color="CCEEFF"/>
            </w:tcBorders>
            <w:gridSpan w:val="3"/>
            <w:shd w:val="clear" w:color="auto" w:fill="CCEEFF"/>
          </w:tcPr>
          <w:p>
            <w:pPr>
              <w:jc w:val="right"/>
              <w:ind w:right="106"/>
              <w:spacing w:after="0" w:line="116"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536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Selected performance metrics:</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145"/>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loans held for 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114,506</w:t>
            </w:r>
          </w:p>
        </w:tc>
        <w:tc>
          <w:tcPr>
            <w:tcW w:w="2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95,818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101,837</w:t>
            </w:r>
          </w:p>
        </w:tc>
        <w:tc>
          <w:tcPr>
            <w:tcW w:w="9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w:t>
            </w:r>
          </w:p>
        </w:tc>
        <w:tc>
          <w:tcPr>
            <w:tcW w:w="1280" w:type="dxa"/>
            <w:vAlign w:val="bottom"/>
            <w:gridSpan w:val="3"/>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r>
      <w:tr>
        <w:trPr>
          <w:trHeight w:val="144"/>
        </w:trPr>
        <w:tc>
          <w:tcPr>
            <w:tcW w:w="53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Average yield on loans</w:t>
            </w:r>
            <w:r>
              <w:rPr>
                <w:rFonts w:ascii="Times New Roman" w:cs="Times New Roman" w:eastAsia="Times New Roman" w:hAnsi="Times New Roman"/>
                <w:sz w:val="14"/>
                <w:szCs w:val="14"/>
                <w:color w:val="auto"/>
                <w:vertAlign w:val="superscript"/>
              </w:rPr>
              <w:t>(2)</w:t>
            </w:r>
          </w:p>
        </w:tc>
        <w:tc>
          <w:tcPr>
            <w:tcW w:w="120" w:type="dxa"/>
            <w:vAlign w:val="bottom"/>
          </w:tcPr>
          <w:p>
            <w:pPr>
              <w:spacing w:after="0"/>
              <w:rPr>
                <w:sz w:val="12"/>
                <w:szCs w:val="12"/>
                <w:color w:val="auto"/>
              </w:rPr>
            </w:pP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16.07%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14.49%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13.88%</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158bps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61bps</w:t>
            </w:r>
          </w:p>
        </w:tc>
      </w:tr>
      <w:tr>
        <w:trPr>
          <w:trHeight w:val="144"/>
        </w:trPr>
        <w:tc>
          <w:tcPr>
            <w:tcW w:w="53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Total net revenue margin</w:t>
            </w:r>
            <w:r>
              <w:rPr>
                <w:rFonts w:ascii="Times New Roman" w:cs="Times New Roman" w:eastAsia="Times New Roman" w:hAnsi="Times New Roman"/>
                <w:sz w:val="14"/>
                <w:szCs w:val="14"/>
                <w:color w:val="auto"/>
                <w:vertAlign w:val="superscript"/>
              </w:rPr>
              <w:t>(3)</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18.28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17.85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15.80</w:t>
            </w:r>
          </w:p>
        </w:tc>
        <w:tc>
          <w:tcPr>
            <w:tcW w:w="98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43</w:t>
            </w:r>
          </w:p>
        </w:tc>
        <w:tc>
          <w:tcPr>
            <w:tcW w:w="1280" w:type="dxa"/>
            <w:vAlign w:val="bottom"/>
            <w:gridSpan w:val="3"/>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205</w:t>
            </w:r>
          </w:p>
        </w:tc>
      </w:tr>
      <w:tr>
        <w:trPr>
          <w:trHeight w:val="143"/>
        </w:trPr>
        <w:tc>
          <w:tcPr>
            <w:tcW w:w="5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charge-offs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2,833</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1,820</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4,002</w:t>
            </w:r>
          </w:p>
        </w:tc>
        <w:tc>
          <w:tcPr>
            <w:tcW w:w="9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56%</w:t>
            </w:r>
          </w:p>
        </w:tc>
        <w:tc>
          <w:tcPr>
            <w:tcW w:w="128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(55)%</w:t>
            </w:r>
          </w:p>
        </w:tc>
      </w:tr>
      <w:tr>
        <w:trPr>
          <w:trHeight w:val="145"/>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charge-off rate</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2.47%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3.93%</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57bps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(203)bps</w:t>
            </w:r>
          </w:p>
        </w:tc>
      </w:tr>
      <w:tr>
        <w:trPr>
          <w:trHeight w:val="142"/>
        </w:trPr>
        <w:tc>
          <w:tcPr>
            <w:tcW w:w="5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 volume</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568,752</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487,297</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380,787</w:t>
            </w:r>
          </w:p>
        </w:tc>
        <w:tc>
          <w:tcPr>
            <w:tcW w:w="9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17%</w:t>
            </w:r>
          </w:p>
        </w:tc>
        <w:tc>
          <w:tcPr>
            <w:tcW w:w="128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28%</w:t>
            </w:r>
          </w:p>
        </w:tc>
      </w:tr>
      <w:tr>
        <w:trPr>
          <w:trHeight w:val="324"/>
        </w:trPr>
        <w:tc>
          <w:tcPr>
            <w:tcW w:w="536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120" w:type="dxa"/>
            <w:vAlign w:val="bottom"/>
          </w:tcPr>
          <w:p>
            <w:pPr>
              <w:spacing w:after="0"/>
              <w:rPr>
                <w:sz w:val="24"/>
                <w:szCs w:val="24"/>
                <w:color w:val="auto"/>
              </w:rPr>
            </w:pPr>
          </w:p>
        </w:tc>
        <w:tc>
          <w:tcPr>
            <w:tcW w:w="11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20" w:type="dxa"/>
            <w:vAlign w:val="bottom"/>
          </w:tcPr>
          <w:p>
            <w:pPr>
              <w:spacing w:after="0"/>
              <w:rPr>
                <w:sz w:val="24"/>
                <w:szCs w:val="24"/>
                <w:color w:val="auto"/>
              </w:rPr>
            </w:pPr>
          </w:p>
        </w:tc>
        <w:tc>
          <w:tcPr>
            <w:tcW w:w="88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period-end data:</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r>
      <w:tr>
        <w:trPr>
          <w:trHeight w:val="143"/>
        </w:trPr>
        <w:tc>
          <w:tcPr>
            <w:tcW w:w="5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131,581</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108,723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5"/>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30+ day performing delinquency rate</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3.43 %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121bps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3"/>
        </w:trPr>
        <w:tc>
          <w:tcPr>
            <w:tcW w:w="53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9,165</w:t>
            </w:r>
          </w:p>
        </w:tc>
        <w:tc>
          <w:tcPr>
            <w:tcW w:w="2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7,968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5"/>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Allowance coverage ratio</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6.97 %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7.33 %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(36)bps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tabs>
          <w:tab w:leader="none" w:pos="208" w:val="left"/>
        </w:tabs>
        <w:numPr>
          <w:ilvl w:val="0"/>
          <w:numId w:val="33"/>
        </w:numPr>
        <w:rPr>
          <w:rFonts w:ascii="Times New Roman" w:cs="Times New Roman" w:eastAsia="Times New Roman" w:hAnsi="Times New Roman"/>
          <w:sz w:val="5"/>
          <w:szCs w:val="5"/>
          <w:color w:val="auto"/>
        </w:rPr>
      </w:pPr>
      <w:r>
        <w:rPr>
          <w:rFonts w:ascii="Times New Roman" w:cs="Times New Roman" w:eastAsia="Times New Roman" w:hAnsi="Times New Roman"/>
          <w:sz w:val="8"/>
          <w:szCs w:val="8"/>
          <w:color w:val="auto"/>
        </w:rPr>
        <w:t>We recognize finance charges and fee income on open-ended loans in accordance with the contractual provisions of the credit arrangements and charge off any uncollectible amounts. Finance charges and fees charged off as uncollectible are reflected as a reduction in total net revenue.</w:t>
      </w:r>
    </w:p>
    <w:p>
      <w:pPr>
        <w:spacing w:after="0" w:line="200" w:lineRule="exact"/>
        <w:rPr>
          <w:sz w:val="20"/>
          <w:szCs w:val="20"/>
          <w:color w:val="auto"/>
        </w:rPr>
      </w:pPr>
    </w:p>
    <w:p>
      <w:pPr>
        <w:spacing w:after="0" w:line="32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59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60" w:name="page61"/>
    <w:bookmarkEnd w:id="60"/>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8" w:hanging="208"/>
        <w:spacing w:after="0"/>
        <w:tabs>
          <w:tab w:leader="none" w:pos="208" w:val="left"/>
        </w:tabs>
        <w:numPr>
          <w:ilvl w:val="0"/>
          <w:numId w:val="3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Average yield is calculated based on interest income for the period divided by average loans during the period and does not include any allocations, such as funds transfer pricing.</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3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Total net revenue margin is calculated based on total net revenue for the period divided by average loans during the period.</w:t>
      </w:r>
    </w:p>
    <w:p>
      <w:pPr>
        <w:spacing w:after="0" w:line="37" w:lineRule="exact"/>
        <w:rPr>
          <w:sz w:val="20"/>
          <w:szCs w:val="20"/>
          <w:color w:val="auto"/>
        </w:rPr>
      </w:pPr>
    </w:p>
    <w:p>
      <w:pPr>
        <w:ind w:left="8"/>
        <w:spacing w:after="0"/>
        <w:tabs>
          <w:tab w:leader="none" w:pos="168" w:val="left"/>
        </w:tabs>
        <w:rPr>
          <w:sz w:val="20"/>
          <w:szCs w:val="20"/>
          <w:color w:val="auto"/>
        </w:rPr>
      </w:pPr>
      <w:r>
        <w:rPr>
          <w:rFonts w:ascii="Times New Roman" w:cs="Times New Roman" w:eastAsia="Times New Roman" w:hAnsi="Times New Roman"/>
          <w:sz w:val="10"/>
          <w:szCs w:val="10"/>
          <w:color w:val="auto"/>
        </w:rPr>
        <w:t>**</w:t>
      </w:r>
      <w:r>
        <w:rPr>
          <w:sz w:val="20"/>
          <w:szCs w:val="20"/>
          <w:color w:val="auto"/>
        </w:rPr>
        <w:tab/>
      </w:r>
      <w:r>
        <w:rPr>
          <w:rFonts w:ascii="Times New Roman" w:cs="Times New Roman" w:eastAsia="Times New Roman" w:hAnsi="Times New Roman"/>
          <w:sz w:val="8"/>
          <w:szCs w:val="8"/>
          <w:color w:val="auto"/>
        </w:rPr>
        <w:t>Not meaningful.</w:t>
      </w:r>
    </w:p>
    <w:p>
      <w:pPr>
        <w:spacing w:after="0" w:line="2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Because our Domestic Card business accounts for the substantial majority of our Credit Card business, the key factors driving the results are similar to the key factors affecting our total Credit Card business. Net income for our</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Domestic Card business decreased in 2022 compared to 2021 primarily driven by:</w:t>
      </w:r>
    </w:p>
    <w:p>
      <w:pPr>
        <w:spacing w:after="0" w:line="103" w:lineRule="exact"/>
        <w:rPr>
          <w:sz w:val="20"/>
          <w:szCs w:val="20"/>
          <w:color w:val="auto"/>
        </w:rPr>
      </w:pPr>
    </w:p>
    <w:p>
      <w:pPr>
        <w:ind w:left="328" w:hanging="220"/>
        <w:spacing w:after="0"/>
        <w:tabs>
          <w:tab w:leader="none" w:pos="32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Higher provision for credit losses primarily driven by a net allowance build due to credit normalization, a modestly worse economic outlook and loan growth, compared to a net allowance release in 2021.</w:t>
      </w:r>
    </w:p>
    <w:p>
      <w:pPr>
        <w:spacing w:after="0" w:line="114"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Higher non-interest expense primarily driven by increased marketing spend, as well as continued investment in technology.</w:t>
      </w:r>
    </w:p>
    <w:p>
      <w:pPr>
        <w:spacing w:after="0" w:line="366" w:lineRule="exact"/>
        <w:rPr>
          <w:sz w:val="20"/>
          <w:szCs w:val="20"/>
          <w:color w:val="auto"/>
        </w:rPr>
      </w:pPr>
    </w:p>
    <w:p>
      <w:pPr>
        <w:ind w:left="308" w:hanging="200"/>
        <w:spacing w:after="0"/>
        <w:tabs>
          <w:tab w:leader="none" w:pos="308" w:val="left"/>
        </w:tabs>
        <w:numPr>
          <w:ilvl w:val="0"/>
          <w:numId w:val="3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Higher net interest income primarily driven by higher average loan balances.</w:t>
      </w:r>
    </w:p>
    <w:p>
      <w:pPr>
        <w:spacing w:after="0" w:line="114" w:lineRule="exact"/>
        <w:rPr>
          <w:rFonts w:ascii="Times New Roman" w:cs="Times New Roman" w:eastAsia="Times New Roman" w:hAnsi="Times New Roman"/>
          <w:sz w:val="11"/>
          <w:szCs w:val="11"/>
          <w:b w:val="1"/>
          <w:bCs w:val="1"/>
          <w:color w:val="auto"/>
        </w:rPr>
      </w:pPr>
    </w:p>
    <w:p>
      <w:pPr>
        <w:ind w:left="308" w:hanging="200"/>
        <w:spacing w:after="0"/>
        <w:tabs>
          <w:tab w:leader="none" w:pos="308"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Higher non-interest income primarily driven by higher net interchange fees due to an increase in purchase volume.</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Consumer Banking Business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primary sources of revenue for our Consumer Banking business are net interest income from loans and deposits. Expenses primarily consist of the provision for credit losses, operating costs and marketing expenses.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Consumer Banking business generated net income from continuing operations of $2.3 billion, $3.7 billion and $1.4 billion in 2022, 2021 and 2020, respectively.</w:t>
      </w:r>
    </w:p>
    <w:p>
      <w:pPr>
        <w:spacing w:after="0" w:line="200" w:lineRule="exact"/>
        <w:rPr>
          <w:sz w:val="20"/>
          <w:szCs w:val="20"/>
          <w:color w:val="auto"/>
        </w:rPr>
      </w:pPr>
    </w:p>
    <w:p>
      <w:pPr>
        <w:spacing w:after="0" w:line="378"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60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61" w:name="page62"/>
    <w:bookmarkEnd w:id="61"/>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9 summarizes the financial results of our Consumer Banking business and displays selected key metrics for the periods indicated.</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9: Consumer Banking Business Results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9"/>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36"/>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100" w:type="dxa"/>
            <w:vAlign w:val="bottom"/>
          </w:tcPr>
          <w:p>
            <w:pPr>
              <w:spacing w:after="0"/>
              <w:rPr>
                <w:sz w:val="11"/>
                <w:szCs w:val="11"/>
                <w:color w:val="auto"/>
              </w:rPr>
            </w:pPr>
          </w:p>
        </w:tc>
        <w:tc>
          <w:tcPr>
            <w:tcW w:w="108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1"/>
                <w:szCs w:val="11"/>
                <w:color w:val="auto"/>
              </w:rPr>
            </w:pPr>
          </w:p>
        </w:tc>
        <w:tc>
          <w:tcPr>
            <w:tcW w:w="138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2022 vs. 2021</w:t>
            </w:r>
          </w:p>
        </w:tc>
        <w:tc>
          <w:tcPr>
            <w:tcW w:w="9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2021 vs. 2020</w:t>
            </w:r>
          </w:p>
        </w:tc>
      </w:tr>
      <w:tr>
        <w:trPr>
          <w:trHeight w:val="134"/>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income statement data:</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43"/>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8,965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8,448</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7,238</w:t>
            </w:r>
          </w:p>
        </w:tc>
        <w:tc>
          <w:tcPr>
            <w:tcW w:w="11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w:t>
            </w:r>
          </w:p>
        </w:tc>
      </w:tr>
      <w:tr>
        <w:trPr>
          <w:trHeight w:val="14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469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554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466</w:t>
            </w:r>
          </w:p>
        </w:tc>
        <w:tc>
          <w:tcPr>
            <w:tcW w:w="118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19</w:t>
            </w:r>
          </w:p>
        </w:tc>
      </w:tr>
      <w:tr>
        <w:trPr>
          <w:trHeight w:val="132"/>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net revenue</w:t>
            </w:r>
          </w:p>
        </w:tc>
        <w:tc>
          <w:tcPr>
            <w:tcW w:w="100" w:type="dxa"/>
            <w:vAlign w:val="bottom"/>
          </w:tcPr>
          <w:p>
            <w:pPr>
              <w:spacing w:after="0"/>
              <w:rPr>
                <w:sz w:val="11"/>
                <w:szCs w:val="11"/>
                <w:color w:val="auto"/>
              </w:rPr>
            </w:pP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9,434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9,002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7,704</w:t>
            </w:r>
          </w:p>
        </w:tc>
        <w:tc>
          <w:tcPr>
            <w:tcW w:w="11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17</w:t>
            </w:r>
          </w:p>
        </w:tc>
      </w:tr>
      <w:tr>
        <w:trPr>
          <w:trHeight w:val="14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(benefit) for credit losses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1,753</w:t>
            </w:r>
          </w:p>
        </w:tc>
        <w:tc>
          <w:tcPr>
            <w:tcW w:w="118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5,312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4,711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4,159</w:t>
            </w:r>
          </w:p>
        </w:tc>
        <w:tc>
          <w:tcPr>
            <w:tcW w:w="1180" w:type="dxa"/>
            <w:vAlign w:val="bottom"/>
            <w:tcBorders>
              <w:bottom w:val="single" w:sz="8" w:color="CCEEFF"/>
            </w:tcBorders>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13</w:t>
            </w:r>
          </w:p>
        </w:tc>
      </w:tr>
      <w:tr>
        <w:trPr>
          <w:trHeight w:val="134"/>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from continuing operations before income taxes</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2,949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4,812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1,792</w:t>
            </w:r>
          </w:p>
        </w:tc>
        <w:tc>
          <w:tcPr>
            <w:tcW w:w="118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169</w:t>
            </w:r>
          </w:p>
        </w:tc>
      </w:tr>
      <w:tr>
        <w:trPr>
          <w:trHeight w:val="143"/>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provision</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699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1,136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425</w:t>
            </w:r>
          </w:p>
        </w:tc>
        <w:tc>
          <w:tcPr>
            <w:tcW w:w="1180" w:type="dxa"/>
            <w:vAlign w:val="bottom"/>
            <w:tcBorders>
              <w:bottom w:val="single" w:sz="8" w:color="CCEEFF"/>
            </w:tcBorders>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167</w:t>
            </w:r>
          </w:p>
        </w:tc>
      </w:tr>
      <w:tr>
        <w:trPr>
          <w:trHeight w:val="154"/>
        </w:trPr>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from continuing operations,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2,250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3,676</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1,367</w:t>
            </w:r>
          </w:p>
        </w:tc>
        <w:tc>
          <w:tcPr>
            <w:tcW w:w="118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169</w:t>
            </w:r>
          </w:p>
        </w:tc>
      </w:tr>
      <w:tr>
        <w:trPr>
          <w:trHeight w:val="121"/>
        </w:trPr>
        <w:tc>
          <w:tcPr>
            <w:tcW w:w="522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Selected performance metrics:</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loans held for investment: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3"/>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78,772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71,108</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63,227</w:t>
            </w:r>
          </w:p>
        </w:tc>
        <w:tc>
          <w:tcPr>
            <w:tcW w:w="11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w:t>
            </w:r>
          </w:p>
        </w:tc>
      </w:tr>
      <w:tr>
        <w:trPr>
          <w:trHeight w:val="145"/>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1,663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2,765</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3,072</w:t>
            </w:r>
          </w:p>
        </w:tc>
        <w:tc>
          <w:tcPr>
            <w:tcW w:w="118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(10)</w:t>
            </w:r>
          </w:p>
        </w:tc>
      </w:tr>
      <w:tr>
        <w:trPr>
          <w:trHeight w:val="149"/>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consumer banking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80,435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73,873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66,299</w:t>
            </w:r>
          </w:p>
        </w:tc>
        <w:tc>
          <w:tcPr>
            <w:tcW w:w="1180" w:type="dxa"/>
            <w:vAlign w:val="bottom"/>
            <w:tcBorders>
              <w:bottom w:val="single" w:sz="8" w:color="CCEEFF"/>
            </w:tcBorders>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ind w:right="146"/>
              <w:spacing w:after="0"/>
              <w:rPr>
                <w:sz w:val="20"/>
                <w:szCs w:val="20"/>
                <w:color w:val="auto"/>
              </w:rPr>
            </w:pPr>
            <w:r>
              <w:rPr>
                <w:rFonts w:ascii="Times New Roman" w:cs="Times New Roman" w:eastAsia="Times New Roman" w:hAnsi="Times New Roman"/>
                <w:sz w:val="11"/>
                <w:szCs w:val="11"/>
                <w:color w:val="auto"/>
              </w:rPr>
              <w:t>11</w:t>
            </w:r>
          </w:p>
        </w:tc>
      </w:tr>
      <w:tr>
        <w:trPr>
          <w:trHeight w:val="144"/>
        </w:trPr>
        <w:tc>
          <w:tcPr>
            <w:tcW w:w="52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Average yield on loans held for investment</w:t>
            </w:r>
            <w:r>
              <w:rPr>
                <w:rFonts w:ascii="Times New Roman" w:cs="Times New Roman" w:eastAsia="Times New Roman" w:hAnsi="Times New Roman"/>
                <w:sz w:val="14"/>
                <w:szCs w:val="14"/>
                <w:color w:val="auto"/>
                <w:vertAlign w:val="superscript"/>
              </w:rPr>
              <w:t>(1)</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7.19 %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8.37%</w:t>
            </w:r>
          </w:p>
        </w:tc>
        <w:tc>
          <w:tcPr>
            <w:tcW w:w="8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(67)bps</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95"/>
              </w:rPr>
              <w:t>(51)bps</w:t>
            </w:r>
          </w:p>
        </w:tc>
      </w:tr>
      <w:tr>
        <w:trPr>
          <w:trHeight w:val="143"/>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Average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257,089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251,676</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236,369</w:t>
            </w:r>
          </w:p>
        </w:tc>
        <w:tc>
          <w:tcPr>
            <w:tcW w:w="11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r>
      <w:tr>
        <w:trPr>
          <w:trHeight w:val="14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deposits interest rate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0.72 %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0.32 %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0.76 %</w:t>
            </w:r>
          </w:p>
        </w:tc>
        <w:tc>
          <w:tcPr>
            <w:tcW w:w="8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40bps</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95"/>
              </w:rPr>
              <w:t>(44)bps</w:t>
            </w:r>
          </w:p>
        </w:tc>
      </w:tr>
      <w:tr>
        <w:trPr>
          <w:trHeight w:val="143"/>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charge-offs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854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276</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578</w:t>
            </w:r>
          </w:p>
        </w:tc>
        <w:tc>
          <w:tcPr>
            <w:tcW w:w="11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w:t>
            </w:r>
          </w:p>
        </w:tc>
      </w:tr>
      <w:tr>
        <w:trPr>
          <w:trHeight w:val="14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charge-off rate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1.06 %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0.87 %</w:t>
            </w:r>
          </w:p>
        </w:tc>
        <w:tc>
          <w:tcPr>
            <w:tcW w:w="8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1"/>
                <w:szCs w:val="11"/>
                <w:color w:val="auto"/>
              </w:rPr>
              <w:t>69bps</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95"/>
              </w:rPr>
              <w:t>(50)bps</w:t>
            </w:r>
          </w:p>
        </w:tc>
      </w:tr>
      <w:tr>
        <w:trPr>
          <w:trHeight w:val="142"/>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Auto loan originations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36,965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43,083</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32,282</w:t>
            </w:r>
          </w:p>
        </w:tc>
        <w:tc>
          <w:tcPr>
            <w:tcW w:w="11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w:t>
            </w:r>
          </w:p>
        </w:tc>
      </w:tr>
      <w:tr>
        <w:trPr>
          <w:trHeight w:val="288"/>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100" w:type="dxa"/>
            <w:vAlign w:val="bottom"/>
          </w:tcPr>
          <w:p>
            <w:pPr>
              <w:spacing w:after="0"/>
              <w:rPr>
                <w:sz w:val="24"/>
                <w:szCs w:val="24"/>
                <w:color w:val="auto"/>
              </w:rPr>
            </w:pP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December 31, 2021</w:t>
            </w:r>
          </w:p>
        </w:tc>
        <w:tc>
          <w:tcPr>
            <w:tcW w:w="240" w:type="dxa"/>
            <w:vAlign w:val="bottom"/>
          </w:tcPr>
          <w:p>
            <w:pPr>
              <w:spacing w:after="0"/>
              <w:rPr>
                <w:sz w:val="24"/>
                <w:szCs w:val="24"/>
                <w:color w:val="auto"/>
              </w:rPr>
            </w:pPr>
          </w:p>
        </w:tc>
        <w:tc>
          <w:tcPr>
            <w:tcW w:w="94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5"/>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period-end data:</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r>
      <w:tr>
        <w:trPr>
          <w:trHeight w:val="142"/>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78,373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75,779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3"/>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1,552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1,867</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jc w:val="right"/>
              <w:ind w:right="166"/>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r>
      <w:tr>
        <w:trPr>
          <w:trHeight w:val="154"/>
        </w:trPr>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consumer banking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79,925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77,646</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139"/>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30+ day performing delinquency rate</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5.53 %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127bps</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30+ day delinquency rate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6.18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4.66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3"/>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Nonperforming loan rate</w:t>
            </w:r>
          </w:p>
        </w:tc>
        <w:tc>
          <w:tcPr>
            <w:tcW w:w="100" w:type="dxa"/>
            <w:vAlign w:val="bottom"/>
          </w:tcPr>
          <w:p>
            <w:pPr>
              <w:spacing w:after="0"/>
              <w:rPr>
                <w:sz w:val="12"/>
                <w:szCs w:val="12"/>
                <w:color w:val="auto"/>
              </w:rPr>
            </w:pP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0.79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0.50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52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Nonperforming asset rate</w:t>
            </w:r>
            <w:r>
              <w:rPr>
                <w:rFonts w:ascii="Times New Roman" w:cs="Times New Roman" w:eastAsia="Times New Roman" w:hAnsi="Times New Roman"/>
                <w:sz w:val="14"/>
                <w:szCs w:val="14"/>
                <w:color w:val="auto"/>
                <w:vertAlign w:val="superscript"/>
              </w:rPr>
              <w:t>(2)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0.87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0.56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3"/>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2,237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1,918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Allowance coverage ratio</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2.80 %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33bps</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2"/>
        </w:trPr>
        <w:tc>
          <w:tcPr>
            <w:tcW w:w="52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270,592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256,407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3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Average yield is calculated based on interest income for the period divided by average loans during the period and does not include any allocations, such as funds transfer pricing.</w:t>
      </w:r>
    </w:p>
    <w:p>
      <w:pPr>
        <w:spacing w:after="0" w:line="37" w:lineRule="exact"/>
        <w:rPr>
          <w:rFonts w:ascii="Times New Roman" w:cs="Times New Roman" w:eastAsia="Times New Roman" w:hAnsi="Times New Roman"/>
          <w:sz w:val="12"/>
          <w:szCs w:val="12"/>
          <w:color w:val="auto"/>
          <w:vertAlign w:val="superscript"/>
        </w:rPr>
      </w:pPr>
    </w:p>
    <w:p>
      <w:pPr>
        <w:ind w:left="8" w:right="980" w:hanging="8"/>
        <w:spacing w:after="0" w:line="272" w:lineRule="auto"/>
        <w:tabs>
          <w:tab w:leader="none" w:pos="216" w:val="left"/>
        </w:tabs>
        <w:numPr>
          <w:ilvl w:val="0"/>
          <w:numId w:val="3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Nonperforming assets primarily consist of nonperforming loans and repossessed assets. The total nonperforming asset rate is calculated based on total nonperforming assets divided by the combined period-end total loans held for investment and repossessed assets. ** Not meaningful.</w:t>
      </w:r>
    </w:p>
    <w:p>
      <w:pPr>
        <w:spacing w:after="0" w:line="200" w:lineRule="exact"/>
        <w:rPr>
          <w:sz w:val="20"/>
          <w:szCs w:val="20"/>
          <w:color w:val="auto"/>
        </w:rPr>
      </w:pPr>
    </w:p>
    <w:p>
      <w:pPr>
        <w:spacing w:after="0" w:line="270"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61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Key factors affecting the results of our Consumer Banking business for 2022 compared to 2021, and changes in financial condition and credit performance between December 31, 2022 and 2021 include the following:</w:t>
      </w:r>
    </w:p>
    <w:p>
      <w:pPr>
        <w:spacing w:after="0" w:line="112" w:lineRule="exact"/>
        <w:rPr>
          <w:sz w:val="20"/>
          <w:szCs w:val="20"/>
          <w:color w:val="auto"/>
        </w:rPr>
      </w:pPr>
    </w:p>
    <w:p>
      <w:pPr>
        <w:ind w:left="320" w:hanging="220"/>
        <w:spacing w:after="0" w:line="283" w:lineRule="auto"/>
        <w:tabs>
          <w:tab w:leader="none" w:pos="31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Net Interest Income: </w:t>
      </w:r>
      <w:r>
        <w:rPr>
          <w:rFonts w:ascii="Times New Roman" w:cs="Times New Roman" w:eastAsia="Times New Roman" w:hAnsi="Times New Roman"/>
          <w:sz w:val="12"/>
          <w:szCs w:val="12"/>
          <w:color w:val="auto"/>
        </w:rPr>
        <w:t>Net interest income increased by $517 million to $9.0 billion in 2022 primarily driven by higher margins in our retail banking business due to the increases in interest rates, partially offset by lower margins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auto business.</w:t>
      </w:r>
    </w:p>
    <w:p>
      <w:pPr>
        <w:spacing w:after="0" w:line="70"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Non-Interest Income: </w:t>
      </w:r>
      <w:r>
        <w:rPr>
          <w:rFonts w:ascii="Times New Roman" w:cs="Times New Roman" w:eastAsia="Times New Roman" w:hAnsi="Times New Roman"/>
          <w:sz w:val="12"/>
          <w:szCs w:val="12"/>
          <w:color w:val="auto"/>
        </w:rPr>
        <w:t>Non-interest income decreased by $85 million to $469 million in 2022 primarily driven by changes to our customer overdraft and non-sufficient funds policies in our retail banking business.</w:t>
      </w:r>
    </w:p>
    <w:p>
      <w:pPr>
        <w:spacing w:after="0" w:line="114" w:lineRule="exact"/>
        <w:rPr>
          <w:rFonts w:ascii="Times New Roman" w:cs="Times New Roman" w:eastAsia="Times New Roman" w:hAnsi="Times New Roman"/>
          <w:sz w:val="12"/>
          <w:szCs w:val="12"/>
          <w:color w:val="auto"/>
        </w:rPr>
      </w:pPr>
    </w:p>
    <w:p>
      <w:pPr>
        <w:ind w:left="320" w:hanging="220"/>
        <w:spacing w:after="0" w:line="283" w:lineRule="auto"/>
        <w:tabs>
          <w:tab w:leader="none" w:pos="313" w:val="left"/>
        </w:tabs>
        <w:numPr>
          <w:ilvl w:val="0"/>
          <w:numId w:val="38"/>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i w:val="1"/>
          <w:iCs w:val="1"/>
          <w:color w:val="auto"/>
        </w:rPr>
        <w:t xml:space="preserve">Provision for Credit Losses: </w:t>
      </w:r>
      <w:r>
        <w:rPr>
          <w:rFonts w:ascii="Times New Roman" w:cs="Times New Roman" w:eastAsia="Times New Roman" w:hAnsi="Times New Roman"/>
          <w:sz w:val="12"/>
          <w:szCs w:val="12"/>
          <w:color w:val="auto"/>
        </w:rPr>
        <w:t>Provision for credit losses increased by $1.7 billion to $1.2 billion in 2022 primarily driven by a net allowance build due to credit normalization, a modestly worse economic outlook and loan growth,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compared to a net allowance release in 2021.</w:t>
      </w:r>
    </w:p>
    <w:p>
      <w:pPr>
        <w:spacing w:after="0" w:line="70" w:lineRule="exact"/>
        <w:rPr>
          <w:rFonts w:ascii="Times New Roman" w:cs="Times New Roman" w:eastAsia="Times New Roman" w:hAnsi="Times New Roman"/>
          <w:sz w:val="11"/>
          <w:szCs w:val="11"/>
          <w:i w:val="1"/>
          <w:iCs w:val="1"/>
          <w:color w:val="auto"/>
        </w:rPr>
      </w:pPr>
    </w:p>
    <w:p>
      <w:pPr>
        <w:ind w:left="300" w:hanging="200"/>
        <w:spacing w:after="0"/>
        <w:tabs>
          <w:tab w:leader="none" w:pos="300" w:val="left"/>
        </w:tabs>
        <w:numPr>
          <w:ilvl w:val="0"/>
          <w:numId w:val="38"/>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i w:val="1"/>
          <w:iCs w:val="1"/>
          <w:color w:val="auto"/>
        </w:rPr>
        <w:t xml:space="preserve">Non-Interest Expense: </w:t>
      </w:r>
      <w:r>
        <w:rPr>
          <w:rFonts w:ascii="Times New Roman" w:cs="Times New Roman" w:eastAsia="Times New Roman" w:hAnsi="Times New Roman"/>
          <w:sz w:val="12"/>
          <w:szCs w:val="12"/>
          <w:color w:val="auto"/>
        </w:rPr>
        <w:t>Non-interest expense increased by $601 million to $5.3 billion in 2022 primarily driven by continued investment in technology and increased marketing spend in our retail banking business.</w:t>
      </w:r>
    </w:p>
    <w:p>
      <w:pPr>
        <w:spacing w:after="0" w:line="368" w:lineRule="exact"/>
        <w:rPr>
          <w:sz w:val="20"/>
          <w:szCs w:val="20"/>
          <w:color w:val="auto"/>
        </w:rPr>
      </w:pPr>
    </w:p>
    <w:p>
      <w:pPr>
        <w:ind w:left="320" w:hanging="220"/>
        <w:spacing w:after="0" w:line="279" w:lineRule="auto"/>
        <w:tabs>
          <w:tab w:leader="none" w:pos="317"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Period-end loans held for investment increased by $2.3 billion to $79.9 billion as of December 31, 2022 from December 31, 2021 and average loans held for investment increased by $6.6 billion to $80.4 billion in 2022 compared to 2021 primarily driven by growth in our auto loan portfolio.</w:t>
      </w:r>
    </w:p>
    <w:p>
      <w:pPr>
        <w:spacing w:after="0" w:line="327" w:lineRule="exact"/>
        <w:rPr>
          <w:sz w:val="20"/>
          <w:szCs w:val="20"/>
          <w:color w:val="auto"/>
        </w:rPr>
      </w:pPr>
    </w:p>
    <w:p>
      <w:pPr>
        <w:ind w:left="320" w:hanging="220"/>
        <w:spacing w:after="0"/>
        <w:tabs>
          <w:tab w:leader="none" w:pos="3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Period-end deposits increased by $14.2 billion at $270.6 billion as of December 31, 2022 from December 31, 2021 primarily driven by our national banking strategy.</w:t>
      </w:r>
    </w:p>
    <w:p>
      <w:pPr>
        <w:spacing w:after="0" w:line="366" w:lineRule="exact"/>
        <w:rPr>
          <w:sz w:val="20"/>
          <w:szCs w:val="20"/>
          <w:color w:val="auto"/>
        </w:rPr>
      </w:pPr>
    </w:p>
    <w:p>
      <w:pPr>
        <w:ind w:left="300" w:hanging="200"/>
        <w:spacing w:after="0"/>
        <w:tabs>
          <w:tab w:leader="none" w:pos="300" w:val="left"/>
        </w:tabs>
        <w:numPr>
          <w:ilvl w:val="0"/>
          <w:numId w:val="41"/>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color w:val="auto"/>
        </w:rPr>
        <w:t>The net charge-off rate increased by 69 basis points to 1.06% in 2022 compared to 2021 primarily driven by continued credit normalization in our auto loan portfolio.</w:t>
      </w:r>
    </w:p>
    <w:p>
      <w:pPr>
        <w:spacing w:after="0" w:line="114" w:lineRule="exact"/>
        <w:rPr>
          <w:rFonts w:ascii="Times New Roman" w:cs="Times New Roman" w:eastAsia="Times New Roman" w:hAnsi="Times New Roman"/>
          <w:sz w:val="11"/>
          <w:szCs w:val="11"/>
          <w:i w:val="1"/>
          <w:iCs w:val="1"/>
          <w:color w:val="auto"/>
        </w:rPr>
      </w:pPr>
    </w:p>
    <w:p>
      <w:pPr>
        <w:ind w:left="320" w:hanging="220"/>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30+ day delinquency rate increased by 152 basis points to 6.18% as of December 31, 2022 from December 31, 2021 primarily driven by continued credit normalization in our auto loan portfolio.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Commercial Banking Business</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primary sources of revenue for our Commercial Banking business are net interest income from loans and deposits and non-interest income earned from products and services provided to our clients such as advisory services, capital markets and treasury management. Because our Commercial Banking business has loans and investments that generate tax-exempt income, tax credits or other tax benefits, we present the revenues on a taxable-equivalent basis. Expenses primarily consist of the provision for credit losses and operating costs.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Commercial Banking business generated net income from continuing operations of $843 million, $1.5 billion and $65 million in 2022, 2021 and 2020, respectively.</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62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63" w:name="page64"/>
    <w:bookmarkEnd w:id="6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10 summarizes the financial results of our Commercial Banking business and displays selected key metrics for the periods indicated.</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10: Commercial Banking Business Results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9"/>
        </w:trPr>
        <w:tc>
          <w:tcPr>
            <w:tcW w:w="5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46"/>
              <w:spacing w:after="0"/>
              <w:rPr>
                <w:sz w:val="20"/>
                <w:szCs w:val="20"/>
                <w:color w:val="auto"/>
              </w:rPr>
            </w:pPr>
            <w:r>
              <w:rPr>
                <w:rFonts w:ascii="Times New Roman" w:cs="Times New Roman" w:eastAsia="Times New Roman" w:hAnsi="Times New Roman"/>
                <w:sz w:val="11"/>
                <w:szCs w:val="11"/>
                <w:b w:val="1"/>
                <w:bCs w:val="1"/>
                <w:color w:val="auto"/>
                <w:w w:val="94"/>
              </w:rPr>
              <w:t>Change</w:t>
            </w:r>
          </w:p>
        </w:tc>
      </w:tr>
      <w:tr>
        <w:trPr>
          <w:trHeight w:val="136"/>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100" w:type="dxa"/>
            <w:vAlign w:val="bottom"/>
          </w:tcPr>
          <w:p>
            <w:pPr>
              <w:spacing w:after="0"/>
              <w:rPr>
                <w:sz w:val="11"/>
                <w:szCs w:val="11"/>
                <w:color w:val="auto"/>
              </w:rPr>
            </w:pP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1"/>
                <w:szCs w:val="1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2022 vs. 2021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2021 vs. 2020</w:t>
            </w:r>
          </w:p>
        </w:tc>
      </w:tr>
      <w:tr>
        <w:trPr>
          <w:trHeight w:val="134"/>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income statement data:</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2,461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2,153</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3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5%</w:t>
            </w: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1,129</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1,148</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923</w:t>
            </w:r>
          </w:p>
        </w:tc>
        <w:tc>
          <w:tcPr>
            <w:tcW w:w="10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136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24</w:t>
            </w:r>
          </w:p>
        </w:tc>
      </w:tr>
      <w:tr>
        <w:trPr>
          <w:trHeight w:val="133"/>
        </w:trPr>
        <w:tc>
          <w:tcPr>
            <w:tcW w:w="5140" w:type="dxa"/>
            <w:vAlign w:val="bottom"/>
            <w:gridSpan w:val="2"/>
          </w:tcPr>
          <w:p>
            <w:pPr>
              <w:spacing w:after="0" w:line="133" w:lineRule="exact"/>
              <w:rPr>
                <w:sz w:val="20"/>
                <w:szCs w:val="20"/>
                <w:color w:val="auto"/>
              </w:rPr>
            </w:pPr>
            <w:r>
              <w:rPr>
                <w:rFonts w:ascii="Times New Roman" w:cs="Times New Roman" w:eastAsia="Times New Roman" w:hAnsi="Times New Roman"/>
                <w:sz w:val="11"/>
                <w:szCs w:val="11"/>
                <w:color w:val="auto"/>
              </w:rPr>
              <w:t>Total net revenue</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1"/>
                <w:szCs w:val="11"/>
                <w:color w:val="auto"/>
              </w:rPr>
            </w:pP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3,590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3,301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2,971</w:t>
            </w:r>
          </w:p>
        </w:tc>
        <w:tc>
          <w:tcPr>
            <w:tcW w:w="10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1360" w:type="dxa"/>
            <w:vAlign w:val="bottom"/>
            <w:gridSpan w:val="3"/>
          </w:tcPr>
          <w:p>
            <w:pPr>
              <w:ind w:left="1060"/>
              <w:spacing w:after="0"/>
              <w:rPr>
                <w:sz w:val="20"/>
                <w:szCs w:val="20"/>
                <w:color w:val="auto"/>
              </w:rPr>
            </w:pPr>
            <w:r>
              <w:rPr>
                <w:rFonts w:ascii="Times New Roman" w:cs="Times New Roman" w:eastAsia="Times New Roman" w:hAnsi="Times New Roman"/>
                <w:sz w:val="11"/>
                <w:szCs w:val="11"/>
                <w:color w:val="auto"/>
              </w:rPr>
              <w:t>11</w:t>
            </w:r>
          </w:p>
        </w:tc>
      </w:tr>
      <w:tr>
        <w:trPr>
          <w:trHeight w:val="144"/>
        </w:trPr>
        <w:tc>
          <w:tcPr>
            <w:tcW w:w="5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Provision (benefit) for credit losses</w:t>
            </w:r>
            <w:r>
              <w:rPr>
                <w:rFonts w:ascii="Times New Roman" w:cs="Times New Roman" w:eastAsia="Times New Roman" w:hAnsi="Times New Roman"/>
                <w:sz w:val="14"/>
                <w:szCs w:val="14"/>
                <w:color w:val="auto"/>
                <w:vertAlign w:val="superscript"/>
              </w:rPr>
              <w:t>(2)</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415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(519)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1,181</w:t>
            </w:r>
          </w:p>
        </w:tc>
        <w:tc>
          <w:tcPr>
            <w:tcW w:w="10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2,070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1,815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1,706</w:t>
            </w:r>
          </w:p>
        </w:tc>
        <w:tc>
          <w:tcPr>
            <w:tcW w:w="1080" w:type="dxa"/>
            <w:vAlign w:val="bottom"/>
            <w:tcBorders>
              <w:bottom w:val="single" w:sz="8" w:color="CCEEFF"/>
            </w:tcBorders>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14</w:t>
            </w:r>
          </w:p>
        </w:tc>
        <w:tc>
          <w:tcPr>
            <w:tcW w:w="1360" w:type="dxa"/>
            <w:vAlign w:val="bottom"/>
            <w:tcBorders>
              <w:bottom w:val="single" w:sz="8" w:color="CCEEFF"/>
            </w:tcBorders>
            <w:gridSpan w:val="3"/>
          </w:tcPr>
          <w:p>
            <w:pPr>
              <w:jc w:val="right"/>
              <w:ind w:right="146"/>
              <w:spacing w:after="0"/>
              <w:rPr>
                <w:sz w:val="20"/>
                <w:szCs w:val="20"/>
                <w:color w:val="auto"/>
              </w:rPr>
            </w:pPr>
            <w:r>
              <w:rPr>
                <w:rFonts w:ascii="Times New Roman" w:cs="Times New Roman" w:eastAsia="Times New Roman" w:hAnsi="Times New Roman"/>
                <w:sz w:val="11"/>
                <w:szCs w:val="11"/>
                <w:color w:val="auto"/>
              </w:rPr>
              <w:t>6</w:t>
            </w:r>
          </w:p>
        </w:tc>
      </w:tr>
      <w:tr>
        <w:trPr>
          <w:trHeight w:val="13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from continuing operations before income taxes</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1,105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2,005</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84</w:t>
            </w:r>
          </w:p>
        </w:tc>
        <w:tc>
          <w:tcPr>
            <w:tcW w:w="10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w:t>
            </w:r>
          </w:p>
        </w:tc>
        <w:tc>
          <w:tcPr>
            <w:tcW w:w="13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provision</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262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473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19</w:t>
            </w:r>
          </w:p>
        </w:tc>
        <w:tc>
          <w:tcPr>
            <w:tcW w:w="1080" w:type="dxa"/>
            <w:vAlign w:val="bottom"/>
            <w:tcBorders>
              <w:bottom w:val="single" w:sz="8" w:color="CCEEFF"/>
            </w:tcBorders>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(45)</w:t>
            </w:r>
          </w:p>
        </w:tc>
        <w:tc>
          <w:tcPr>
            <w:tcW w:w="1360" w:type="dxa"/>
            <w:vAlign w:val="bottom"/>
            <w:tcBorders>
              <w:bottom w:val="single" w:sz="8" w:color="CCEEFF"/>
            </w:tcBorders>
            <w:gridSpan w:val="3"/>
          </w:tcPr>
          <w:p>
            <w:pPr>
              <w:ind w:left="1020"/>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from continuing operations,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843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1,532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65</w:t>
            </w:r>
          </w:p>
        </w:tc>
        <w:tc>
          <w:tcPr>
            <w:tcW w:w="108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w:t>
            </w:r>
          </w:p>
        </w:tc>
        <w:tc>
          <w:tcPr>
            <w:tcW w:w="1360" w:type="dxa"/>
            <w:vAlign w:val="bottom"/>
            <w:tcBorders>
              <w:bottom w:val="single" w:sz="8" w:color="CCEEFF"/>
            </w:tcBorders>
            <w:gridSpan w:val="3"/>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r>
      <w:tr>
        <w:trPr>
          <w:trHeight w:val="121"/>
        </w:trPr>
        <w:tc>
          <w:tcPr>
            <w:tcW w:w="514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Selected performance metrics:</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loans held for investment:</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3"/>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36,639</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30,980</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31,135</w:t>
            </w:r>
          </w:p>
        </w:tc>
        <w:tc>
          <w:tcPr>
            <w:tcW w:w="10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54,772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45,146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45,819</w:t>
            </w:r>
          </w:p>
        </w:tc>
        <w:tc>
          <w:tcPr>
            <w:tcW w:w="10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136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(1)</w:t>
            </w:r>
          </w:p>
        </w:tc>
      </w:tr>
      <w:tr>
        <w:trPr>
          <w:trHeight w:val="149"/>
        </w:trPr>
        <w:tc>
          <w:tcPr>
            <w:tcW w:w="5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commercial banking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91,411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76,126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76,954</w:t>
            </w:r>
          </w:p>
        </w:tc>
        <w:tc>
          <w:tcPr>
            <w:tcW w:w="1080" w:type="dxa"/>
            <w:vAlign w:val="bottom"/>
            <w:tcBorders>
              <w:bottom w:val="single" w:sz="8" w:color="CCEEFF"/>
            </w:tcBorders>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20</w:t>
            </w:r>
          </w:p>
        </w:tc>
        <w:tc>
          <w:tcPr>
            <w:tcW w:w="1360" w:type="dxa"/>
            <w:vAlign w:val="bottom"/>
            <w:tcBorders>
              <w:bottom w:val="single" w:sz="8" w:color="CCEEFF"/>
            </w:tcBorders>
            <w:gridSpan w:val="3"/>
          </w:tcPr>
          <w:p>
            <w:pPr>
              <w:ind w:left="1060"/>
              <w:spacing w:after="0"/>
              <w:rPr>
                <w:sz w:val="20"/>
                <w:szCs w:val="20"/>
                <w:color w:val="auto"/>
              </w:rPr>
            </w:pPr>
            <w:r>
              <w:rPr>
                <w:rFonts w:ascii="Times New Roman" w:cs="Times New Roman" w:eastAsia="Times New Roman" w:hAnsi="Times New Roman"/>
                <w:sz w:val="11"/>
                <w:szCs w:val="11"/>
                <w:color w:val="auto"/>
              </w:rPr>
              <w:t>(1)</w:t>
            </w:r>
          </w:p>
        </w:tc>
      </w:tr>
      <w:tr>
        <w:trPr>
          <w:trHeight w:val="144"/>
        </w:trPr>
        <w:tc>
          <w:tcPr>
            <w:tcW w:w="51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Average yield on loans held for investment</w:t>
            </w:r>
            <w:r>
              <w:rPr>
                <w:rFonts w:ascii="Times New Roman" w:cs="Times New Roman" w:eastAsia="Times New Roman" w:hAnsi="Times New Roman"/>
                <w:sz w:val="14"/>
                <w:szCs w:val="14"/>
                <w:color w:val="auto"/>
                <w:vertAlign w:val="superscript"/>
              </w:rPr>
              <w:t>(1)(3)</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4.02 %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3.13 %</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128bps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w w:val="95"/>
              </w:rPr>
              <w:t>(39)bps</w:t>
            </w: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Average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42,018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42,350</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35,468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360" w:type="dxa"/>
            <w:vAlign w:val="bottom"/>
            <w:gridSpan w:val="3"/>
          </w:tcPr>
          <w:p>
            <w:pPr>
              <w:jc w:val="right"/>
              <w:ind w:right="106"/>
              <w:spacing w:after="0"/>
              <w:rPr>
                <w:sz w:val="20"/>
                <w:szCs w:val="20"/>
                <w:color w:val="auto"/>
              </w:rPr>
            </w:pPr>
            <w:r>
              <w:rPr>
                <w:rFonts w:ascii="Times New Roman" w:cs="Times New Roman" w:eastAsia="Times New Roman" w:hAnsi="Times New Roman"/>
                <w:sz w:val="11"/>
                <w:szCs w:val="11"/>
                <w:color w:val="auto"/>
              </w:rPr>
              <w:t>19%</w:t>
            </w: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deposits interest rate</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0.73 %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0.14 %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0.40 %</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59bps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w w:val="95"/>
              </w:rPr>
              <w:t>(26)bps</w:t>
            </w: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charge-offs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71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377</w:t>
            </w:r>
          </w:p>
        </w:tc>
        <w:tc>
          <w:tcPr>
            <w:tcW w:w="10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3"/>
          </w:tcPr>
          <w:p>
            <w:pPr>
              <w:ind w:left="1000"/>
              <w:spacing w:after="0"/>
              <w:rPr>
                <w:sz w:val="20"/>
                <w:szCs w:val="20"/>
                <w:color w:val="auto"/>
              </w:rPr>
            </w:pPr>
            <w:r>
              <w:rPr>
                <w:rFonts w:ascii="Times New Roman" w:cs="Times New Roman" w:eastAsia="Times New Roman" w:hAnsi="Times New Roman"/>
                <w:sz w:val="11"/>
                <w:szCs w:val="11"/>
                <w:color w:val="auto"/>
              </w:rPr>
              <w:t>(99)%</w:t>
            </w: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charge-off (recovery) rate</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0.08 %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0.49 %</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8bps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w w:val="95"/>
              </w:rPr>
              <w:t>(49)bps</w:t>
            </w:r>
          </w:p>
        </w:tc>
      </w:tr>
      <w:tr>
        <w:trPr>
          <w:trHeight w:val="322"/>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100" w:type="dxa"/>
            <w:vAlign w:val="bottom"/>
          </w:tcPr>
          <w:p>
            <w:pPr>
              <w:spacing w:after="0"/>
              <w:rPr>
                <w:sz w:val="24"/>
                <w:szCs w:val="24"/>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40" w:type="dxa"/>
            <w:vAlign w:val="bottom"/>
          </w:tcPr>
          <w:p>
            <w:pPr>
              <w:spacing w:after="0"/>
              <w:rPr>
                <w:sz w:val="24"/>
                <w:szCs w:val="24"/>
                <w:color w:val="auto"/>
              </w:rPr>
            </w:pPr>
          </w:p>
        </w:tc>
        <w:tc>
          <w:tcPr>
            <w:tcW w:w="96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period-end data:</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r>
      <w:tr>
        <w:trPr>
          <w:trHeight w:val="142"/>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6"/>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37,453</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35,262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3"/>
        </w:trPr>
        <w:tc>
          <w:tcPr>
            <w:tcW w:w="5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57,223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49,660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r>
      <w:tr>
        <w:trPr>
          <w:trHeight w:val="154"/>
        </w:trPr>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commercial banking</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94,676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84,922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r>
      <w:tr>
        <w:trPr>
          <w:trHeight w:val="139"/>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Nonperforming loan rate</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0.74 %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0.82 %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(8)bps</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5"/>
        </w:trPr>
        <w:tc>
          <w:tcPr>
            <w:tcW w:w="51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Nonperforming asset rate</w:t>
            </w:r>
            <w:r>
              <w:rPr>
                <w:rFonts w:ascii="Times New Roman" w:cs="Times New Roman" w:eastAsia="Times New Roman" w:hAnsi="Times New Roman"/>
                <w:sz w:val="14"/>
                <w:szCs w:val="14"/>
                <w:color w:val="auto"/>
                <w:vertAlign w:val="superscript"/>
              </w:rPr>
              <w:t>(4)</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0.74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0.82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4"/>
        </w:trPr>
        <w:tc>
          <w:tcPr>
            <w:tcW w:w="51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Allowance for credit losses</w:t>
            </w:r>
            <w:r>
              <w:rPr>
                <w:rFonts w:ascii="Times New Roman" w:cs="Times New Roman" w:eastAsia="Times New Roman" w:hAnsi="Times New Roman"/>
                <w:sz w:val="14"/>
                <w:szCs w:val="14"/>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1,458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1,167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Allowance coverage ratio</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1.54%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17bps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3"/>
        </w:trPr>
        <w:tc>
          <w:tcPr>
            <w:tcW w:w="5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40,808</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44,809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5"/>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 serviced for others</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51,918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48,562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28" w:lineRule="auto"/>
        <w:tabs>
          <w:tab w:leader="none" w:pos="200" w:val="left"/>
        </w:tabs>
        <w:numPr>
          <w:ilvl w:val="0"/>
          <w:numId w:val="4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29" w:lineRule="exact"/>
        <w:rPr>
          <w:rFonts w:ascii="Times New Roman" w:cs="Times New Roman" w:eastAsia="Times New Roman" w:hAnsi="Times New Roman"/>
          <w:sz w:val="12"/>
          <w:szCs w:val="12"/>
          <w:color w:val="auto"/>
          <w:vertAlign w:val="superscript"/>
        </w:rPr>
      </w:pPr>
    </w:p>
    <w:p>
      <w:pPr>
        <w:ind w:left="208" w:hanging="208"/>
        <w:spacing w:after="0" w:line="219" w:lineRule="auto"/>
        <w:tabs>
          <w:tab w:leader="none" w:pos="200" w:val="left"/>
        </w:tabs>
        <w:numPr>
          <w:ilvl w:val="0"/>
          <w:numId w:val="4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provision for losses on unfunded lending commitments is included in the provision for credit losses in our consolidated statements of income and the related reserve is included in other liabilities on our consolidated balance sheets. Our reserve for unfunded lending commitments totaled $218 million, $165 million and $195 million as of December 31, 2022, 2021 and 2020, respectively.</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4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Average yield is calculated based on interest income for the period divided by average loans during the period and does not include any allocations, such as funds transfer pricing.</w:t>
      </w:r>
    </w:p>
    <w:p>
      <w:pPr>
        <w:spacing w:after="0" w:line="23"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4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Nonperforming assets consist of nonperforming loans and other foreclosed assets. The total nonperforming asset rate is calculated based on total nonperforming assets divided by the combined period-end total loans held for investment and other foreclosed assets.</w:t>
      </w:r>
    </w:p>
    <w:p>
      <w:pPr>
        <w:spacing w:after="0" w:line="37" w:lineRule="exact"/>
        <w:rPr>
          <w:sz w:val="20"/>
          <w:szCs w:val="20"/>
          <w:color w:val="auto"/>
        </w:rPr>
      </w:pPr>
    </w:p>
    <w:p>
      <w:pPr>
        <w:ind w:left="8"/>
        <w:spacing w:after="0"/>
        <w:tabs>
          <w:tab w:leader="none" w:pos="168" w:val="left"/>
        </w:tabs>
        <w:rPr>
          <w:sz w:val="20"/>
          <w:szCs w:val="20"/>
          <w:color w:val="auto"/>
        </w:rPr>
      </w:pPr>
      <w:r>
        <w:rPr>
          <w:rFonts w:ascii="Times New Roman" w:cs="Times New Roman" w:eastAsia="Times New Roman" w:hAnsi="Times New Roman"/>
          <w:sz w:val="10"/>
          <w:szCs w:val="10"/>
          <w:color w:val="auto"/>
        </w:rPr>
        <w:t>**</w:t>
      </w:r>
      <w:r>
        <w:rPr>
          <w:sz w:val="20"/>
          <w:szCs w:val="20"/>
          <w:color w:val="auto"/>
        </w:rPr>
        <w:tab/>
      </w:r>
      <w:r>
        <w:rPr>
          <w:rFonts w:ascii="Times New Roman" w:cs="Times New Roman" w:eastAsia="Times New Roman" w:hAnsi="Times New Roman"/>
          <w:sz w:val="8"/>
          <w:szCs w:val="8"/>
          <w:color w:val="auto"/>
        </w:rPr>
        <w:t>Not meaningful.</w:t>
      </w:r>
    </w:p>
    <w:p>
      <w:pPr>
        <w:spacing w:after="0" w:line="200" w:lineRule="exact"/>
        <w:rPr>
          <w:sz w:val="20"/>
          <w:szCs w:val="20"/>
          <w:color w:val="auto"/>
        </w:rPr>
      </w:pPr>
    </w:p>
    <w:p>
      <w:pPr>
        <w:spacing w:after="0" w:line="28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63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Key factors affecting the results of our Commercial Banking business for 2022 compared to 2021, and changes in financial condition and credit performance between December 31, 2022 and 2021 include the following:</w:t>
      </w:r>
    </w:p>
    <w:p>
      <w:pPr>
        <w:spacing w:after="0" w:line="112" w:lineRule="exact"/>
        <w:rPr>
          <w:sz w:val="20"/>
          <w:szCs w:val="20"/>
          <w:color w:val="auto"/>
        </w:rPr>
      </w:pPr>
    </w:p>
    <w:p>
      <w:pPr>
        <w:ind w:left="320" w:hanging="220"/>
        <w:spacing w:after="0" w:line="283" w:lineRule="auto"/>
        <w:tabs>
          <w:tab w:leader="none" w:pos="31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i w:val="1"/>
          <w:iCs w:val="1"/>
          <w:color w:val="auto"/>
        </w:rPr>
        <w:t xml:space="preserve">Net Interest Income: </w:t>
      </w:r>
      <w:r>
        <w:rPr>
          <w:rFonts w:ascii="Times New Roman" w:cs="Times New Roman" w:eastAsia="Times New Roman" w:hAnsi="Times New Roman"/>
          <w:sz w:val="12"/>
          <w:szCs w:val="12"/>
          <w:color w:val="auto"/>
        </w:rPr>
        <w:t>Net interest income increased by $308 million to $2.5 billion in 2022 primarily driven by higher average loan balances and yields, partially offset by higher funding costs driven by higher market interest rates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mix of deposits.</w:t>
      </w:r>
    </w:p>
    <w:p>
      <w:pPr>
        <w:spacing w:after="0" w:line="70" w:lineRule="exact"/>
        <w:rPr>
          <w:rFonts w:ascii="Times New Roman" w:cs="Times New Roman" w:eastAsia="Times New Roman" w:hAnsi="Times New Roman"/>
          <w:sz w:val="11"/>
          <w:szCs w:val="11"/>
          <w:i w:val="1"/>
          <w:iCs w:val="1"/>
          <w:color w:val="auto"/>
        </w:rPr>
      </w:pPr>
    </w:p>
    <w:p>
      <w:pPr>
        <w:ind w:left="300" w:hanging="200"/>
        <w:spacing w:after="0"/>
        <w:tabs>
          <w:tab w:leader="none" w:pos="300"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i w:val="1"/>
          <w:iCs w:val="1"/>
          <w:color w:val="auto"/>
        </w:rPr>
        <w:t xml:space="preserve">Non-Interest Income: </w:t>
      </w:r>
      <w:r>
        <w:rPr>
          <w:rFonts w:ascii="Times New Roman" w:cs="Times New Roman" w:eastAsia="Times New Roman" w:hAnsi="Times New Roman"/>
          <w:sz w:val="12"/>
          <w:szCs w:val="12"/>
          <w:color w:val="auto"/>
        </w:rPr>
        <w:t>Non-interest income remained substantially flat at $1.1 billion in 2022.</w:t>
      </w:r>
    </w:p>
    <w:p>
      <w:pPr>
        <w:spacing w:after="0" w:line="114" w:lineRule="exact"/>
        <w:rPr>
          <w:rFonts w:ascii="Times New Roman" w:cs="Times New Roman" w:eastAsia="Times New Roman" w:hAnsi="Times New Roman"/>
          <w:sz w:val="11"/>
          <w:szCs w:val="11"/>
          <w:i w:val="1"/>
          <w:iCs w:val="1"/>
          <w:color w:val="auto"/>
        </w:rPr>
      </w:pPr>
    </w:p>
    <w:p>
      <w:pPr>
        <w:ind w:left="320" w:hanging="220"/>
        <w:spacing w:after="0" w:line="283" w:lineRule="auto"/>
        <w:tabs>
          <w:tab w:leader="none" w:pos="313"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i w:val="1"/>
          <w:iCs w:val="1"/>
          <w:color w:val="auto"/>
        </w:rPr>
        <w:t xml:space="preserve">Provision for Credit Losses: </w:t>
      </w:r>
      <w:r>
        <w:rPr>
          <w:rFonts w:ascii="Times New Roman" w:cs="Times New Roman" w:eastAsia="Times New Roman" w:hAnsi="Times New Roman"/>
          <w:sz w:val="12"/>
          <w:szCs w:val="12"/>
          <w:color w:val="auto"/>
        </w:rPr>
        <w:t>Provision for credit losses increased by $934 million to $415 million in 2022 primarily driven by a net allowance build due to a modestly worse economic outlook and loan growth, compared to a net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allowance release in 2021.</w:t>
      </w:r>
    </w:p>
    <w:p>
      <w:pPr>
        <w:spacing w:after="0" w:line="70" w:lineRule="exact"/>
        <w:rPr>
          <w:rFonts w:ascii="Times New Roman" w:cs="Times New Roman" w:eastAsia="Times New Roman" w:hAnsi="Times New Roman"/>
          <w:sz w:val="11"/>
          <w:szCs w:val="11"/>
          <w:i w:val="1"/>
          <w:iCs w:val="1"/>
          <w:color w:val="auto"/>
        </w:rPr>
      </w:pPr>
    </w:p>
    <w:p>
      <w:pPr>
        <w:ind w:left="300" w:hanging="200"/>
        <w:spacing w:after="0"/>
        <w:tabs>
          <w:tab w:leader="none" w:pos="300" w:val="left"/>
        </w:tabs>
        <w:numPr>
          <w:ilvl w:val="0"/>
          <w:numId w:val="4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i w:val="1"/>
          <w:iCs w:val="1"/>
          <w:color w:val="auto"/>
        </w:rPr>
        <w:t xml:space="preserve">Non-Interest Expense: </w:t>
      </w:r>
      <w:r>
        <w:rPr>
          <w:rFonts w:ascii="Times New Roman" w:cs="Times New Roman" w:eastAsia="Times New Roman" w:hAnsi="Times New Roman"/>
          <w:sz w:val="12"/>
          <w:szCs w:val="12"/>
          <w:color w:val="auto"/>
        </w:rPr>
        <w:t>Non-interest expense increased by $255 million to $2.1 billion in 2022 primarily driven by continued investment in growth and technology.</w:t>
      </w:r>
    </w:p>
    <w:p>
      <w:pPr>
        <w:spacing w:after="0" w:line="368" w:lineRule="exact"/>
        <w:rPr>
          <w:sz w:val="20"/>
          <w:szCs w:val="20"/>
          <w:color w:val="auto"/>
        </w:rPr>
      </w:pPr>
    </w:p>
    <w:p>
      <w:pPr>
        <w:ind w:left="320" w:hanging="220"/>
        <w:spacing w:after="0" w:line="279" w:lineRule="auto"/>
        <w:tabs>
          <w:tab w:leader="none" w:pos="313" w:val="left"/>
        </w:tabs>
        <w:numPr>
          <w:ilvl w:val="0"/>
          <w:numId w:val="4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color w:val="auto"/>
        </w:rPr>
        <w:t>Period-end loans held for investment increased by $9.8 billion to $94.7 billion as of December 31, 2022 from December 31, 2021 and average loans held for investment increased by $15.3 billion to $91.4 billion in 2022 compared to 2021 primarily driven by growth across our loan portfolio.</w:t>
      </w:r>
    </w:p>
    <w:p>
      <w:pPr>
        <w:spacing w:after="0" w:line="327" w:lineRule="exact"/>
        <w:rPr>
          <w:sz w:val="20"/>
          <w:szCs w:val="20"/>
          <w:color w:val="auto"/>
        </w:rPr>
      </w:pPr>
    </w:p>
    <w:p>
      <w:pPr>
        <w:ind w:left="420" w:hanging="212"/>
        <w:spacing w:after="0"/>
        <w:tabs>
          <w:tab w:leader="none" w:pos="4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Period-end deposits decreased by $4.0 billion to $40.8 billion as of December 31, 2022 from December 31, 2021 primarily driven by the transfer of deposits to our retail banking portfolio in the second quarter of 2022.</w:t>
      </w:r>
    </w:p>
    <w:p>
      <w:pPr>
        <w:spacing w:after="0" w:line="366" w:lineRule="exact"/>
        <w:rPr>
          <w:sz w:val="20"/>
          <w:szCs w:val="20"/>
          <w:color w:val="auto"/>
        </w:rPr>
      </w:pPr>
    </w:p>
    <w:p>
      <w:pPr>
        <w:ind w:left="420" w:hanging="212"/>
        <w:spacing w:after="0"/>
        <w:tabs>
          <w:tab w:leader="none" w:pos="420" w:val="left"/>
        </w:tabs>
        <w:numPr>
          <w:ilvl w:val="0"/>
          <w:numId w:val="46"/>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color w:val="auto"/>
        </w:rPr>
        <w:t>The net charge-off rate increased by 8 basis points to 0.08% in 2022 primarily driven by isolated charge offs in our commercial and industrial loan portfolio.</w:t>
      </w:r>
    </w:p>
    <w:p>
      <w:pPr>
        <w:spacing w:after="0" w:line="114" w:lineRule="exact"/>
        <w:rPr>
          <w:rFonts w:ascii="Times New Roman" w:cs="Times New Roman" w:eastAsia="Times New Roman" w:hAnsi="Times New Roman"/>
          <w:sz w:val="11"/>
          <w:szCs w:val="11"/>
          <w:i w:val="1"/>
          <w:iCs w:val="1"/>
          <w:color w:val="auto"/>
        </w:rPr>
      </w:pPr>
    </w:p>
    <w:p>
      <w:pPr>
        <w:ind w:left="420" w:hanging="212"/>
        <w:spacing w:after="0"/>
        <w:tabs>
          <w:tab w:leader="none" w:pos="420" w:val="left"/>
        </w:tabs>
        <w:numPr>
          <w:ilvl w:val="0"/>
          <w:numId w:val="46"/>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2"/>
          <w:szCs w:val="12"/>
          <w:color w:val="auto"/>
        </w:rPr>
        <w:t>The nonperforming loan rate decreased by 8 basis points to 0.74% as of December 31, 2022 compared to December 31, 2021 primarily driven by higher ending loan balances.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Category</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Other includes unallocated amounts related to our centralized Corporate Treasury group activities, such as management of our corporate investment securities portfolio, asset/liability management and oversight of our funds transfer pricing process. Other also includes:</w:t>
      </w:r>
    </w:p>
    <w:p>
      <w:pPr>
        <w:spacing w:after="0" w:line="75" w:lineRule="exact"/>
        <w:rPr>
          <w:sz w:val="20"/>
          <w:szCs w:val="20"/>
          <w:color w:val="auto"/>
        </w:rPr>
      </w:pPr>
    </w:p>
    <w:p>
      <w:pPr>
        <w:ind w:left="320" w:hanging="220"/>
        <w:spacing w:after="0" w:line="279" w:lineRule="auto"/>
        <w:tabs>
          <w:tab w:leader="none" w:pos="317"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unallocated corporate revenue and expenses that do not directly support the operations of the business segments or for which the business segments are not considered financially accountable in evaluating their performance, such as certain restructuring charges;</w:t>
      </w:r>
    </w:p>
    <w:p>
      <w:pPr>
        <w:spacing w:after="0" w:line="75"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offsets related to certain line-item reclassifications;</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4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residual tax expense or benefit to arrive at the consolidated effective tax rate that is not assessed to our primary business segments; and</w:t>
      </w:r>
    </w:p>
    <w:p>
      <w:pPr>
        <w:spacing w:after="0" w:line="114" w:lineRule="exact"/>
        <w:rPr>
          <w:rFonts w:ascii="Times New Roman" w:cs="Times New Roman" w:eastAsia="Times New Roman" w:hAnsi="Times New Roman"/>
          <w:sz w:val="12"/>
          <w:szCs w:val="12"/>
          <w:i w:val="1"/>
          <w:iCs w:val="1"/>
          <w:color w:val="auto"/>
        </w:rPr>
      </w:pPr>
    </w:p>
    <w:p>
      <w:pPr>
        <w:ind w:left="320" w:hanging="220"/>
        <w:spacing w:after="0"/>
        <w:tabs>
          <w:tab w:leader="none" w:pos="3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exchange-rate fluctuations on foreign currency-denominated balances.</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64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65" w:name="page66"/>
    <w:bookmarkEnd w:id="65"/>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11 summarizes the financial results of our Other category for the periods indicated.</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11: Other Category Results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9"/>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36"/>
        </w:trPr>
        <w:tc>
          <w:tcPr>
            <w:tcW w:w="54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w:t>
            </w:r>
          </w:p>
        </w:tc>
        <w:tc>
          <w:tcPr>
            <w:tcW w:w="260" w:type="dxa"/>
            <w:vAlign w:val="bottom"/>
          </w:tcPr>
          <w:p>
            <w:pPr>
              <w:spacing w:after="0"/>
              <w:rPr>
                <w:sz w:val="11"/>
                <w:szCs w:val="11"/>
                <w:color w:val="auto"/>
              </w:rPr>
            </w:pPr>
          </w:p>
        </w:tc>
        <w:tc>
          <w:tcPr>
            <w:tcW w:w="86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1"/>
                <w:szCs w:val="11"/>
                <w:color w:val="auto"/>
              </w:rPr>
            </w:pPr>
          </w:p>
        </w:tc>
        <w:tc>
          <w:tcPr>
            <w:tcW w:w="140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2022 vs. 2021</w:t>
            </w:r>
          </w:p>
        </w:tc>
        <w:tc>
          <w:tcPr>
            <w:tcW w:w="92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2021 vs. 2020</w:t>
            </w:r>
          </w:p>
        </w:tc>
      </w:tr>
      <w:tr>
        <w:trPr>
          <w:trHeight w:val="134"/>
        </w:trPr>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Selected income statement data:</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43"/>
        </w:trPr>
        <w:tc>
          <w:tcPr>
            <w:tcW w:w="5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interest loss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(896)</w:t>
            </w:r>
          </w:p>
        </w:tc>
        <w:tc>
          <w:tcPr>
            <w:tcW w:w="3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(504)</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(149)</w:t>
            </w:r>
          </w:p>
        </w:tc>
        <w:tc>
          <w:tcPr>
            <w:tcW w:w="12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income (loss)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398</w:t>
            </w:r>
          </w:p>
        </w:tc>
        <w:tc>
          <w:tcPr>
            <w:tcW w:w="12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5440" w:type="dxa"/>
            <w:vAlign w:val="bottom"/>
            <w:gridSpan w:val="2"/>
          </w:tcPr>
          <w:p>
            <w:pPr>
              <w:spacing w:after="0" w:line="133" w:lineRule="exact"/>
              <w:rPr>
                <w:sz w:val="20"/>
                <w:szCs w:val="20"/>
                <w:color w:val="auto"/>
              </w:rPr>
            </w:pPr>
            <w:r>
              <w:rPr>
                <w:rFonts w:ascii="Times New Roman" w:cs="Times New Roman" w:eastAsia="Times New Roman" w:hAnsi="Times New Roman"/>
                <w:sz w:val="11"/>
                <w:szCs w:val="11"/>
                <w:color w:val="auto"/>
              </w:rPr>
              <w:t>Total net revenue (loss)</w:t>
            </w:r>
            <w:r>
              <w:rPr>
                <w:rFonts w:ascii="Times New Roman" w:cs="Times New Roman" w:eastAsia="Times New Roman" w:hAnsi="Times New Roman"/>
                <w:sz w:val="14"/>
                <w:szCs w:val="14"/>
                <w:color w:val="auto"/>
                <w:vertAlign w:val="superscript"/>
              </w:rPr>
              <w:t>(1)</w:t>
            </w: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(748)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249</w:t>
            </w:r>
          </w:p>
        </w:tc>
        <w:tc>
          <w:tcPr>
            <w:tcW w:w="12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06"/>
              <w:spacing w:after="0" w:line="121" w:lineRule="exact"/>
              <w:rPr>
                <w:sz w:val="20"/>
                <w:szCs w:val="20"/>
                <w:color w:val="auto"/>
              </w:rPr>
            </w:pPr>
            <w:r>
              <w:rPr>
                <w:rFonts w:ascii="Times New Roman" w:cs="Times New Roman" w:eastAsia="Times New Roman" w:hAnsi="Times New Roman"/>
                <w:sz w:val="11"/>
                <w:szCs w:val="11"/>
                <w:color w:val="auto"/>
              </w:rPr>
              <w:t>**</w:t>
            </w:r>
          </w:p>
        </w:tc>
      </w:tr>
      <w:tr>
        <w:trPr>
          <w:trHeight w:val="144"/>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(benefit) for credit losses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w:t>
            </w:r>
          </w:p>
        </w:tc>
        <w:tc>
          <w:tcPr>
            <w:tcW w:w="12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154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423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700</w:t>
            </w:r>
          </w:p>
        </w:tc>
        <w:tc>
          <w:tcPr>
            <w:tcW w:w="1200" w:type="dxa"/>
            <w:vAlign w:val="bottom"/>
            <w:tcBorders>
              <w:bottom w:val="single" w:sz="8" w:color="CCEEFF"/>
            </w:tcBorders>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34"/>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from continuing operations before income taxes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(1,169)</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(454)</w:t>
            </w:r>
          </w:p>
        </w:tc>
        <w:tc>
          <w:tcPr>
            <w:tcW w:w="12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6"/>
              <w:spacing w:after="0" w:line="121" w:lineRule="exact"/>
              <w:rPr>
                <w:sz w:val="20"/>
                <w:szCs w:val="20"/>
                <w:color w:val="auto"/>
              </w:rPr>
            </w:pPr>
            <w:r>
              <w:rPr>
                <w:rFonts w:ascii="Times New Roman" w:cs="Times New Roman" w:eastAsia="Times New Roman" w:hAnsi="Times New Roman"/>
                <w:sz w:val="11"/>
                <w:szCs w:val="11"/>
                <w:color w:val="auto"/>
              </w:rPr>
              <w:t>157</w:t>
            </w:r>
          </w:p>
        </w:tc>
      </w:tr>
      <w:tr>
        <w:trPr>
          <w:trHeight w:val="143"/>
        </w:trPr>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tax benefit</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(617)</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(597)</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(378)</w:t>
            </w:r>
          </w:p>
        </w:tc>
        <w:tc>
          <w:tcPr>
            <w:tcW w:w="1200" w:type="dxa"/>
            <w:vAlign w:val="bottom"/>
            <w:tcBorders>
              <w:bottom w:val="single" w:sz="8" w:color="CCEEFF"/>
            </w:tcBorders>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ind w:right="86"/>
              <w:spacing w:after="0"/>
              <w:rPr>
                <w:sz w:val="20"/>
                <w:szCs w:val="20"/>
                <w:color w:val="auto"/>
              </w:rPr>
            </w:pPr>
            <w:r>
              <w:rPr>
                <w:rFonts w:ascii="Times New Roman" w:cs="Times New Roman" w:eastAsia="Times New Roman" w:hAnsi="Times New Roman"/>
                <w:sz w:val="11"/>
                <w:szCs w:val="11"/>
                <w:color w:val="auto"/>
              </w:rPr>
              <w:t>58</w:t>
            </w:r>
          </w:p>
        </w:tc>
      </w:tr>
      <w:tr>
        <w:trPr>
          <w:trHeight w:val="150"/>
        </w:trPr>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Loss from continuing operations, net of tax</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(660)</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(572)</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(76)</w:t>
            </w:r>
          </w:p>
        </w:tc>
        <w:tc>
          <w:tcPr>
            <w:tcW w:w="1200" w:type="dxa"/>
            <w:vAlign w:val="bottom"/>
            <w:tcBorders>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28" w:lineRule="auto"/>
        <w:tabs>
          <w:tab w:leader="none" w:pos="20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30" w:lineRule="exact"/>
        <w:rPr>
          <w:sz w:val="20"/>
          <w:szCs w:val="20"/>
          <w:color w:val="auto"/>
        </w:rPr>
      </w:pPr>
    </w:p>
    <w:p>
      <w:pPr>
        <w:ind w:left="8"/>
        <w:spacing w:after="0"/>
        <w:tabs>
          <w:tab w:leader="none" w:pos="168" w:val="left"/>
        </w:tabs>
        <w:rPr>
          <w:sz w:val="20"/>
          <w:szCs w:val="20"/>
          <w:color w:val="auto"/>
        </w:rPr>
      </w:pPr>
      <w:r>
        <w:rPr>
          <w:rFonts w:ascii="Times New Roman" w:cs="Times New Roman" w:eastAsia="Times New Roman" w:hAnsi="Times New Roman"/>
          <w:sz w:val="10"/>
          <w:szCs w:val="10"/>
          <w:color w:val="auto"/>
        </w:rPr>
        <w:t>**</w:t>
      </w:r>
      <w:r>
        <w:rPr>
          <w:sz w:val="20"/>
          <w:szCs w:val="20"/>
          <w:color w:val="auto"/>
        </w:rPr>
        <w:tab/>
      </w:r>
      <w:r>
        <w:rPr>
          <w:rFonts w:ascii="Times New Roman" w:cs="Times New Roman" w:eastAsia="Times New Roman" w:hAnsi="Times New Roman"/>
          <w:sz w:val="8"/>
          <w:szCs w:val="8"/>
          <w:color w:val="auto"/>
        </w:rPr>
        <w:t>Not meaningful.</w:t>
      </w:r>
    </w:p>
    <w:p>
      <w:pPr>
        <w:spacing w:after="0" w:line="10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Loss from continuing operations increased by $88 million to a loss of $660 million in 2022 compared to 2021 primarily driven by higher net interest losses due to higher funding costs driven by higher market interest rates, partially offset by insurance recoveries on previously incurred expenses in non-interest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7804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7804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preparation of financial statements in accordance with U.S. GAAP requires management to make a number of judgments, estimates and assumptions that affect the amount of assets, liabilities, income and expenses on the consolidated financial statements. Understanding our accounting policies and the extent to which we use management judgment and estimates in applying these policies is integral to understanding our financial statements. We provide a summary of our significant accounting policies under “Part II—Item 8. Financial Statements and Supplementary Data—Note 1—Summary of Significant Accounting Policies.”</w:t>
      </w:r>
    </w:p>
    <w:p>
      <w:pPr>
        <w:spacing w:after="0" w:line="8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We have identified the following accounting estimates as critical because they require significant judgments and assumptions about highly complex and inherently uncertain matters and the use of reasonably different estimates and assumptions could have a material impact on our results of operations or financial condition. Our critical accounting policies and estimates are as follows:</w:t>
      </w:r>
    </w:p>
    <w:p>
      <w:pPr>
        <w:spacing w:after="0" w:line="75" w:lineRule="exact"/>
        <w:rPr>
          <w:sz w:val="20"/>
          <w:szCs w:val="20"/>
          <w:color w:val="auto"/>
        </w:rPr>
      </w:pPr>
    </w:p>
    <w:p>
      <w:pPr>
        <w:ind w:left="328" w:hanging="220"/>
        <w:spacing w:after="0"/>
        <w:tabs>
          <w:tab w:leader="none" w:pos="32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 loss reserves</w:t>
      </w:r>
    </w:p>
    <w:p>
      <w:pPr>
        <w:spacing w:after="0" w:line="114"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Goodwill</w:t>
      </w:r>
    </w:p>
    <w:p>
      <w:pPr>
        <w:spacing w:after="0" w:line="114"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 value</w:t>
      </w:r>
    </w:p>
    <w:p>
      <w:pPr>
        <w:spacing w:after="0" w:line="114" w:lineRule="exact"/>
        <w:rPr>
          <w:rFonts w:ascii="Times New Roman" w:cs="Times New Roman" w:eastAsia="Times New Roman" w:hAnsi="Times New Roman"/>
          <w:sz w:val="12"/>
          <w:szCs w:val="12"/>
          <w:color w:val="auto"/>
        </w:rPr>
      </w:pPr>
    </w:p>
    <w:p>
      <w:pPr>
        <w:ind w:left="328" w:hanging="220"/>
        <w:spacing w:after="0"/>
        <w:tabs>
          <w:tab w:leader="none" w:pos="32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Customer rewards reserve</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evaluate our critical accounting estimates and judgments on an ongoing basis and update them as necessary, based on changing conditions.</w:t>
      </w:r>
    </w:p>
    <w:p>
      <w:pPr>
        <w:spacing w:after="0" w:line="200" w:lineRule="exact"/>
        <w:rPr>
          <w:sz w:val="20"/>
          <w:szCs w:val="20"/>
          <w:color w:val="auto"/>
        </w:rPr>
      </w:pPr>
    </w:p>
    <w:p>
      <w:pPr>
        <w:spacing w:after="0" w:line="36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65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Loan Loss Reserves</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We maintain an allowance for credit losses that represents management’s current estimate of expected credit losses inherent in our credit card, consumer banking and commercial banking loans held for investment portfolios as of each balance sheet date. We also reserve for the uncollectible portion of finance charges and fees related to credit card loan receivables in the allowance for credit losses consistent with the methodology we use to estimate the allowance for credit losses on the principal portion of our credit card loan receivables. We also separately reserve for unfunded lending commitments that are not unconditionally cancellable. We build our allowance for credit losses and reserve for unfunded lending commitments through the provision for credit losses, which is driven by charge-offs, changes in the allowance for credit losses and changes in the reserve for unfunded lending commitments. The allowance for credit losses was $13.2 billion as of December 31, 2022, compared to $11.4 billion as of December 31, 2021.</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Our allowance for credit losses and reserve for unfunded lending commitments utilize models to derive a quantitative estimate of credit losses that is supplemented with additional qualitative considerations to capture risks and uncertainties not included in the quantitative result. Our estimate of expected credit losses, for all loan and unfunded lending commitments, includes a reasonable and supportable forecast period of one year and then reverts over a one-year period to historical losses at each relevant loss component of the estimate. We use externally produced consensus estimates as inputs for our forward-looking macroeconomic forecast and consider other forecasts and sources of uncertainty to develop the quantitative component. This quantitative result is then supplemented qualitatively by management for economic uncertainty, including the consideration of alternative macroeconomic scenarios, changes and trends in loan portfolios that may not be captured in the quantitative component. These adjustments represent management’s judgment of the imprecision and risks inherent in the processes and assumptions used in establishing the allowance for credit losses.</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have an established process, using analytical tools and management judgment, to determine our allowance for credit losses. Significant management judgment is required to determine the relevant information and estimation methods used to arrive at our best estimate of lifetime credit losses. Establishing the allowance on a quarterly basis involves evaluating and forecasting both credit and macroeconomic variables. The macroeconomic forecast used to inform both quantitative and qualitative components of our allowance for credit losses estimate is sensitive to variables that may impact borrowers’ ability to pay, such as the U.S. Unemployment Rate, and the U.S. Real Gross Domestic Product (“U.S. Real GDP”) Rate assumptions. Our December 31, 2022 allowance assumes that the average unemployment rate gradually increases to approximately 5.0% by the fourth quarter of 2023 and annualized U.S. Real GDP decreases 0.3% in 2023.</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to macroeconomic factors, many credit factors inform our allowance for credit losses, including, but not limited to, historical loss and recovery experience, recent trends in delinquencies and charge-offs, risk ratings, the impact of bankruptcy filings, the value of collateral underlying secured loans, account seasoning, changes in our credit evaluation, underwriting and collection management policies, seasonality, credit bureau scores, current general economic conditions, changes in the legal and regulatory environment and uncertainties in forecasting and modeling techniques used in estimating our allowance for credit losses.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a governance framework supported by processes and controls intended to ensure that our estimate of the allowance for credit losses is appropriate. Our governance framework provides for oversight of methods, models, qualitative adjustments, process controls and results. At least quarterly, representatives from the Finance and Risk Management organizations review and assess our allowance methodologies, key assumptions and the appropriateness of the allowance for credit losses. Groups independent of our estimation functions participate in the review and validation process. Tasks performed by these groups include periodic review of the rationale for and quantification of inputs requiring judgment as well as adjustments to results.</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have a model policy, established by an independent Model Risk Office, which governs the validation of models and related supporting documentation to ensure the appropriate use of models for estimating credit losses. The Model Risk Office validates all models and requires ongoing monitoring of their performance.</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to the allowance for credit losses, on a quarterly basis, we review and assess our estimate of expected losses related to unfunded lending commitments that are not unconditionally cancellable which are generally in our Commercial Banking business. The factors impacting our assessment generally align with those considered in our evaluation of the allowance for credit losses for the Commercial Banking business. The reserve for losses on unfunded lending commitments is included in other liabilities on the consolidated balance sheets and changes to it are recorded through the provision for credit losses in the consolidated statements of income.</w:t>
      </w:r>
    </w:p>
    <w:p>
      <w:pPr>
        <w:spacing w:after="0" w:line="200" w:lineRule="exact"/>
        <w:rPr>
          <w:sz w:val="20"/>
          <w:szCs w:val="20"/>
          <w:color w:val="auto"/>
        </w:rPr>
      </w:pPr>
    </w:p>
    <w:p>
      <w:pPr>
        <w:spacing w:after="0" w:line="33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66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Although we examine a variety of externally available data, as well as our internal loan performance data, to determine our allowance for credit losses and reserve for unfunded lending commitments, our estimation process is subject to risks and uncertainties, including a reliance on historical loss and trend information that may not be representative of current conditions and indicative of future performance as well as economic forecasts that may not align with actual future economic conditions. Accordingly, our actual credit loss experience may not be in line with our expectations. We provide additional information on the methodologies and key assumptions used in determining our allowance for credit losses for each of our loan portfolio segments in “Part II—Item 8. Financial Statements and Supplementary Data—Note 1—Summary of Significant Accounting Policies.” We provide information on the components of our allowance, disaggregated by operating segment, and changes in our allowance in “Part II—Item 8. Financial Statements and Supplementary Data—Note 4—Allowance for Credit Losses and Reserve for Unfunded Lending Commitments.”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Goodwill represents the excess of the fair value of the consideration transferred, plus the fair value of any non-controlling interests in the acquiree, over the fair value of the net assets acquired and liabilities assumed as of the acquisition date.</w:t>
      </w:r>
    </w:p>
    <w:p>
      <w:pPr>
        <w:spacing w:after="0" w:line="75"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Goodwill totaled $14.8 billion as of both December 31, 2022 and 2021. We did not recognize any goodwill impairment in 2022 or 2021. See “Part II—Item 8. Financial Statements and Supplementary Data—Note 6—Goodwill and Other Intangible Assets” for additional information.</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perform our goodwill impairment test annually on October 1 at a reporting unit level. We are also required to test goodwill for impairment whenever events or circumstances indicate it is more-likely-than-not that an impairment may have occurred. An impairment of a reporting unit’s goodwill is determined based on the amount by which the reporting unit’s carrying value exceeds its fair value, limited to the amount of goodwill allocated to the reporting unit. We have four reporting units: Credit Card, Auto Finance, Other Consumer Banking and Commercial Banking.</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the purpose of our goodwill impairment testing, we calculate the carrying amount of a reporting unit using an allocated capital approach based on each reporting unit’s specific regulatory capital requirements, economic capital requirements and underlying risks. The carrying amount for a reporting unit is the sum of its respective capital requirements, goodwill and other intangibles balances. Known future capital needs, such as dividends, share buybacks or other strategic initiatives, are assumed distributed to equity holders in future periods and are not allocated to the reporting units or the Other category.</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Determining the fair value of a reporting unit is a subjective process that requires the use of estimates and the exercise of significant judgment. We calculate the fair value of our reporting units using a discounted cash flow (“DCF”) calculation, a form of the income approach. This DCF calculation uses projected cash flows based on each reporting unit’s internal forecast and the perpetuity growth method to calculate terminal values. Our DCF calculation requires management to make estimates about future loan, deposit and revenue growth, as well as credit losses and capital rates. These cash flows and terminal values are then discounted using discount rates based on our external cost of capital with adjustments for the risk inherent in each reporting unit. Discount rates used for our reporting units ranged from 8.4% to 12.2%, and we applied a terminal year long-term growth rate of 3.7% to all reporting units. The reasonableness of our DCF calculation is assessed by reference to a market-based approach using comparable market multiples and recent market transactions where available. The results of the 2022 annual impairment test for the reporting units indicated that the estimated fair values of the Commercial Banking, Credit Card, Auto Finance, and Other Consumer Banking reporting units exceeded their carrying amounts by between 17% and 72%.</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Assumptions used in estimating the fair value of a reporting unit are judgmental and inherently uncertain. A change in the economic conditions of a reporting unit, such as declines in business performance as a result of industry or macroeconomic trends or changes in our strategy, adverse impacts to loan or deposit growth trends, decreases in revenue, increases in expenses, increases in credit losses, increases in capital requirements, deterioration of market conditions, declines in long-term growth expectations, adverse impacts of regulatory or legislative changes or increases in the estimated cost of capital, including if these conditions are merely forecasted to occur in future periods, could cause the estimated fair values of our reporting units to decline in the future, and increase the risk of a goodwill impairment in a future period.</w:t>
      </w:r>
    </w:p>
    <w:p>
      <w:pPr>
        <w:spacing w:after="0" w:line="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We have a governance framework supported by processes and controls intended to ensure that the accounting and disclosure for goodwill is appropriate. Our governance framework provides for oversight of assumptions, forecast inputs, methods, process controls and results.</w:t>
      </w:r>
    </w:p>
    <w:p>
      <w:pPr>
        <w:spacing w:after="0" w:line="200" w:lineRule="exact"/>
        <w:rPr>
          <w:sz w:val="20"/>
          <w:szCs w:val="20"/>
          <w:color w:val="auto"/>
        </w:rPr>
      </w:pPr>
    </w:p>
    <w:p>
      <w:pPr>
        <w:spacing w:after="0" w:line="240"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67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Fair value, also referred to as an exit price, is defined as the price that would be received for an asset or paid to transfer a liability in an orderly transaction between market participants on the measurement date. The fair value accounting guidance provides a three-level fair value hierarchy for classifying financial instruments. This hierarchy is based on the markets in which the assets or liabilities trade and whether the inputs to the valuation techniques used to measure fair value are observable or unobservable. The fair value measurement of a financial asset or liability is assigned a level based on the lowest level of any input that is significant to the fair value measurement in its entirety. The three levels of the fair value hierarchy are described below:</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Level 1: Valuation is based on quoted prices (unadjusted) in active markets for identical assets or liabilities.</w:t>
      </w:r>
    </w:p>
    <w:p>
      <w:pPr>
        <w:spacing w:after="0" w:line="114" w:lineRule="exact"/>
        <w:rPr>
          <w:sz w:val="20"/>
          <w:szCs w:val="20"/>
          <w:color w:val="auto"/>
        </w:rPr>
      </w:pPr>
    </w:p>
    <w:p>
      <w:pPr>
        <w:ind w:left="260"/>
        <w:spacing w:after="0" w:line="279" w:lineRule="auto"/>
        <w:rPr>
          <w:sz w:val="20"/>
          <w:szCs w:val="20"/>
          <w:color w:val="auto"/>
        </w:rPr>
      </w:pPr>
      <w:r>
        <w:rPr>
          <w:rFonts w:ascii="Times New Roman" w:cs="Times New Roman" w:eastAsia="Times New Roman" w:hAnsi="Times New Roman"/>
          <w:sz w:val="12"/>
          <w:szCs w:val="12"/>
          <w:color w:val="auto"/>
        </w:rPr>
        <w:t>Level 2: Valuation is based on observable market-based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Level 3: Valuation is generated from techniques that use significant assumptions not observable in the market. Valuation techniques include pricing models, discounted cash flow methodologies or similar techniques.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degree of management judgment involved in determining the fair value of a financial instrument is dependent upon the availability of quoted prices in active markets or observable market parameters. When quoted prices and observable data in active markets are not fully available, management judgment is necessary to estimate fair value. Changes in market conditions, such as reduced liquidity in the capital markets or changes in secondary market activities, may reduce the availability and reliability of quoted prices or observable data used to determine fair value.</w:t>
      </w:r>
    </w:p>
    <w:p>
      <w:pPr>
        <w:spacing w:after="0" w:line="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developed policies and procedures to determine when markets for our financial assets and liabilities are inactive if the level and volume of activity has declined significantly relative to normal conditions. If markets are determined to be inactive, it may be appropriate to adjust price quotes received. When significant adjustments are required to price quotes or inputs, it may be appropriate to utilize an estimate based primarily on unobservable inputs.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Significant judgment may be required to determine whether certain financial instruments measured at fair value are classified as Level 2 or Level 3. In making this determination, we consider all available information that market participants use to measure the fair value of the financial instrument, including observable market data, indications of market liquidity and orderliness, and our understanding of the valuation techniques and significant inputs used. Based upon the specific facts and circumstances of each instrument or instrument category, judgments are made regarding the significance of the Level 3 inputs to the instruments’ fair value measurement in its entirety. If Level 3 inputs are considered significant, the instrument is classified as Level 3. The process for determining fair value using unobservable inputs is generally more subjective and involves a high degree of management judgment and assumptions. We discuss changes in the valuation inputs and assumptions used in determining the fair value of our financial instruments, including the extent to which we have relied on significant unobservable inputs to estimate fair value and our process for corroborating these inputs, in “Part II—Item 8. Financial Statements and Supplementary Data—Note 16—Fair Value Measurement.”</w:t>
      </w:r>
    </w:p>
    <w:p>
      <w:pPr>
        <w:spacing w:after="0" w:line="8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a governance framework and a number of key controls that are intended to ensure that our fair value measurements are appropriate and reliable. Our governance framework provides for independent oversight and segregation of duties. Our control processes include review and approval of new transaction types, price verification, and review of valuation judgments, methods, models, process controls and results.</w:t>
      </w:r>
    </w:p>
    <w:p>
      <w:pPr>
        <w:spacing w:after="0" w:line="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Groups independent of our trading and investing functions participate in the review and validation process. Tasks performed by these groups include periodic verification of fair value measurements to determine if assigned fair values are reasonable, including comparing prices from vendor pricing services to other available market information.</w:t>
      </w:r>
    </w:p>
    <w:p>
      <w:pPr>
        <w:spacing w:after="0" w:line="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Fair Value Committee (“FVC”), which includes representation from business areas, Risk Management and Finance, provides guidance and oversight to ensure an appropriate valuation control environment. The FVC regularly reviews and approves our fair valuations to ensure that our valuation practices are consistent with industry standards and adhere to regulatory and accounting guidance.</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68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a model policy, established by an independent Model Risk Office, which governs the validation of models and related supporting documentation to ensure the appropriate use of models for pricing and fair value measurements.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Model Risk Office validates all models and requires ongoing monitoring of their performance.</w:t>
      </w:r>
    </w:p>
    <w:p>
      <w:pPr>
        <w:spacing w:after="0" w:line="10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fair value governance process is set up in a manner that allows the Chairperson of the FVC to escalate valuation disputes that cannot be resolved by the FVC to a more senior committee called the Valuations Advisory Committee (“VAC”) for resolution. The VAC is chaired by the Chief Financial Officer and includes other members of senior management. . There were no disputes escalated to the VAC for the years ended December 31, 2022 and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Customer Rewards Reserve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offer products, primarily credit cards, which include programs that allow members to earn rewards based on account activity that can be redeemed for cash (primarily in the form of statement credits), gift cards, travel, or covering eligible charges. The amount of rewards that a customer earns varies based on the terms and conditions of the rewards program and product. The majority of our rewards do not expire and there is no limit on the amount of rewards an eligible card member can earn. Customer rewards costs, which we generally record as an offset to interchange income, are driven by various factors such as card member purchase volume, the terms and conditions of the rewards program and rewards redemption cost. We establish a customer rewards reserve that reflects management’s judgment regarding rewards earned that are expected to be redeemed and the estimated redemption cost.</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use financial models to estimate ultimate redemption rates of rewards earned to date by current card members based on historical redemption trends, current enrollee redemption behavior, card product type, year of program enrollment, enrollment tenure and card spend levels. Our current assumption is that the vast majority of all rewards earned will eventually be redeemed. We use the weighted-average redemption cost during the previous twelve months, adjusted as appropriate for recent changes in redemption costs, including changes related to the mix of rewards redeemed, to estimate future redemption costs. We continually evaluate our reserve and assumptions based on developments in redemption patterns, changes to the terms and conditions of the rewards program and other factors. While the rewards liability is sensitive to changes in assumptions for redemption rates and costs and involves management judgment, we believe portfolio characteristics and historical performance are the best indication of future reward redemption behavior and are the primary basis for our estimate. We recognized customer rewards expense of $7.6 billion, $6.4 billion and $4.9 billion in 2022, 2021 and 2020, respectively. Our customer rewards reserve, which is included in other liabilities on our consolidated balance sheets, totaled $6.8 billion and $6.2 billion as of December 31, 2022 and 2021, respectively.</w:t>
      </w:r>
    </w:p>
    <w:p>
      <w:pPr>
        <w:spacing w:after="0" w:line="9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a governance framework supported by processes and controls that are intended to ensure that our rewards liability estimate is appropriate and reliable. Our governance framework provides for oversight of assumptions, inputs, methods, process controls and results. Additional controls are performed to ensure all underlying data used to derive the rewards liability is complete and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CHANGES AND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Standards Issued but Not Adopted as of December 31, 2022</w:t>
      </w:r>
    </w:p>
    <w:p>
      <w:pPr>
        <w:spacing w:after="0" w:line="139" w:lineRule="exact"/>
        <w:rPr>
          <w:sz w:val="20"/>
          <w:szCs w:val="20"/>
          <w:color w:val="auto"/>
        </w:rPr>
      </w:pPr>
    </w:p>
    <w:p>
      <w:pPr>
        <w:ind w:left="1680"/>
        <w:spacing w:after="0"/>
        <w:tabs>
          <w:tab w:leader="none" w:pos="5420" w:val="left"/>
          <w:tab w:leader="none" w:pos="8340" w:val="left"/>
        </w:tabs>
        <w:rPr>
          <w:sz w:val="20"/>
          <w:szCs w:val="20"/>
          <w:color w:val="auto"/>
        </w:rPr>
      </w:pPr>
      <w:r>
        <w:rPr>
          <w:rFonts w:ascii="Times New Roman" w:cs="Times New Roman" w:eastAsia="Times New Roman" w:hAnsi="Times New Roman"/>
          <w:sz w:val="10"/>
          <w:szCs w:val="10"/>
          <w:b w:val="1"/>
          <w:bCs w:val="1"/>
          <w:color w:val="auto"/>
        </w:rPr>
        <w:t>Standard</w:t>
      </w:r>
      <w:r>
        <w:rPr>
          <w:sz w:val="20"/>
          <w:szCs w:val="20"/>
          <w:color w:val="auto"/>
        </w:rPr>
        <w:tab/>
      </w:r>
      <w:r>
        <w:rPr>
          <w:rFonts w:ascii="Times New Roman" w:cs="Times New Roman" w:eastAsia="Times New Roman" w:hAnsi="Times New Roman"/>
          <w:sz w:val="10"/>
          <w:szCs w:val="10"/>
          <w:b w:val="1"/>
          <w:bCs w:val="1"/>
          <w:color w:val="auto"/>
        </w:rPr>
        <w:t>Guidance</w:t>
      </w:r>
      <w:r>
        <w:rPr>
          <w:sz w:val="20"/>
          <w:szCs w:val="20"/>
          <w:color w:val="auto"/>
        </w:rPr>
        <w:tab/>
      </w:r>
      <w:r>
        <w:rPr>
          <w:rFonts w:ascii="Times New Roman" w:cs="Times New Roman" w:eastAsia="Times New Roman" w:hAnsi="Times New Roman"/>
          <w:sz w:val="8"/>
          <w:szCs w:val="8"/>
          <w:b w:val="1"/>
          <w:bCs w:val="1"/>
          <w:color w:val="auto"/>
        </w:rPr>
        <w:t>Adoption Timing and Financial Statement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713232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TDR and Vintage Disclosures</w:t>
            </w:r>
          </w:p>
        </w:tc>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The amendments in this update eliminate the accounting guidance for Troubled</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 xml:space="preserve">ASU No. 2022-02, Financial Instruments - Credit Losses (Topic 326): </w:t>
            </w:r>
            <w:r>
              <w:rPr>
                <w:rFonts w:ascii="Times New Roman" w:cs="Times New Roman" w:eastAsia="Times New Roman" w:hAnsi="Times New Roman"/>
                <w:sz w:val="11"/>
                <w:szCs w:val="11"/>
                <w:i w:val="1"/>
                <w:iCs w:val="1"/>
                <w:color w:val="auto"/>
              </w:rPr>
              <w:t>Troubled</w:t>
            </w:r>
          </w:p>
        </w:tc>
        <w:tc>
          <w:tcPr>
            <w:tcW w:w="376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rPr>
              <w:t>Debt Restructurings, while enhancing disclosure requirements for certain loan</w:t>
            </w: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376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w w:val="97"/>
              </w:rPr>
              <w:t>refinancings and restructurings for borrowers experiencing financial difficulty. The</w:t>
            </w:r>
          </w:p>
        </w:tc>
        <w:tc>
          <w:tcPr>
            <w:tcW w:w="0" w:type="dxa"/>
            <w:vAlign w:val="bottom"/>
          </w:tcPr>
          <w:p>
            <w:pPr>
              <w:spacing w:after="0"/>
              <w:rPr>
                <w:sz w:val="1"/>
                <w:szCs w:val="1"/>
                <w:color w:val="auto"/>
              </w:rPr>
            </w:pPr>
          </w:p>
        </w:tc>
      </w:tr>
      <w:tr>
        <w:trPr>
          <w:trHeight w:val="108"/>
        </w:trPr>
        <w:tc>
          <w:tcPr>
            <w:tcW w:w="3600" w:type="dxa"/>
            <w:vAlign w:val="bottom"/>
          </w:tcPr>
          <w:p>
            <w:pPr>
              <w:spacing w:after="0" w:line="108" w:lineRule="exact"/>
              <w:rPr>
                <w:sz w:val="20"/>
                <w:szCs w:val="20"/>
                <w:color w:val="auto"/>
              </w:rPr>
            </w:pPr>
            <w:r>
              <w:rPr>
                <w:rFonts w:ascii="Times New Roman" w:cs="Times New Roman" w:eastAsia="Times New Roman" w:hAnsi="Times New Roman"/>
                <w:sz w:val="11"/>
                <w:szCs w:val="11"/>
                <w:i w:val="1"/>
                <w:iCs w:val="1"/>
                <w:color w:val="auto"/>
              </w:rPr>
              <w:t>Debt Restructuring and Vintage Disclosures</w:t>
            </w:r>
          </w:p>
        </w:tc>
        <w:tc>
          <w:tcPr>
            <w:tcW w:w="3760" w:type="dxa"/>
            <w:vAlign w:val="bottom"/>
          </w:tcPr>
          <w:p>
            <w:pPr>
              <w:ind w:left="160"/>
              <w:spacing w:after="0" w:line="108" w:lineRule="exact"/>
              <w:rPr>
                <w:sz w:val="20"/>
                <w:szCs w:val="20"/>
                <w:color w:val="auto"/>
              </w:rPr>
            </w:pPr>
            <w:r>
              <w:rPr>
                <w:rFonts w:ascii="Times New Roman" w:cs="Times New Roman" w:eastAsia="Times New Roman" w:hAnsi="Times New Roman"/>
                <w:sz w:val="11"/>
                <w:szCs w:val="11"/>
                <w:color w:val="auto"/>
                <w:w w:val="97"/>
              </w:rPr>
              <w:t>amendments also require public entities to disclose current-period gross charge offs</w:t>
            </w:r>
          </w:p>
        </w:tc>
        <w:tc>
          <w:tcPr>
            <w:tcW w:w="0" w:type="dxa"/>
            <w:vAlign w:val="bottom"/>
          </w:tcPr>
          <w:p>
            <w:pPr>
              <w:spacing w:after="0"/>
              <w:rPr>
                <w:sz w:val="1"/>
                <w:szCs w:val="1"/>
                <w:color w:val="auto"/>
              </w:rPr>
            </w:pPr>
          </w:p>
        </w:tc>
      </w:tr>
      <w:tr>
        <w:trPr>
          <w:trHeight w:val="140"/>
        </w:trPr>
        <w:tc>
          <w:tcPr>
            <w:tcW w:w="36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Issued March 2022</w:t>
            </w:r>
          </w:p>
        </w:tc>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by year of origination for loans held for investment.</w:t>
            </w: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This ASU became effective for us on January 1, 2023.</w:t>
      </w:r>
    </w:p>
    <w:p>
      <w:pPr>
        <w:spacing w:after="0" w:line="198"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11"/>
          <w:szCs w:val="11"/>
          <w:color w:val="auto"/>
        </w:rPr>
        <w:t>We adopted this guidance in the first quarter of 2023 using the modified retrospective method. Adoption of this standard did not have a material impact on our consolidated financial statements.</w:t>
      </w:r>
    </w:p>
    <w:p>
      <w:pPr>
        <w:spacing w:after="0" w:line="308" w:lineRule="exact"/>
        <w:rPr>
          <w:sz w:val="20"/>
          <w:szCs w:val="20"/>
          <w:color w:val="auto"/>
        </w:rPr>
      </w:pPr>
    </w:p>
    <w:p>
      <w:pPr>
        <w:sectPr>
          <w:pgSz w:w="11900" w:h="16838" w:orient="portrait"/>
          <w:cols w:equalWidth="0" w:num="2">
            <w:col w:w="7400" w:space="180"/>
            <w:col w:w="3720"/>
          </w:cols>
          <w:pgMar w:left="300" w:top="16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69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level and composition of our capital are determined by multiple factors, including our consolidated regulatory capital requirements as described in more detail below and internal risk-based capital assessments such as internal stress testing. The level and composition of our capital may also be influenced by rating agency guidelines, subsidiary capital requirements, business environment, conditions in the financial markets and assessments of potential future losses due to adverse changes in our business and market environments.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Capital Standards and Prompt Corrective Action</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and the Bank are subject to the Basel III Capital Rules. The Basel III Capital Rules implement certain capital requirements published by the Basel Committee, along with certain provisions of the Dodd-Frank Act and other capital provisions.</w:t>
      </w:r>
    </w:p>
    <w:p>
      <w:pPr>
        <w:spacing w:after="0" w:line="75" w:lineRule="exact"/>
        <w:rPr>
          <w:sz w:val="20"/>
          <w:szCs w:val="20"/>
          <w:color w:val="auto"/>
        </w:rPr>
      </w:pPr>
    </w:p>
    <w:p>
      <w:pPr>
        <w:ind w:right="380"/>
        <w:spacing w:after="0" w:line="523" w:lineRule="auto"/>
        <w:rPr>
          <w:sz w:val="20"/>
          <w:szCs w:val="20"/>
          <w:color w:val="auto"/>
        </w:rPr>
      </w:pPr>
      <w:r>
        <w:rPr>
          <w:rFonts w:ascii="Times New Roman" w:cs="Times New Roman" w:eastAsia="Times New Roman" w:hAnsi="Times New Roman"/>
          <w:sz w:val="12"/>
          <w:szCs w:val="12"/>
          <w:color w:val="auto"/>
        </w:rPr>
        <w:t xml:space="preserve">As a BHC with total consolidated assets of at least $250 billion but less than $700 billion and not exceeding any of the applicable risk-based thresholds, the Company is a Category III institution under the Basel III Capital Rules. The Bank, as a subsidiary of a Category III institution, is a Category III bank. Moreover, the Bank, as an insured depository institution, is subject to PCA capital regulations. </w:t>
      </w:r>
      <w:r>
        <w:rPr>
          <w:rFonts w:ascii="Times New Roman" w:cs="Times New Roman" w:eastAsia="Times New Roman" w:hAnsi="Times New Roman"/>
          <w:sz w:val="12"/>
          <w:szCs w:val="12"/>
          <w:b w:val="1"/>
          <w:bCs w:val="1"/>
          <w:i w:val="1"/>
          <w:iCs w:val="1"/>
          <w:color w:val="auto"/>
        </w:rPr>
        <w:t>Basel III and United States Capital Rules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Under the Basel III Capital Rules, we must maintain a minimum CET1 capital ratio of 4.5%, a Tier 1 capital ratio of 6.0% and a total capital ratio of 8.0%, in each case in relation to risk-weighted assets. In addition, we must maintain a minimum leverage ratio of 4.0% and a minimum supplementary leverage ratio of 3.0%. We are also subject to the capital conservation buffer requirement and countercyclical capital buffer requirement as described below. Our capital and leverage ratios are calculated based on the Basel III standardized approach framework.</w:t>
      </w:r>
    </w:p>
    <w:p>
      <w:pPr>
        <w:spacing w:after="0" w:line="83" w:lineRule="exact"/>
        <w:rPr>
          <w:sz w:val="20"/>
          <w:szCs w:val="20"/>
          <w:color w:val="auto"/>
        </w:rPr>
      </w:pPr>
    </w:p>
    <w:p>
      <w:pPr>
        <w:ind w:right="160"/>
        <w:spacing w:after="0" w:line="523" w:lineRule="auto"/>
        <w:rPr>
          <w:sz w:val="20"/>
          <w:szCs w:val="20"/>
          <w:color w:val="auto"/>
        </w:rPr>
      </w:pPr>
      <w:r>
        <w:rPr>
          <w:rFonts w:ascii="Times New Roman" w:cs="Times New Roman" w:eastAsia="Times New Roman" w:hAnsi="Times New Roman"/>
          <w:sz w:val="12"/>
          <w:szCs w:val="12"/>
          <w:color w:val="auto"/>
        </w:rPr>
        <w:t xml:space="preserve">We have elected to exclude certain elements of AOCI from our regulatory capital as permitted for a Category III institution. G-SIBs that are based in the U.S. are subject to an additional CET1 capital requirement known as the “G-SIB Surcharge.” We are not a G-SIB based on the most recent available data and thus we are not subject to a G-SIB Surcharge. </w:t>
      </w:r>
      <w:r>
        <w:rPr>
          <w:rFonts w:ascii="Times New Roman" w:cs="Times New Roman" w:eastAsia="Times New Roman" w:hAnsi="Times New Roman"/>
          <w:sz w:val="12"/>
          <w:szCs w:val="12"/>
          <w:b w:val="1"/>
          <w:bCs w:val="1"/>
          <w:i w:val="1"/>
          <w:iCs w:val="1"/>
          <w:color w:val="auto"/>
        </w:rPr>
        <w:t>Stress Capital Buffer Rule</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Basel III Capital Rules require banking institutions to maintain a capital conservation buffer, composed of CET1 capital, above the regulatory minimum ratios. Under the Stress Capital Buffer Rule, the Company’s “standardized approach capital conservation buffer” includes its stress capital buffer requirement (as described below), any G-SIB Surcharge (which is not applicable to us) and the countercyclical capital buffer requirement (which is currently set at 0%). Any determination to increase the countercyclical capital buffer generally would be effective twelve months after the announcement of such an increase, unless the Federal Banking Agencies set an earlier effective date.</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stress capital buffer requirement is recalibrated every year based on the Company’s supervisory stress test results. In particular, the Company’s stress capital buffer requirement equals, subject to a floor of 2.5%, the sum of (i) the difference between the Company’s starting CET1 capital ratio and its lowest projected CET1 capital ratio under the severely adverse scenario of the Federal Reserve’s supervisory stress test plus (ii) the ratio of the Company’s projected four quarters of common stock dividends (for the fourth to seventh quarters of the planning horizon) to the projected risk-weighted assets for the quarter in which the Company’s projected CET1 capital ratio reaches its minimum under the supervisory stress test.</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Based on the Company’s 2021 supervisory stress test results, the Company’s stress capital buffer requirement for the period beginning on October 1, 2021 through September 30, 2022 was 2.5%. Therefore, the Company’s minimum capital requirements plus the standardized approach capital conservation buffer for CET1 capital, Tier 1 capital and total capital ratios under the stress capital buffer framework were 7.0%, 8.5% and 10.5%, respectively, for the period from October 1, 2021 through September 30, 2022.</w:t>
      </w:r>
    </w:p>
    <w:p>
      <w:pPr>
        <w:spacing w:after="0" w:line="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Based on the Company’s 2022 supervisory stress test results, the Company’s stress capital buffer requirement for the period beginning on October 1, 2022 through September 30, 2023 is 3.1%. Therefore, the Company’s minimum capital requirements plus the standardized approach capital conservation buffer for CET1 capital, Tier 1 capital and total capital ratios under the</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70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stress capital buffer framework are 7.6%, 9.1% and 11.1%, respectively, for the period from October 1, 2022 through September 30, 2023.</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Stress Capital Buffer Rule does not apply to the Bank. The capital conservation buffer for the Bank continues to be fixed at 2.5%. Accordingly, the Bank’s minimum capital requirements plus its capital conservation buffer for CET1 capital, Tier 1 capital and total capital ratios are 7.0%, 8.5% and 10.5% respectively.</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the Company or the Bank fails to maintain its capital ratios above the minimum capital requirements plus the applicable capital conservation buffer requirements, it will face increasingly strict automatic limitations on capital distributions and discretionary bonus payments to certain executive officers.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December 31, 2022 and 2021, respectively, the Company and the Bank each exceeded the minimum capital requirements and the capital conservation buffer requirements applicable to them, and the Company and the Bank were each “well-capitalized.” The “well-capitalized” standards applicable to the Company are established in the Federal Reserve’s regulations, and the “well-capitalized” standards applicable to the Bank are established in the OCC’s PCA capital requirements.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Market Risk Rule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“Market Risk Rule” supplements the Basel III Capital Rules by requiring institutions subject to the rule to adjust their risk-based capital ratios to reflect the market risk in their trading book. The Market Risk Rule generally applies to institutions with aggregate trading assets and liabilities equal to 10% or more of total assets or $1 billion or more. As of December 31, 2022, the Company and CONA are subject to the Market Risk Rule. See “Market Risk Profile” below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CECL Transition Rule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Federal Banking Agencies adopted the CECL Transition Rule that provides banking institutions an optional five-year transition period to phase in the impact of the CECL standard on their regulatory capital, the CECL Transition Election. We adopted the CECL standard (for accounting purposes) as of January 1, 2020, and made the CECL Transition Election (for regulatory capital purposes) in the first quarter of 2020. Therefore, the applicable amounts presented in this Report reflect such election.</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Pursuant to the CECL Transition Rule, a banking institution could elect to delay the estimated impact of adopting CECL on its regulatory capital through December 31, 2021 and then phase in the estimated cumulative impact from January 1, 2022 through December 31, 2024. For the “day 2” ongoing impact of CECL during the initial two years, the Federal Banking Agencies used a uniform “scaling factor” of 25% as an approximation of the increase in the allowance under the CECL standard compared to the prior incurred loss methodology. Accordingly, from January 1, 2020 through December 31, 2021, electing banking institutions were permitted to add back to their regulatory capital an amount equal to the sum of the after-tax “day 1” CECL adoption impact and 25% of the increase in the allowance since the adoption of the CECL standard. From January 1, 2022 through December 31, 2024, the after-tax “day 1” CECL adoption impact and the cumulative “day 2” ongoing impact are being phased in to regulatory capital at 25% per year. The following table summarizes the capital impact delay and phase in period on our regulatory capital from years 2020 to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center"/>
              <w:ind w:right="666"/>
              <w:spacing w:after="0"/>
              <w:rPr>
                <w:sz w:val="20"/>
                <w:szCs w:val="20"/>
                <w:color w:val="auto"/>
              </w:rPr>
            </w:pPr>
            <w:r>
              <w:rPr>
                <w:rFonts w:ascii="Times New Roman" w:cs="Times New Roman" w:eastAsia="Times New Roman" w:hAnsi="Times New Roman"/>
                <w:sz w:val="11"/>
                <w:szCs w:val="11"/>
                <w:b w:val="1"/>
                <w:bCs w:val="1"/>
                <w:color w:val="auto"/>
                <w:w w:val="98"/>
              </w:rPr>
              <w:t>Capital Impact Delayed</w:t>
            </w:r>
          </w:p>
        </w:tc>
        <w:tc>
          <w:tcPr>
            <w:tcW w:w="10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1"/>
                <w:szCs w:val="11"/>
                <w:b w:val="1"/>
                <w:bCs w:val="1"/>
                <w:color w:val="auto"/>
              </w:rPr>
              <w:t>Phase In Period</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18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12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12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12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12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“Day 1” CECL adoption impact</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Capital impact delayed to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9"/>
              </w:rPr>
              <w:t>25% Phased In</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6"/>
              </w:rPr>
              <w:t>50% Phased In</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w w:val="96"/>
              </w:rPr>
              <w:t>75% Phased In</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Fully Phased In</w:t>
            </w:r>
          </w:p>
        </w:tc>
        <w:tc>
          <w:tcPr>
            <w:tcW w:w="0" w:type="dxa"/>
            <w:vAlign w:val="bottom"/>
          </w:tcPr>
          <w:p>
            <w:pPr>
              <w:spacing w:after="0"/>
              <w:rPr>
                <w:sz w:val="1"/>
                <w:szCs w:val="1"/>
                <w:color w:val="auto"/>
              </w:rPr>
            </w:pPr>
          </w:p>
        </w:tc>
      </w:tr>
      <w:tr>
        <w:trPr>
          <w:trHeight w:val="102"/>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Cumulative “day 2” ongoing impact</w:t>
            </w:r>
          </w:p>
        </w:tc>
        <w:tc>
          <w:tcPr>
            <w:tcW w:w="2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25% scaling factor as an approximation of the increase in</w:t>
            </w:r>
          </w:p>
        </w:tc>
        <w:tc>
          <w:tcPr>
            <w:tcW w:w="10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340" w:type="dxa"/>
            <w:vAlign w:val="bottom"/>
            <w:gridSpan w:val="2"/>
            <w:vMerge w:val="continue"/>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3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820" w:type="dxa"/>
            <w:vAlign w:val="bottom"/>
            <w:vMerge w:val="restart"/>
          </w:tcPr>
          <w:p>
            <w:pPr>
              <w:jc w:val="center"/>
              <w:ind w:right="666"/>
              <w:spacing w:after="0"/>
              <w:rPr>
                <w:sz w:val="20"/>
                <w:szCs w:val="20"/>
                <w:color w:val="auto"/>
              </w:rPr>
            </w:pPr>
            <w:r>
              <w:rPr>
                <w:rFonts w:ascii="Times New Roman" w:cs="Times New Roman" w:eastAsia="Times New Roman" w:hAnsi="Times New Roman"/>
                <w:sz w:val="11"/>
                <w:szCs w:val="11"/>
                <w:color w:val="auto"/>
                <w:w w:val="98"/>
              </w:rPr>
              <w:t>allowance under CECL</w:t>
            </w: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December 31, 2021, we added back an aggregate amount of $2.4 billion to our regulatory capital pursuant to the CECL Transition Rule. Consistent with the rule, we phased in 25% of this amount, or $599 million, on January 1, 2022, leaving $1.8 billion to be phased in over 2023-2025. As of December 31, 2022, the Company’s CET1 capital ratio, reflecting the CECL Transition Rule, was 12.5% and would have been 12.0% excluding the impact of the CECL Transition Rule (or “on a fully phased-in basis”).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description of the regulatory capital rules to which we are subject, see “Part I—Item 1. Business—Supervision and Regulation.”</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71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72" w:name="page73"/>
    <w:bookmarkEnd w:id="7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Table 12 provides a comparison of our regulatory capital ratios under the Basel III standardized approach, the regulatory minimum capital adequacy ratios and the applicable well-capitalized standards as of December 31, 2022 and 2021.</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12: Capital Ratios Under Basel III</w:t>
      </w:r>
      <w:r>
        <w:rPr>
          <w:rFonts w:ascii="Times New Roman" w:cs="Times New Roman" w:eastAsia="Times New Roman" w:hAnsi="Times New Roman"/>
          <w:sz w:val="14"/>
          <w:szCs w:val="14"/>
          <w:b w:val="1"/>
          <w:bCs w:val="1"/>
          <w:color w:val="auto"/>
          <w:vertAlign w:val="superscript"/>
        </w:rPr>
        <w:t>(1)</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w w:val="98"/>
              </w:rPr>
              <w:t>Minimum</w:t>
            </w:r>
          </w:p>
        </w:tc>
        <w:tc>
          <w:tcPr>
            <w:tcW w:w="13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0"/>
                <w:szCs w:val="10"/>
                <w:b w:val="1"/>
                <w:bCs w:val="1"/>
                <w:color w:val="auto"/>
              </w:rPr>
              <w:t>Well-</w:t>
            </w: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tcPr>
          <w:p>
            <w:pPr>
              <w:jc w:val="center"/>
              <w:ind w:right="80"/>
              <w:spacing w:after="0" w:line="87" w:lineRule="exact"/>
              <w:rPr>
                <w:sz w:val="20"/>
                <w:szCs w:val="20"/>
                <w:color w:val="auto"/>
              </w:rPr>
            </w:pPr>
            <w:r>
              <w:rPr>
                <w:rFonts w:ascii="Times New Roman" w:cs="Times New Roman" w:eastAsia="Times New Roman" w:hAnsi="Times New Roman"/>
                <w:sz w:val="10"/>
                <w:szCs w:val="10"/>
                <w:b w:val="1"/>
                <w:bCs w:val="1"/>
                <w:color w:val="auto"/>
                <w:w w:val="98"/>
              </w:rPr>
              <w:t>Minimum</w:t>
            </w:r>
          </w:p>
        </w:tc>
        <w:tc>
          <w:tcPr>
            <w:tcW w:w="1260" w:type="dxa"/>
            <w:vAlign w:val="bottom"/>
            <w:vMerge w:val="restart"/>
          </w:tcPr>
          <w:p>
            <w:pPr>
              <w:jc w:val="right"/>
              <w:ind w:right="467"/>
              <w:spacing w:after="0"/>
              <w:rPr>
                <w:sz w:val="20"/>
                <w:szCs w:val="20"/>
                <w:color w:val="auto"/>
              </w:rPr>
            </w:pPr>
            <w:r>
              <w:rPr>
                <w:rFonts w:ascii="Times New Roman" w:cs="Times New Roman" w:eastAsia="Times New Roman" w:hAnsi="Times New Roman"/>
                <w:sz w:val="10"/>
                <w:szCs w:val="10"/>
                <w:b w:val="1"/>
                <w:bCs w:val="1"/>
                <w:color w:val="auto"/>
              </w:rPr>
              <w:t>Well-</w:t>
            </w:r>
          </w:p>
        </w:tc>
        <w:tc>
          <w:tcPr>
            <w:tcW w:w="0" w:type="dxa"/>
            <w:vAlign w:val="bottom"/>
          </w:tcPr>
          <w:p>
            <w:pPr>
              <w:spacing w:after="0"/>
              <w:rPr>
                <w:sz w:val="1"/>
                <w:szCs w:val="1"/>
                <w:color w:val="auto"/>
              </w:rPr>
            </w:pPr>
          </w:p>
        </w:tc>
      </w:tr>
      <w:tr>
        <w:trPr>
          <w:trHeight w:val="99"/>
        </w:trPr>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w w:val="94"/>
              </w:rPr>
              <w:t>Ratio</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1340" w:type="dxa"/>
            <w:vAlign w:val="bottom"/>
            <w:gridSpan w:val="2"/>
            <w:vMerge w:val="continue"/>
          </w:tcPr>
          <w:p>
            <w:pPr>
              <w:spacing w:after="0"/>
              <w:rPr>
                <w:sz w:val="8"/>
                <w:szCs w:val="8"/>
                <w:color w:val="auto"/>
              </w:rPr>
            </w:pPr>
          </w:p>
        </w:tc>
        <w:tc>
          <w:tcPr>
            <w:tcW w:w="1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Ratio</w:t>
            </w:r>
          </w:p>
        </w:tc>
        <w:tc>
          <w:tcPr>
            <w:tcW w:w="12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Adequacy</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Capitalized</w:t>
            </w:r>
          </w:p>
        </w:tc>
        <w:tc>
          <w:tcPr>
            <w:tcW w:w="1080" w:type="dxa"/>
            <w:vAlign w:val="bottom"/>
            <w:gridSpan w:val="2"/>
            <w:vMerge w:val="continue"/>
          </w:tcPr>
          <w:p>
            <w:pPr>
              <w:spacing w:after="0"/>
              <w:rPr>
                <w:sz w:val="11"/>
                <w:szCs w:val="11"/>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Adequacy</w:t>
            </w:r>
          </w:p>
        </w:tc>
        <w:tc>
          <w:tcPr>
            <w:tcW w:w="12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Capitalized</w:t>
            </w:r>
          </w:p>
        </w:tc>
        <w:tc>
          <w:tcPr>
            <w:tcW w:w="0" w:type="dxa"/>
            <w:vAlign w:val="bottom"/>
          </w:tcPr>
          <w:p>
            <w:pPr>
              <w:spacing w:after="0"/>
              <w:rPr>
                <w:sz w:val="1"/>
                <w:szCs w:val="1"/>
                <w:color w:val="auto"/>
              </w:rPr>
            </w:pPr>
          </w:p>
        </w:tc>
      </w:tr>
      <w:tr>
        <w:trPr>
          <w:trHeight w:val="137"/>
        </w:trPr>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Capital One Financial Corp:</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0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Common equity Tier 1 capital</w:t>
            </w:r>
            <w:r>
              <w:rPr>
                <w:rFonts w:ascii="Times New Roman" w:cs="Times New Roman" w:eastAsia="Times New Roman" w:hAnsi="Times New Roman"/>
                <w:sz w:val="14"/>
                <w:szCs w:val="14"/>
                <w:color w:val="auto"/>
                <w:vertAlign w:val="superscript"/>
              </w:rPr>
              <w:t>(2)</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12.5 %</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b w:val="1"/>
                <w:bCs w:val="1"/>
                <w:color w:val="auto"/>
                <w:w w:val="94"/>
              </w:rPr>
              <w:t>4.5 %</w:t>
            </w:r>
          </w:p>
        </w:tc>
        <w:tc>
          <w:tcPr>
            <w:tcW w:w="100" w:type="dxa"/>
            <w:vAlign w:val="bottom"/>
          </w:tcPr>
          <w:p>
            <w:pPr>
              <w:spacing w:after="0"/>
              <w:rPr>
                <w:sz w:val="12"/>
                <w:szCs w:val="12"/>
                <w:color w:val="auto"/>
              </w:rPr>
            </w:pP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1"/>
                <w:szCs w:val="11"/>
                <w:b w:val="1"/>
                <w:bCs w:val="1"/>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13.1 %</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4.5 %</w:t>
            </w:r>
          </w:p>
        </w:tc>
        <w:tc>
          <w:tcPr>
            <w:tcW w:w="80" w:type="dxa"/>
            <w:vAlign w:val="bottom"/>
          </w:tcPr>
          <w:p>
            <w:pPr>
              <w:spacing w:after="0"/>
              <w:rPr>
                <w:sz w:val="12"/>
                <w:szCs w:val="12"/>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4"/>
        </w:trPr>
        <w:tc>
          <w:tcPr>
            <w:tcW w:w="470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capital</w:t>
            </w:r>
            <w:r>
              <w:rPr>
                <w:rFonts w:ascii="Times New Roman" w:cs="Times New Roman" w:eastAsia="Times New Roman" w:hAnsi="Times New Roman"/>
                <w:sz w:val="14"/>
                <w:szCs w:val="14"/>
                <w:color w:val="auto"/>
                <w:vertAlign w:val="superscript"/>
              </w:rPr>
              <w:t>(3)</w:t>
            </w:r>
          </w:p>
        </w:tc>
        <w:tc>
          <w:tcPr>
            <w:tcW w:w="3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13.9</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b w:val="1"/>
                <w:bCs w:val="1"/>
                <w:color w:val="auto"/>
              </w:rPr>
              <w:t>6.0</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14.5</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6.0 %</w:t>
            </w:r>
          </w:p>
        </w:tc>
        <w:tc>
          <w:tcPr>
            <w:tcW w:w="0" w:type="dxa"/>
            <w:vAlign w:val="bottom"/>
          </w:tcPr>
          <w:p>
            <w:pPr>
              <w:spacing w:after="0"/>
              <w:rPr>
                <w:sz w:val="1"/>
                <w:szCs w:val="1"/>
                <w:color w:val="auto"/>
              </w:rPr>
            </w:pPr>
          </w:p>
        </w:tc>
      </w:tr>
      <w:tr>
        <w:trPr>
          <w:trHeight w:val="144"/>
        </w:trPr>
        <w:tc>
          <w:tcPr>
            <w:tcW w:w="470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Total capital</w:t>
            </w:r>
            <w:r>
              <w:rPr>
                <w:rFonts w:ascii="Times New Roman" w:cs="Times New Roman" w:eastAsia="Times New Roman" w:hAnsi="Times New Roman"/>
                <w:sz w:val="14"/>
                <w:szCs w:val="14"/>
                <w:color w:val="auto"/>
                <w:vertAlign w:val="superscript"/>
              </w:rPr>
              <w:t>(4)</w:t>
            </w:r>
          </w:p>
        </w:tc>
        <w:tc>
          <w:tcPr>
            <w:tcW w:w="3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15.8</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b w:val="1"/>
                <w:bCs w:val="1"/>
                <w:color w:val="auto"/>
              </w:rPr>
              <w:t>8.0</w:t>
            </w:r>
          </w:p>
        </w:tc>
        <w:tc>
          <w:tcPr>
            <w:tcW w:w="100" w:type="dxa"/>
            <w:vAlign w:val="bottom"/>
          </w:tcPr>
          <w:p>
            <w:pPr>
              <w:spacing w:after="0"/>
              <w:rPr>
                <w:sz w:val="12"/>
                <w:szCs w:val="12"/>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10.0</w:t>
            </w:r>
          </w:p>
        </w:tc>
        <w:tc>
          <w:tcPr>
            <w:tcW w:w="80" w:type="dxa"/>
            <w:vAlign w:val="bottom"/>
          </w:tcPr>
          <w:p>
            <w:pPr>
              <w:spacing w:after="0"/>
              <w:rPr>
                <w:sz w:val="12"/>
                <w:szCs w:val="12"/>
                <w:color w:val="auto"/>
              </w:rPr>
            </w:pP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2"/>
                <w:szCs w:val="12"/>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4"/>
        </w:trPr>
        <w:tc>
          <w:tcPr>
            <w:tcW w:w="470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leverage</w:t>
            </w:r>
            <w:r>
              <w:rPr>
                <w:rFonts w:ascii="Times New Roman" w:cs="Times New Roman" w:eastAsia="Times New Roman" w:hAnsi="Times New Roman"/>
                <w:sz w:val="14"/>
                <w:szCs w:val="14"/>
                <w:color w:val="auto"/>
                <w:vertAlign w:val="superscript"/>
              </w:rPr>
              <w:t>(5)</w:t>
            </w:r>
          </w:p>
        </w:tc>
        <w:tc>
          <w:tcPr>
            <w:tcW w:w="3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11.1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b w:val="1"/>
                <w:bCs w:val="1"/>
                <w:color w:val="auto"/>
              </w:rPr>
              <w:t>4.0</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1"/>
                <w:szCs w:val="11"/>
                <w:b w:val="1"/>
                <w:bCs w:val="1"/>
                <w:color w:val="auto"/>
              </w:rPr>
              <w:t>N/A</w:t>
            </w:r>
          </w:p>
        </w:tc>
        <w:tc>
          <w:tcPr>
            <w:tcW w:w="10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4"/>
        </w:trPr>
        <w:tc>
          <w:tcPr>
            <w:tcW w:w="470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Supplementary leverage</w:t>
            </w:r>
            <w:r>
              <w:rPr>
                <w:rFonts w:ascii="Times New Roman" w:cs="Times New Roman" w:eastAsia="Times New Roman" w:hAnsi="Times New Roman"/>
                <w:sz w:val="14"/>
                <w:szCs w:val="14"/>
                <w:color w:val="auto"/>
                <w:vertAlign w:val="superscript"/>
              </w:rPr>
              <w:t>(6)</w:t>
            </w:r>
          </w:p>
        </w:tc>
        <w:tc>
          <w:tcPr>
            <w:tcW w:w="3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9.5</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b w:val="1"/>
                <w:bCs w:val="1"/>
                <w:color w:val="auto"/>
              </w:rPr>
              <w:t>3.0</w:t>
            </w:r>
          </w:p>
        </w:tc>
        <w:tc>
          <w:tcPr>
            <w:tcW w:w="100" w:type="dxa"/>
            <w:vAlign w:val="bottom"/>
          </w:tcPr>
          <w:p>
            <w:pPr>
              <w:spacing w:after="0"/>
              <w:rPr>
                <w:sz w:val="12"/>
                <w:szCs w:val="12"/>
                <w:color w:val="auto"/>
              </w:rPr>
            </w:pP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1"/>
                <w:szCs w:val="11"/>
                <w:b w:val="1"/>
                <w:bCs w:val="1"/>
                <w:color w:val="auto"/>
              </w:rPr>
              <w:t>N/A</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2"/>
                <w:szCs w:val="12"/>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4"/>
        </w:trPr>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CONA:</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Common equity Tier 1 capital</w:t>
            </w:r>
            <w:r>
              <w:rPr>
                <w:rFonts w:ascii="Times New Roman" w:cs="Times New Roman" w:eastAsia="Times New Roman" w:hAnsi="Times New Roman"/>
                <w:sz w:val="14"/>
                <w:szCs w:val="14"/>
                <w:color w:val="auto"/>
                <w:vertAlign w:val="superscript"/>
              </w:rPr>
              <w:t>(2)</w:t>
            </w:r>
          </w:p>
        </w:tc>
        <w:tc>
          <w:tcPr>
            <w:tcW w:w="3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13.1</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b w:val="1"/>
                <w:bCs w:val="1"/>
                <w:color w:val="auto"/>
              </w:rPr>
              <w:t>4.5</w:t>
            </w:r>
          </w:p>
        </w:tc>
        <w:tc>
          <w:tcPr>
            <w:tcW w:w="100" w:type="dxa"/>
            <w:vAlign w:val="bottom"/>
          </w:tcPr>
          <w:p>
            <w:pPr>
              <w:spacing w:after="0"/>
              <w:rPr>
                <w:sz w:val="12"/>
                <w:szCs w:val="12"/>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6.5</w:t>
            </w:r>
          </w:p>
        </w:tc>
        <w:tc>
          <w:tcPr>
            <w:tcW w:w="80" w:type="dxa"/>
            <w:vAlign w:val="bottom"/>
          </w:tcPr>
          <w:p>
            <w:pPr>
              <w:spacing w:after="0"/>
              <w:rPr>
                <w:sz w:val="12"/>
                <w:szCs w:val="12"/>
                <w:color w:val="auto"/>
              </w:rPr>
            </w:pP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2"/>
                <w:szCs w:val="12"/>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44"/>
        </w:trPr>
        <w:tc>
          <w:tcPr>
            <w:tcW w:w="470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capital</w:t>
            </w:r>
            <w:r>
              <w:rPr>
                <w:rFonts w:ascii="Times New Roman" w:cs="Times New Roman" w:eastAsia="Times New Roman" w:hAnsi="Times New Roman"/>
                <w:sz w:val="14"/>
                <w:szCs w:val="14"/>
                <w:color w:val="auto"/>
                <w:vertAlign w:val="superscript"/>
              </w:rPr>
              <w:t>(3)</w:t>
            </w:r>
          </w:p>
        </w:tc>
        <w:tc>
          <w:tcPr>
            <w:tcW w:w="3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13.1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b w:val="1"/>
                <w:bCs w:val="1"/>
                <w:color w:val="auto"/>
              </w:rPr>
              <w:t>6.0</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8.0</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8.0</w:t>
            </w:r>
          </w:p>
        </w:tc>
        <w:tc>
          <w:tcPr>
            <w:tcW w:w="0" w:type="dxa"/>
            <w:vAlign w:val="bottom"/>
          </w:tcPr>
          <w:p>
            <w:pPr>
              <w:spacing w:after="0"/>
              <w:rPr>
                <w:sz w:val="1"/>
                <w:szCs w:val="1"/>
                <w:color w:val="auto"/>
              </w:rPr>
            </w:pPr>
          </w:p>
        </w:tc>
      </w:tr>
      <w:tr>
        <w:trPr>
          <w:trHeight w:val="144"/>
        </w:trPr>
        <w:tc>
          <w:tcPr>
            <w:tcW w:w="470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Total capital</w:t>
            </w:r>
            <w:r>
              <w:rPr>
                <w:rFonts w:ascii="Times New Roman" w:cs="Times New Roman" w:eastAsia="Times New Roman" w:hAnsi="Times New Roman"/>
                <w:sz w:val="14"/>
                <w:szCs w:val="14"/>
                <w:color w:val="auto"/>
                <w:vertAlign w:val="superscript"/>
              </w:rPr>
              <w:t>(4)</w:t>
            </w:r>
          </w:p>
        </w:tc>
        <w:tc>
          <w:tcPr>
            <w:tcW w:w="3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14.4</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b w:val="1"/>
                <w:bCs w:val="1"/>
                <w:color w:val="auto"/>
              </w:rPr>
              <w:t>8.0</w:t>
            </w:r>
          </w:p>
        </w:tc>
        <w:tc>
          <w:tcPr>
            <w:tcW w:w="100" w:type="dxa"/>
            <w:vAlign w:val="bottom"/>
          </w:tcPr>
          <w:p>
            <w:pPr>
              <w:spacing w:after="0"/>
              <w:rPr>
                <w:sz w:val="12"/>
                <w:szCs w:val="12"/>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10.0</w:t>
            </w:r>
          </w:p>
        </w:tc>
        <w:tc>
          <w:tcPr>
            <w:tcW w:w="80" w:type="dxa"/>
            <w:vAlign w:val="bottom"/>
          </w:tcPr>
          <w:p>
            <w:pPr>
              <w:spacing w:after="0"/>
              <w:rPr>
                <w:sz w:val="12"/>
                <w:szCs w:val="12"/>
                <w:color w:val="auto"/>
              </w:rPr>
            </w:pP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tcPr>
          <w:p>
            <w:pPr>
              <w:spacing w:after="0"/>
              <w:rPr>
                <w:sz w:val="12"/>
                <w:szCs w:val="12"/>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2"/>
                <w:szCs w:val="12"/>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4"/>
        </w:trPr>
        <w:tc>
          <w:tcPr>
            <w:tcW w:w="470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leverage</w:t>
            </w:r>
            <w:r>
              <w:rPr>
                <w:rFonts w:ascii="Times New Roman" w:cs="Times New Roman" w:eastAsia="Times New Roman" w:hAnsi="Times New Roman"/>
                <w:sz w:val="14"/>
                <w:szCs w:val="14"/>
                <w:color w:val="auto"/>
                <w:vertAlign w:val="superscript"/>
              </w:rPr>
              <w:t>(5)</w:t>
            </w:r>
          </w:p>
        </w:tc>
        <w:tc>
          <w:tcPr>
            <w:tcW w:w="38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10.5</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b w:val="1"/>
                <w:bCs w:val="1"/>
                <w:color w:val="auto"/>
              </w:rPr>
              <w:t>4.0</w:t>
            </w: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5.0</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86"/>
        </w:trPr>
        <w:tc>
          <w:tcPr>
            <w:tcW w:w="4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Supplementary leverage</w:t>
            </w:r>
            <w:r>
              <w:rPr>
                <w:rFonts w:ascii="Times New Roman" w:cs="Times New Roman" w:eastAsia="Times New Roman" w:hAnsi="Times New Roman"/>
                <w:sz w:val="14"/>
                <w:szCs w:val="14"/>
                <w:color w:val="auto"/>
                <w:vertAlign w:val="superscript"/>
              </w:rPr>
              <w:t>(6)</w:t>
            </w:r>
          </w:p>
        </w:tc>
        <w:tc>
          <w:tcPr>
            <w:tcW w:w="3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9.0</w:t>
            </w:r>
          </w:p>
        </w:tc>
        <w:tc>
          <w:tcPr>
            <w:tcW w:w="80" w:type="dxa"/>
            <w:vAlign w:val="bottom"/>
          </w:tcPr>
          <w:p>
            <w:pPr>
              <w:spacing w:after="0"/>
              <w:rPr>
                <w:sz w:val="16"/>
                <w:szCs w:val="16"/>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b w:val="1"/>
                <w:bCs w:val="1"/>
                <w:color w:val="auto"/>
              </w:rPr>
              <w:t>3.0</w:t>
            </w:r>
          </w:p>
        </w:tc>
        <w:tc>
          <w:tcPr>
            <w:tcW w:w="100" w:type="dxa"/>
            <w:vAlign w:val="bottom"/>
          </w:tcPr>
          <w:p>
            <w:pPr>
              <w:spacing w:after="0"/>
              <w:rPr>
                <w:sz w:val="16"/>
                <w:szCs w:val="16"/>
                <w:color w:val="auto"/>
              </w:rPr>
            </w:pP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1"/>
                <w:szCs w:val="11"/>
                <w:b w:val="1"/>
                <w:bCs w:val="1"/>
                <w:color w:val="auto"/>
              </w:rPr>
              <w:t>N/A</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tcPr>
          <w:p>
            <w:pPr>
              <w:spacing w:after="0"/>
              <w:rPr>
                <w:sz w:val="16"/>
                <w:szCs w:val="16"/>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6"/>
                <w:szCs w:val="16"/>
                <w:color w:val="auto"/>
              </w:rPr>
            </w:pPr>
          </w:p>
        </w:tc>
        <w:tc>
          <w:tcPr>
            <w:tcW w:w="126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5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Capital requirements that are not applicable are denoted by “N/A.”</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5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Common equity Tier 1 capital ratio is a regulatory capital measure calculated based on common equity Tier 1 capital divided by risk-weighted assets.</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5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Tier 1 capital ratio is a regulatory capital measure calculated based on Tier 1 capital divided by risk-weighted assets.</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36" w:lineRule="auto"/>
        <w:tabs>
          <w:tab w:leader="none" w:pos="208" w:val="left"/>
        </w:tabs>
        <w:numPr>
          <w:ilvl w:val="0"/>
          <w:numId w:val="5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Total capital ratio is a regulatory capital measure calculated based on total capital divided by risk-weighted assets.</w:t>
      </w:r>
    </w:p>
    <w:p>
      <w:pPr>
        <w:spacing w:after="0" w:line="29"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5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Tier 1 leverage ratio is a regulatory capital measure calculated based on Tier 1 capital divided by adjusted average assets.</w:t>
      </w:r>
    </w:p>
    <w:p>
      <w:pPr>
        <w:spacing w:after="0" w:line="23"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5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Supplementary leverage ratio is a regulatory capital measure calculated based on Tier 1 capital divided by total leverage exposure.</w:t>
      </w:r>
    </w:p>
    <w:p>
      <w:pPr>
        <w:spacing w:after="0" w:line="303"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On October 1, 2022, COBNA merged with and into CONA, with CONA as the surviving entity. The capital ratios of COBNA immediately prior to the Bank Merger were higher than those of CONA, therefore increasing the capital ratios of CONA immediately after the Bank Merger and as of December 31, 2022. See “Part I—Item 1. Business—Overview” of this Report for additional information on the Bank Merger.</w:t>
      </w:r>
    </w:p>
    <w:p>
      <w:pPr>
        <w:spacing w:after="0" w:line="200" w:lineRule="exact"/>
        <w:rPr>
          <w:sz w:val="20"/>
          <w:szCs w:val="20"/>
          <w:color w:val="auto"/>
        </w:rPr>
      </w:pPr>
    </w:p>
    <w:p>
      <w:pPr>
        <w:spacing w:after="0" w:line="331"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72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73" w:name="page74"/>
    <w:bookmarkEnd w:id="7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13 presents regulatory capital under the Basel III standardized approach and regulatory capital metrics as of December 31, 2022 and 2021.</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13: Regulatory Risk-Based Capital Components and Regulatory Capital Metrics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8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40" w:type="dxa"/>
            <w:vAlign w:val="bottom"/>
          </w:tcPr>
          <w:p>
            <w:pPr>
              <w:spacing w:after="0"/>
              <w:rPr>
                <w:sz w:val="11"/>
                <w:szCs w:val="11"/>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40" w:type="dxa"/>
            <w:vAlign w:val="bottom"/>
          </w:tcPr>
          <w:p>
            <w:pPr>
              <w:spacing w:after="0"/>
              <w:rPr>
                <w:sz w:val="11"/>
                <w:szCs w:val="11"/>
                <w:color w:val="auto"/>
              </w:rPr>
            </w:pPr>
          </w:p>
        </w:tc>
        <w:tc>
          <w:tcPr>
            <w:tcW w:w="1400" w:type="dxa"/>
            <w:vAlign w:val="bottom"/>
          </w:tcPr>
          <w:p>
            <w:pPr>
              <w:jc w:val="right"/>
              <w:ind w:right="386"/>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2"/>
        </w:trPr>
        <w:tc>
          <w:tcPr>
            <w:tcW w:w="7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Regulatory capital under Basel III standardized approach</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r>
      <w:tr>
        <w:trPr>
          <w:trHeight w:val="143"/>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Common equity excluding AOCI</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59,450</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58,206</w:t>
            </w:r>
          </w:p>
        </w:tc>
      </w:tr>
      <w:tr>
        <w:trPr>
          <w:trHeight w:val="145"/>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and deductions: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4"/>
        </w:trPr>
        <w:tc>
          <w:tcPr>
            <w:tcW w:w="78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AOCI, net of tax</w:t>
            </w:r>
            <w:r>
              <w:rPr>
                <w:rFonts w:ascii="Times New Roman" w:cs="Times New Roman" w:eastAsia="Times New Roman" w:hAnsi="Times New Roman"/>
                <w:sz w:val="14"/>
                <w:szCs w:val="14"/>
                <w:color w:val="auto"/>
                <w:vertAlign w:val="superscript"/>
              </w:rPr>
              <w:t>(1)</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w:t>
            </w:r>
          </w:p>
        </w:tc>
      </w:tr>
      <w:tr>
        <w:trPr>
          <w:trHeight w:val="144"/>
        </w:trPr>
        <w:tc>
          <w:tcPr>
            <w:tcW w:w="7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Goodwill, net of related deferred tax liabilities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(14,540)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(14,562)</w:t>
            </w:r>
          </w:p>
        </w:tc>
      </w:tr>
      <w:tr>
        <w:trPr>
          <w:trHeight w:val="143"/>
        </w:trPr>
        <w:tc>
          <w:tcPr>
            <w:tcW w:w="78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Other intangible and deferred tax assets, net of deferred tax liabilities</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(120)</w:t>
            </w:r>
          </w:p>
        </w:tc>
      </w:tr>
      <w:tr>
        <w:trPr>
          <w:trHeight w:val="145"/>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equity Tier 1 capital</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44,731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43,501</w:t>
            </w:r>
          </w:p>
        </w:tc>
      </w:tr>
      <w:tr>
        <w:trPr>
          <w:trHeight w:val="143"/>
        </w:trPr>
        <w:tc>
          <w:tcPr>
            <w:tcW w:w="7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Tier 1 capital instruments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4,845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4,845</w:t>
            </w:r>
          </w:p>
        </w:tc>
      </w:tr>
      <w:tr>
        <w:trPr>
          <w:trHeight w:val="134"/>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Tier 1 capital</w:t>
            </w:r>
          </w:p>
        </w:tc>
        <w:tc>
          <w:tcPr>
            <w:tcW w:w="2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49,576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48,346</w:t>
            </w:r>
          </w:p>
        </w:tc>
      </w:tr>
      <w:tr>
        <w:trPr>
          <w:trHeight w:val="143"/>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Tier 2 capital instruments</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2,585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3,532</w:t>
            </w:r>
          </w:p>
        </w:tc>
      </w:tr>
      <w:tr>
        <w:trPr>
          <w:trHeight w:val="145"/>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Qualifying allowance for credit losses</w:t>
            </w:r>
          </w:p>
        </w:tc>
        <w:tc>
          <w:tcPr>
            <w:tcW w:w="2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4,553</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4,211</w:t>
            </w:r>
          </w:p>
        </w:tc>
      </w:tr>
      <w:tr>
        <w:trPr>
          <w:trHeight w:val="132"/>
        </w:trPr>
        <w:tc>
          <w:tcPr>
            <w:tcW w:w="7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Tier 2 capital</w:t>
            </w: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7,138</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7,743</w:t>
            </w:r>
          </w:p>
        </w:tc>
      </w:tr>
      <w:tr>
        <w:trPr>
          <w:trHeight w:val="150"/>
        </w:trPr>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capital</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56,714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56,089</w:t>
            </w:r>
          </w:p>
        </w:tc>
      </w:tr>
      <w:tr>
        <w:trPr>
          <w:trHeight w:val="126"/>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44"/>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Regulatory capital metrics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3"/>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Risk-weighted assets</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357,920</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332,673</w:t>
            </w:r>
          </w:p>
        </w:tc>
      </w:tr>
      <w:tr>
        <w:trPr>
          <w:trHeight w:val="145"/>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Adjusted average assets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444,704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415,141</w:t>
            </w:r>
          </w:p>
        </w:tc>
      </w:tr>
      <w:tr>
        <w:trPr>
          <w:trHeight w:val="142"/>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leverage exposure</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522,136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486,405</w:t>
            </w:r>
          </w:p>
        </w:tc>
      </w:tr>
    </w:tbl>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42" w:lineRule="exact"/>
        <w:rPr>
          <w:sz w:val="20"/>
          <w:szCs w:val="20"/>
          <w:color w:val="auto"/>
        </w:rPr>
      </w:pPr>
    </w:p>
    <w:p>
      <w:pPr>
        <w:ind w:left="208" w:hanging="208"/>
        <w:spacing w:after="0"/>
        <w:tabs>
          <w:tab w:leader="none" w:pos="208" w:val="left"/>
        </w:tabs>
        <w:numPr>
          <w:ilvl w:val="0"/>
          <w:numId w:val="5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 xml:space="preserve">Excludes certain components of AOCI in accordance with rules applicable to Category III institutions. See </w:t>
      </w:r>
      <w:r>
        <w:rPr>
          <w:rFonts w:ascii="Times New Roman" w:cs="Times New Roman" w:eastAsia="Times New Roman" w:hAnsi="Times New Roman"/>
          <w:sz w:val="11"/>
          <w:szCs w:val="11"/>
          <w:color w:val="auto"/>
        </w:rPr>
        <w:t>“</w:t>
      </w:r>
      <w:r>
        <w:rPr>
          <w:rFonts w:ascii="Times New Roman" w:cs="Times New Roman" w:eastAsia="Times New Roman" w:hAnsi="Times New Roman"/>
          <w:sz w:val="10"/>
          <w:szCs w:val="10"/>
          <w:color w:val="auto"/>
        </w:rPr>
        <w:t>Part I—Item 1. Business—Supervision and Regulation” in this Report.</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Capital Planning and Regulatory Stress Testing</w:t>
      </w:r>
    </w:p>
    <w:p>
      <w:pPr>
        <w:spacing w:after="0" w:line="118"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 January 2022, our Board of Directors authorized the repurchase of up to $5.0 billion of shares of our common stock. In April 2022, our Board of Directors authorized the repurchase of up to an additional $5.0 billion of shares of our common stock. For the year ended December 31, 2022, we repurchased $4.8 billion of shares of our common stock.</w:t>
      </w:r>
    </w:p>
    <w:p>
      <w:pPr>
        <w:spacing w:after="0" w:line="66"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On June 23, 2022, the Federal Reserve released the supervisory stress test results for the 2022 CCAR cycle. Based on the Company’s 2022 supervisory stress test results, the Company’s stress capital buffer requirement for the period beginning on October 1, 2022 through September 30, 2023 is 3.1%. Therefore, the Company’s minimum capital requirements plus the standardized approach capital conservation buffer for CET1 capital, Tier 1 capital and total capital ratios under the stress capital buffer framework are 7.6%, 9.1% and 11.1%, respectively, for the period from October 1, 2022 through September 30, 2023.</w:t>
      </w:r>
    </w:p>
    <w:p>
      <w:pPr>
        <w:spacing w:after="0" w:line="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description of the regulatory capital planning rules and stress testing requirements to which we are subject, see “Part I—Item 1. Business—Supervision and Regulation.”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73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 and Stock Purchases</w:t>
      </w:r>
    </w:p>
    <w:p>
      <w:pPr>
        <w:spacing w:after="0" w:line="11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2022, we declared and paid common stock dividends of $954 million, or $2.40 per share, and preferred stock dividends of $228 million. The following table summarizes the dividends paid per share on our various preferred stock series in each quarter of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14: Preferred Stock Dividends Paid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Per Annum</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1"/>
        </w:trPr>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Series</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Issuance Date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Dividend Rate</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Dividend Frequency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Q4</w:t>
            </w:r>
          </w:p>
        </w:tc>
        <w:tc>
          <w:tcPr>
            <w:tcW w:w="700" w:type="dxa"/>
            <w:vAlign w:val="bottom"/>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rPr>
              <w:t>Q3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Q2</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Q1</w:t>
            </w:r>
          </w:p>
        </w:tc>
      </w:tr>
      <w:tr>
        <w:trPr>
          <w:trHeight w:val="106"/>
        </w:trPr>
        <w:tc>
          <w:tcPr>
            <w:tcW w:w="92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Series I</w:t>
            </w:r>
          </w:p>
        </w:tc>
        <w:tc>
          <w:tcPr>
            <w:tcW w:w="8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color w:val="auto"/>
                <w:w w:val="97"/>
              </w:rPr>
              <w:t>5.000%</w:t>
            </w:r>
          </w:p>
        </w:tc>
        <w:tc>
          <w:tcPr>
            <w:tcW w:w="100" w:type="dxa"/>
            <w:vAlign w:val="bottom"/>
            <w:tcBorders>
              <w:top w:val="single" w:sz="8" w:color="CCEEFF"/>
            </w:tcBorders>
            <w:shd w:val="clear" w:color="auto" w:fill="CCEEFF"/>
          </w:tcPr>
          <w:p>
            <w:pPr>
              <w:spacing w:after="0"/>
              <w:rPr>
                <w:sz w:val="9"/>
                <w:szCs w:val="9"/>
                <w:color w:val="auto"/>
              </w:rPr>
            </w:pPr>
          </w:p>
        </w:tc>
        <w:tc>
          <w:tcPr>
            <w:tcW w:w="1780" w:type="dxa"/>
            <w:vAlign w:val="bottom"/>
            <w:tcBorders>
              <w:top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color w:val="auto"/>
                <w:w w:val="99"/>
              </w:rPr>
              <w:t>September 11, 2019</w:t>
            </w:r>
          </w:p>
        </w:tc>
        <w:tc>
          <w:tcPr>
            <w:tcW w:w="8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color w:val="auto"/>
              </w:rPr>
              <w:t>5.000%</w:t>
            </w:r>
          </w:p>
        </w:tc>
        <w:tc>
          <w:tcPr>
            <w:tcW w:w="8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color w:val="auto"/>
                <w:w w:val="99"/>
              </w:rPr>
              <w:t>Quarterly</w:t>
            </w: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$12.50</w:t>
            </w: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center"/>
              <w:ind w:left="140"/>
              <w:spacing w:after="0" w:line="106" w:lineRule="exact"/>
              <w:rPr>
                <w:sz w:val="20"/>
                <w:szCs w:val="20"/>
                <w:color w:val="auto"/>
              </w:rPr>
            </w:pPr>
            <w:r>
              <w:rPr>
                <w:rFonts w:ascii="Times New Roman" w:cs="Times New Roman" w:eastAsia="Times New Roman" w:hAnsi="Times New Roman"/>
                <w:sz w:val="12"/>
                <w:szCs w:val="12"/>
                <w:color w:val="auto"/>
              </w:rPr>
              <w:t>$12.50</w:t>
            </w:r>
          </w:p>
        </w:tc>
        <w:tc>
          <w:tcPr>
            <w:tcW w:w="2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color w:val="auto"/>
                <w:w w:val="96"/>
              </w:rPr>
              <w:t>$12.50</w:t>
            </w:r>
          </w:p>
        </w:tc>
        <w:tc>
          <w:tcPr>
            <w:tcW w:w="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center"/>
              <w:spacing w:after="0" w:line="106" w:lineRule="exact"/>
              <w:rPr>
                <w:sz w:val="20"/>
                <w:szCs w:val="20"/>
                <w:color w:val="auto"/>
              </w:rPr>
            </w:pPr>
            <w:r>
              <w:rPr>
                <w:rFonts w:ascii="Times New Roman" w:cs="Times New Roman" w:eastAsia="Times New Roman" w:hAnsi="Times New Roman"/>
                <w:sz w:val="12"/>
                <w:szCs w:val="12"/>
                <w:color w:val="auto"/>
              </w:rPr>
              <w:t>$12.50</w:t>
            </w:r>
          </w:p>
        </w:tc>
      </w:tr>
      <w:tr>
        <w:trPr>
          <w:trHeight w:val="162"/>
        </w:trPr>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Non-Cumulative</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Series J</w:t>
            </w:r>
          </w:p>
        </w:tc>
        <w:tc>
          <w:tcPr>
            <w:tcW w:w="16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7"/>
              </w:rPr>
              <w:t>4.800%</w:t>
            </w:r>
          </w:p>
        </w:tc>
        <w:tc>
          <w:tcPr>
            <w:tcW w:w="100" w:type="dxa"/>
            <w:vAlign w:val="bottom"/>
          </w:tcPr>
          <w:p>
            <w:pPr>
              <w:spacing w:after="0"/>
              <w:rPr>
                <w:sz w:val="10"/>
                <w:szCs w:val="10"/>
                <w:color w:val="auto"/>
              </w:rPr>
            </w:pPr>
          </w:p>
        </w:tc>
        <w:tc>
          <w:tcPr>
            <w:tcW w:w="18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w w:val="99"/>
              </w:rPr>
              <w:t>January 31, 2020</w:t>
            </w:r>
          </w:p>
        </w:tc>
        <w:tc>
          <w:tcPr>
            <w:tcW w:w="15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6"/>
              </w:rPr>
              <w:t>4.800</w:t>
            </w:r>
          </w:p>
        </w:tc>
        <w:tc>
          <w:tcPr>
            <w:tcW w:w="80" w:type="dxa"/>
            <w:vAlign w:val="bottom"/>
          </w:tcPr>
          <w:p>
            <w:pPr>
              <w:spacing w:after="0"/>
              <w:rPr>
                <w:sz w:val="10"/>
                <w:szCs w:val="10"/>
                <w:color w:val="auto"/>
              </w:rPr>
            </w:pPr>
          </w:p>
        </w:tc>
        <w:tc>
          <w:tcPr>
            <w:tcW w:w="12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w w:val="99"/>
              </w:rPr>
              <w:t>Quarterly</w:t>
            </w:r>
          </w:p>
        </w:tc>
        <w:tc>
          <w:tcPr>
            <w:tcW w:w="9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6"/>
              </w:rPr>
              <w:t>12.00</w:t>
            </w:r>
          </w:p>
        </w:tc>
        <w:tc>
          <w:tcPr>
            <w:tcW w:w="100" w:type="dxa"/>
            <w:vAlign w:val="bottom"/>
          </w:tcPr>
          <w:p>
            <w:pPr>
              <w:spacing w:after="0"/>
              <w:rPr>
                <w:sz w:val="10"/>
                <w:szCs w:val="10"/>
                <w:color w:val="auto"/>
              </w:rPr>
            </w:pPr>
          </w:p>
        </w:tc>
        <w:tc>
          <w:tcPr>
            <w:tcW w:w="700" w:type="dxa"/>
            <w:vAlign w:val="bottom"/>
          </w:tcPr>
          <w:p>
            <w:pPr>
              <w:jc w:val="center"/>
              <w:ind w:left="140"/>
              <w:spacing w:after="0" w:line="117" w:lineRule="exact"/>
              <w:rPr>
                <w:sz w:val="20"/>
                <w:szCs w:val="20"/>
                <w:color w:val="auto"/>
              </w:rPr>
            </w:pPr>
            <w:r>
              <w:rPr>
                <w:rFonts w:ascii="Times New Roman" w:cs="Times New Roman" w:eastAsia="Times New Roman" w:hAnsi="Times New Roman"/>
                <w:sz w:val="12"/>
                <w:szCs w:val="12"/>
                <w:color w:val="auto"/>
                <w:w w:val="96"/>
              </w:rPr>
              <w:t>12.00</w:t>
            </w:r>
          </w:p>
        </w:tc>
        <w:tc>
          <w:tcPr>
            <w:tcW w:w="1180" w:type="dxa"/>
            <w:vAlign w:val="bottom"/>
            <w:gridSpan w:val="3"/>
          </w:tcPr>
          <w:p>
            <w:pPr>
              <w:jc w:val="center"/>
              <w:ind w:left="240"/>
              <w:spacing w:after="0" w:line="117" w:lineRule="exact"/>
              <w:rPr>
                <w:sz w:val="20"/>
                <w:szCs w:val="20"/>
                <w:color w:val="auto"/>
              </w:rPr>
            </w:pPr>
            <w:r>
              <w:rPr>
                <w:rFonts w:ascii="Times New Roman" w:cs="Times New Roman" w:eastAsia="Times New Roman" w:hAnsi="Times New Roman"/>
                <w:sz w:val="12"/>
                <w:szCs w:val="12"/>
                <w:color w:val="auto"/>
              </w:rPr>
              <w:t>12.00</w:t>
            </w:r>
          </w:p>
        </w:tc>
        <w:tc>
          <w:tcPr>
            <w:tcW w:w="8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6"/>
              </w:rPr>
              <w:t>12.00</w:t>
            </w:r>
          </w:p>
        </w:tc>
      </w:tr>
      <w:tr>
        <w:trPr>
          <w:trHeight w:val="158"/>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Non-Cumulative</w:t>
            </w: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1"/>
        </w:trPr>
        <w:tc>
          <w:tcPr>
            <w:tcW w:w="10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Series K</w:t>
            </w:r>
          </w:p>
        </w:tc>
        <w:tc>
          <w:tcPr>
            <w:tcW w:w="1620" w:type="dxa"/>
            <w:vAlign w:val="bottom"/>
            <w:shd w:val="clear" w:color="auto" w:fill="CCEEFF"/>
          </w:tcPr>
          <w:p>
            <w:pPr>
              <w:jc w:val="center"/>
              <w:spacing w:after="0" w:line="121" w:lineRule="exact"/>
              <w:rPr>
                <w:sz w:val="20"/>
                <w:szCs w:val="20"/>
                <w:color w:val="auto"/>
              </w:rPr>
            </w:pPr>
            <w:r>
              <w:rPr>
                <w:rFonts w:ascii="Times New Roman" w:cs="Times New Roman" w:eastAsia="Times New Roman" w:hAnsi="Times New Roman"/>
                <w:sz w:val="12"/>
                <w:szCs w:val="12"/>
                <w:color w:val="auto"/>
                <w:w w:val="97"/>
              </w:rPr>
              <w:t>4.625%</w:t>
            </w:r>
          </w:p>
        </w:tc>
        <w:tc>
          <w:tcPr>
            <w:tcW w:w="100" w:type="dxa"/>
            <w:vAlign w:val="bottom"/>
            <w:shd w:val="clear" w:color="auto" w:fill="CCEEFF"/>
          </w:tcPr>
          <w:p>
            <w:pPr>
              <w:spacing w:after="0"/>
              <w:rPr>
                <w:sz w:val="10"/>
                <w:szCs w:val="10"/>
                <w:color w:val="auto"/>
              </w:rPr>
            </w:pPr>
          </w:p>
        </w:tc>
        <w:tc>
          <w:tcPr>
            <w:tcW w:w="1860" w:type="dxa"/>
            <w:vAlign w:val="bottom"/>
            <w:gridSpan w:val="2"/>
            <w:shd w:val="clear" w:color="auto" w:fill="CCEEFF"/>
          </w:tcPr>
          <w:p>
            <w:pPr>
              <w:jc w:val="center"/>
              <w:ind w:right="100"/>
              <w:spacing w:after="0" w:line="121" w:lineRule="exact"/>
              <w:rPr>
                <w:sz w:val="20"/>
                <w:szCs w:val="20"/>
                <w:color w:val="auto"/>
              </w:rPr>
            </w:pPr>
            <w:r>
              <w:rPr>
                <w:rFonts w:ascii="Times New Roman" w:cs="Times New Roman" w:eastAsia="Times New Roman" w:hAnsi="Times New Roman"/>
                <w:sz w:val="12"/>
                <w:szCs w:val="12"/>
                <w:color w:val="auto"/>
                <w:w w:val="99"/>
              </w:rPr>
              <w:t>September 17, 2020</w:t>
            </w:r>
          </w:p>
        </w:tc>
        <w:tc>
          <w:tcPr>
            <w:tcW w:w="1540" w:type="dxa"/>
            <w:vAlign w:val="bottom"/>
            <w:shd w:val="clear" w:color="auto" w:fill="CCEEFF"/>
          </w:tcPr>
          <w:p>
            <w:pPr>
              <w:jc w:val="center"/>
              <w:spacing w:after="0" w:line="121" w:lineRule="exact"/>
              <w:rPr>
                <w:sz w:val="20"/>
                <w:szCs w:val="20"/>
                <w:color w:val="auto"/>
              </w:rPr>
            </w:pPr>
            <w:r>
              <w:rPr>
                <w:rFonts w:ascii="Times New Roman" w:cs="Times New Roman" w:eastAsia="Times New Roman" w:hAnsi="Times New Roman"/>
                <w:sz w:val="12"/>
                <w:szCs w:val="12"/>
                <w:color w:val="auto"/>
                <w:w w:val="96"/>
              </w:rPr>
              <w:t>4.625</w:t>
            </w:r>
          </w:p>
        </w:tc>
        <w:tc>
          <w:tcPr>
            <w:tcW w:w="80" w:type="dxa"/>
            <w:vAlign w:val="bottom"/>
            <w:shd w:val="clear" w:color="auto" w:fill="CCEEFF"/>
          </w:tcPr>
          <w:p>
            <w:pPr>
              <w:spacing w:after="0"/>
              <w:rPr>
                <w:sz w:val="10"/>
                <w:szCs w:val="10"/>
                <w:color w:val="auto"/>
              </w:rPr>
            </w:pPr>
          </w:p>
        </w:tc>
        <w:tc>
          <w:tcPr>
            <w:tcW w:w="1280" w:type="dxa"/>
            <w:vAlign w:val="bottom"/>
            <w:gridSpan w:val="2"/>
            <w:shd w:val="clear" w:color="auto" w:fill="CCEEFF"/>
          </w:tcPr>
          <w:p>
            <w:pPr>
              <w:jc w:val="center"/>
              <w:ind w:right="100"/>
              <w:spacing w:after="0" w:line="121" w:lineRule="exact"/>
              <w:rPr>
                <w:sz w:val="20"/>
                <w:szCs w:val="20"/>
                <w:color w:val="auto"/>
              </w:rPr>
            </w:pPr>
            <w:r>
              <w:rPr>
                <w:rFonts w:ascii="Times New Roman" w:cs="Times New Roman" w:eastAsia="Times New Roman" w:hAnsi="Times New Roman"/>
                <w:sz w:val="12"/>
                <w:szCs w:val="12"/>
                <w:color w:val="auto"/>
                <w:w w:val="99"/>
              </w:rPr>
              <w:t>Quarterly</w:t>
            </w:r>
          </w:p>
        </w:tc>
        <w:tc>
          <w:tcPr>
            <w:tcW w:w="900" w:type="dxa"/>
            <w:vAlign w:val="bottom"/>
            <w:shd w:val="clear" w:color="auto" w:fill="CCEEFF"/>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11.56</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center"/>
              <w:ind w:left="140"/>
              <w:spacing w:after="0" w:line="121" w:lineRule="exact"/>
              <w:rPr>
                <w:sz w:val="20"/>
                <w:szCs w:val="20"/>
                <w:color w:val="auto"/>
              </w:rPr>
            </w:pPr>
            <w:r>
              <w:rPr>
                <w:rFonts w:ascii="Times New Roman" w:cs="Times New Roman" w:eastAsia="Times New Roman" w:hAnsi="Times New Roman"/>
                <w:sz w:val="12"/>
                <w:szCs w:val="12"/>
                <w:color w:val="auto"/>
                <w:w w:val="96"/>
              </w:rPr>
              <w:t>11.56</w:t>
            </w:r>
          </w:p>
        </w:tc>
        <w:tc>
          <w:tcPr>
            <w:tcW w:w="1180" w:type="dxa"/>
            <w:vAlign w:val="bottom"/>
            <w:gridSpan w:val="3"/>
            <w:shd w:val="clear" w:color="auto" w:fill="CCEEFF"/>
          </w:tcPr>
          <w:p>
            <w:pPr>
              <w:jc w:val="center"/>
              <w:ind w:left="260"/>
              <w:spacing w:after="0" w:line="121" w:lineRule="exact"/>
              <w:rPr>
                <w:sz w:val="20"/>
                <w:szCs w:val="20"/>
                <w:color w:val="auto"/>
              </w:rPr>
            </w:pPr>
            <w:r>
              <w:rPr>
                <w:rFonts w:ascii="Times New Roman" w:cs="Times New Roman" w:eastAsia="Times New Roman" w:hAnsi="Times New Roman"/>
                <w:sz w:val="12"/>
                <w:szCs w:val="12"/>
                <w:color w:val="auto"/>
                <w:w w:val="96"/>
              </w:rPr>
              <w:t>11.56</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center"/>
              <w:spacing w:after="0" w:line="121" w:lineRule="exact"/>
              <w:rPr>
                <w:sz w:val="20"/>
                <w:szCs w:val="20"/>
                <w:color w:val="auto"/>
              </w:rPr>
            </w:pPr>
            <w:r>
              <w:rPr>
                <w:rFonts w:ascii="Times New Roman" w:cs="Times New Roman" w:eastAsia="Times New Roman" w:hAnsi="Times New Roman"/>
                <w:sz w:val="12"/>
                <w:szCs w:val="12"/>
                <w:color w:val="auto"/>
                <w:w w:val="96"/>
              </w:rPr>
              <w:t>11.56</w:t>
            </w:r>
          </w:p>
        </w:tc>
      </w:tr>
      <w:tr>
        <w:trPr>
          <w:trHeight w:val="162"/>
        </w:trPr>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Non-Cumulative</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Series L</w:t>
            </w:r>
          </w:p>
        </w:tc>
        <w:tc>
          <w:tcPr>
            <w:tcW w:w="16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7"/>
              </w:rPr>
              <w:t>4.375%</w:t>
            </w:r>
          </w:p>
        </w:tc>
        <w:tc>
          <w:tcPr>
            <w:tcW w:w="100" w:type="dxa"/>
            <w:vAlign w:val="bottom"/>
          </w:tcPr>
          <w:p>
            <w:pPr>
              <w:spacing w:after="0"/>
              <w:rPr>
                <w:sz w:val="10"/>
                <w:szCs w:val="10"/>
                <w:color w:val="auto"/>
              </w:rPr>
            </w:pPr>
          </w:p>
        </w:tc>
        <w:tc>
          <w:tcPr>
            <w:tcW w:w="18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rPr>
              <w:t>May 4, 2021</w:t>
            </w:r>
          </w:p>
        </w:tc>
        <w:tc>
          <w:tcPr>
            <w:tcW w:w="15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6"/>
              </w:rPr>
              <w:t>4.375</w:t>
            </w:r>
          </w:p>
        </w:tc>
        <w:tc>
          <w:tcPr>
            <w:tcW w:w="80" w:type="dxa"/>
            <w:vAlign w:val="bottom"/>
          </w:tcPr>
          <w:p>
            <w:pPr>
              <w:spacing w:after="0"/>
              <w:rPr>
                <w:sz w:val="10"/>
                <w:szCs w:val="10"/>
                <w:color w:val="auto"/>
              </w:rPr>
            </w:pPr>
          </w:p>
        </w:tc>
        <w:tc>
          <w:tcPr>
            <w:tcW w:w="12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w w:val="99"/>
              </w:rPr>
              <w:t>Quarterly</w:t>
            </w:r>
          </w:p>
        </w:tc>
        <w:tc>
          <w:tcPr>
            <w:tcW w:w="9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6"/>
              </w:rPr>
              <w:t>10.94</w:t>
            </w:r>
          </w:p>
        </w:tc>
        <w:tc>
          <w:tcPr>
            <w:tcW w:w="100" w:type="dxa"/>
            <w:vAlign w:val="bottom"/>
          </w:tcPr>
          <w:p>
            <w:pPr>
              <w:spacing w:after="0"/>
              <w:rPr>
                <w:sz w:val="10"/>
                <w:szCs w:val="10"/>
                <w:color w:val="auto"/>
              </w:rPr>
            </w:pPr>
          </w:p>
        </w:tc>
        <w:tc>
          <w:tcPr>
            <w:tcW w:w="700" w:type="dxa"/>
            <w:vAlign w:val="bottom"/>
          </w:tcPr>
          <w:p>
            <w:pPr>
              <w:jc w:val="center"/>
              <w:ind w:left="140"/>
              <w:spacing w:after="0" w:line="117" w:lineRule="exact"/>
              <w:rPr>
                <w:sz w:val="20"/>
                <w:szCs w:val="20"/>
                <w:color w:val="auto"/>
              </w:rPr>
            </w:pPr>
            <w:r>
              <w:rPr>
                <w:rFonts w:ascii="Times New Roman" w:cs="Times New Roman" w:eastAsia="Times New Roman" w:hAnsi="Times New Roman"/>
                <w:sz w:val="12"/>
                <w:szCs w:val="12"/>
                <w:color w:val="auto"/>
                <w:w w:val="96"/>
              </w:rPr>
              <w:t>10.94</w:t>
            </w:r>
          </w:p>
        </w:tc>
        <w:tc>
          <w:tcPr>
            <w:tcW w:w="1180" w:type="dxa"/>
            <w:vAlign w:val="bottom"/>
            <w:gridSpan w:val="3"/>
          </w:tcPr>
          <w:p>
            <w:pPr>
              <w:jc w:val="center"/>
              <w:ind w:left="240"/>
              <w:spacing w:after="0" w:line="117" w:lineRule="exact"/>
              <w:rPr>
                <w:sz w:val="20"/>
                <w:szCs w:val="20"/>
                <w:color w:val="auto"/>
              </w:rPr>
            </w:pPr>
            <w:r>
              <w:rPr>
                <w:rFonts w:ascii="Times New Roman" w:cs="Times New Roman" w:eastAsia="Times New Roman" w:hAnsi="Times New Roman"/>
                <w:sz w:val="12"/>
                <w:szCs w:val="12"/>
                <w:color w:val="auto"/>
              </w:rPr>
              <w:t>10.94</w:t>
            </w:r>
          </w:p>
        </w:tc>
        <w:tc>
          <w:tcPr>
            <w:tcW w:w="8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6"/>
              </w:rPr>
              <w:t>10.94</w:t>
            </w:r>
          </w:p>
        </w:tc>
      </w:tr>
      <w:tr>
        <w:trPr>
          <w:trHeight w:val="158"/>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Non-Cumulative</w:t>
            </w: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1"/>
        </w:trPr>
        <w:tc>
          <w:tcPr>
            <w:tcW w:w="10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Series M</w:t>
            </w:r>
          </w:p>
        </w:tc>
        <w:tc>
          <w:tcPr>
            <w:tcW w:w="1720" w:type="dxa"/>
            <w:vAlign w:val="bottom"/>
            <w:gridSpan w:val="2"/>
            <w:shd w:val="clear" w:color="auto" w:fill="CCEEFF"/>
          </w:tcPr>
          <w:p>
            <w:pPr>
              <w:jc w:val="center"/>
              <w:ind w:right="100"/>
              <w:spacing w:after="0" w:line="121" w:lineRule="exact"/>
              <w:rPr>
                <w:sz w:val="20"/>
                <w:szCs w:val="20"/>
                <w:color w:val="auto"/>
              </w:rPr>
            </w:pPr>
            <w:r>
              <w:rPr>
                <w:rFonts w:ascii="Times New Roman" w:cs="Times New Roman" w:eastAsia="Times New Roman" w:hAnsi="Times New Roman"/>
                <w:sz w:val="12"/>
                <w:szCs w:val="12"/>
                <w:color w:val="auto"/>
                <w:w w:val="99"/>
              </w:rPr>
              <w:t>3.950% Fixed Rate Reset</w:t>
            </w:r>
          </w:p>
        </w:tc>
        <w:tc>
          <w:tcPr>
            <w:tcW w:w="1860" w:type="dxa"/>
            <w:vAlign w:val="bottom"/>
            <w:gridSpan w:val="2"/>
            <w:shd w:val="clear" w:color="auto" w:fill="CCEEFF"/>
          </w:tcPr>
          <w:p>
            <w:pPr>
              <w:jc w:val="center"/>
              <w:ind w:right="80"/>
              <w:spacing w:after="0" w:line="121" w:lineRule="exact"/>
              <w:rPr>
                <w:sz w:val="20"/>
                <w:szCs w:val="20"/>
                <w:color w:val="auto"/>
              </w:rPr>
            </w:pPr>
            <w:r>
              <w:rPr>
                <w:rFonts w:ascii="Times New Roman" w:cs="Times New Roman" w:eastAsia="Times New Roman" w:hAnsi="Times New Roman"/>
                <w:sz w:val="12"/>
                <w:szCs w:val="12"/>
                <w:color w:val="auto"/>
                <w:w w:val="98"/>
              </w:rPr>
              <w:t>June 10, 2021</w:t>
            </w:r>
          </w:p>
        </w:tc>
        <w:tc>
          <w:tcPr>
            <w:tcW w:w="1620" w:type="dxa"/>
            <w:vAlign w:val="bottom"/>
            <w:gridSpan w:val="2"/>
            <w:shd w:val="clear" w:color="auto" w:fill="CCEEFF"/>
          </w:tcPr>
          <w:p>
            <w:pPr>
              <w:jc w:val="center"/>
              <w:ind w:right="100"/>
              <w:spacing w:after="0" w:line="121" w:lineRule="exact"/>
              <w:rPr>
                <w:sz w:val="20"/>
                <w:szCs w:val="20"/>
                <w:color w:val="auto"/>
              </w:rPr>
            </w:pPr>
            <w:r>
              <w:rPr>
                <w:rFonts w:ascii="Times New Roman" w:cs="Times New Roman" w:eastAsia="Times New Roman" w:hAnsi="Times New Roman"/>
                <w:sz w:val="12"/>
                <w:szCs w:val="12"/>
                <w:color w:val="auto"/>
                <w:w w:val="99"/>
              </w:rPr>
              <w:t>3.950% through 8/31/2026;</w:t>
            </w:r>
          </w:p>
        </w:tc>
        <w:tc>
          <w:tcPr>
            <w:tcW w:w="1280" w:type="dxa"/>
            <w:vAlign w:val="bottom"/>
            <w:gridSpan w:val="2"/>
            <w:shd w:val="clear" w:color="auto" w:fill="CCEEFF"/>
          </w:tcPr>
          <w:p>
            <w:pPr>
              <w:jc w:val="center"/>
              <w:ind w:right="100"/>
              <w:spacing w:after="0" w:line="121" w:lineRule="exact"/>
              <w:rPr>
                <w:sz w:val="20"/>
                <w:szCs w:val="20"/>
                <w:color w:val="auto"/>
              </w:rPr>
            </w:pPr>
            <w:r>
              <w:rPr>
                <w:rFonts w:ascii="Times New Roman" w:cs="Times New Roman" w:eastAsia="Times New Roman" w:hAnsi="Times New Roman"/>
                <w:sz w:val="12"/>
                <w:szCs w:val="12"/>
                <w:color w:val="auto"/>
                <w:w w:val="99"/>
              </w:rPr>
              <w:t>Quarterly</w:t>
            </w:r>
          </w:p>
        </w:tc>
        <w:tc>
          <w:tcPr>
            <w:tcW w:w="900" w:type="dxa"/>
            <w:vAlign w:val="bottom"/>
            <w:shd w:val="clear" w:color="auto" w:fill="CCEEFF"/>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rPr>
              <w:t>9.88</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center"/>
              <w:ind w:left="140"/>
              <w:spacing w:after="0" w:line="121" w:lineRule="exact"/>
              <w:rPr>
                <w:sz w:val="20"/>
                <w:szCs w:val="20"/>
                <w:color w:val="auto"/>
              </w:rPr>
            </w:pPr>
            <w:r>
              <w:rPr>
                <w:rFonts w:ascii="Times New Roman" w:cs="Times New Roman" w:eastAsia="Times New Roman" w:hAnsi="Times New Roman"/>
                <w:sz w:val="12"/>
                <w:szCs w:val="12"/>
                <w:color w:val="auto"/>
              </w:rPr>
              <w:t>9.88</w:t>
            </w:r>
          </w:p>
        </w:tc>
        <w:tc>
          <w:tcPr>
            <w:tcW w:w="1180" w:type="dxa"/>
            <w:vAlign w:val="bottom"/>
            <w:gridSpan w:val="3"/>
            <w:shd w:val="clear" w:color="auto" w:fill="CCEEFF"/>
          </w:tcPr>
          <w:p>
            <w:pPr>
              <w:jc w:val="center"/>
              <w:ind w:left="240"/>
              <w:spacing w:after="0" w:line="121" w:lineRule="exact"/>
              <w:rPr>
                <w:sz w:val="20"/>
                <w:szCs w:val="20"/>
                <w:color w:val="auto"/>
              </w:rPr>
            </w:pPr>
            <w:r>
              <w:rPr>
                <w:rFonts w:ascii="Times New Roman" w:cs="Times New Roman" w:eastAsia="Times New Roman" w:hAnsi="Times New Roman"/>
                <w:sz w:val="12"/>
                <w:szCs w:val="12"/>
                <w:color w:val="auto"/>
                <w:w w:val="95"/>
              </w:rPr>
              <w:t>9.88</w:t>
            </w: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center"/>
              <w:spacing w:after="0" w:line="121" w:lineRule="exact"/>
              <w:rPr>
                <w:sz w:val="20"/>
                <w:szCs w:val="20"/>
                <w:color w:val="auto"/>
              </w:rPr>
            </w:pPr>
            <w:r>
              <w:rPr>
                <w:rFonts w:ascii="Times New Roman" w:cs="Times New Roman" w:eastAsia="Times New Roman" w:hAnsi="Times New Roman"/>
                <w:sz w:val="12"/>
                <w:szCs w:val="12"/>
                <w:color w:val="auto"/>
              </w:rPr>
              <w:t>9.88</w:t>
            </w:r>
          </w:p>
        </w:tc>
      </w:tr>
      <w:tr>
        <w:trPr>
          <w:trHeight w:val="124"/>
        </w:trPr>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jc w:val="center"/>
              <w:ind w:right="80"/>
              <w:spacing w:after="0" w:line="124" w:lineRule="exact"/>
              <w:rPr>
                <w:sz w:val="20"/>
                <w:szCs w:val="20"/>
                <w:color w:val="auto"/>
              </w:rPr>
            </w:pPr>
            <w:r>
              <w:rPr>
                <w:rFonts w:ascii="Times New Roman" w:cs="Times New Roman" w:eastAsia="Times New Roman" w:hAnsi="Times New Roman"/>
                <w:sz w:val="12"/>
                <w:szCs w:val="12"/>
                <w:color w:val="auto"/>
                <w:w w:val="99"/>
              </w:rPr>
              <w:t>Non-Cumulative</w:t>
            </w:r>
          </w:p>
        </w:tc>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jc w:val="center"/>
              <w:ind w:right="80"/>
              <w:spacing w:after="0" w:line="124" w:lineRule="exact"/>
              <w:rPr>
                <w:sz w:val="20"/>
                <w:szCs w:val="20"/>
                <w:color w:val="auto"/>
              </w:rPr>
            </w:pPr>
            <w:r>
              <w:rPr>
                <w:rFonts w:ascii="Times New Roman" w:cs="Times New Roman" w:eastAsia="Times New Roman" w:hAnsi="Times New Roman"/>
                <w:sz w:val="12"/>
                <w:szCs w:val="12"/>
                <w:color w:val="auto"/>
                <w:w w:val="99"/>
              </w:rPr>
              <w:t>resets 9/1/2026 and every</w:t>
            </w: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19"/>
        </w:trPr>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rPr>
              <w:t>subsequent 5 year anniversary</w:t>
            </w: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17"/>
        </w:trPr>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gridSpan w:val="2"/>
            <w:shd w:val="clear" w:color="auto" w:fill="CCEEFF"/>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w w:val="98"/>
              </w:rPr>
              <w:t>at 5-Year Treasury Rate</w:t>
            </w: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62"/>
        </w:trPr>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+3.157%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17"/>
        </w:trPr>
        <w:tc>
          <w:tcPr>
            <w:tcW w:w="100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Series N</w:t>
            </w:r>
          </w:p>
        </w:tc>
        <w:tc>
          <w:tcPr>
            <w:tcW w:w="16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7"/>
              </w:rPr>
              <w:t>4.250%</w:t>
            </w:r>
          </w:p>
        </w:tc>
        <w:tc>
          <w:tcPr>
            <w:tcW w:w="100" w:type="dxa"/>
            <w:vAlign w:val="bottom"/>
          </w:tcPr>
          <w:p>
            <w:pPr>
              <w:spacing w:after="0"/>
              <w:rPr>
                <w:sz w:val="10"/>
                <w:szCs w:val="10"/>
                <w:color w:val="auto"/>
              </w:rPr>
            </w:pPr>
          </w:p>
        </w:tc>
        <w:tc>
          <w:tcPr>
            <w:tcW w:w="18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rPr>
              <w:t>July 29, 2021</w:t>
            </w:r>
          </w:p>
        </w:tc>
        <w:tc>
          <w:tcPr>
            <w:tcW w:w="15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6"/>
              </w:rPr>
              <w:t>4.250</w:t>
            </w:r>
          </w:p>
        </w:tc>
        <w:tc>
          <w:tcPr>
            <w:tcW w:w="80" w:type="dxa"/>
            <w:vAlign w:val="bottom"/>
          </w:tcPr>
          <w:p>
            <w:pPr>
              <w:spacing w:after="0"/>
              <w:rPr>
                <w:sz w:val="10"/>
                <w:szCs w:val="10"/>
                <w:color w:val="auto"/>
              </w:rPr>
            </w:pPr>
          </w:p>
        </w:tc>
        <w:tc>
          <w:tcPr>
            <w:tcW w:w="128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2"/>
                <w:szCs w:val="12"/>
                <w:color w:val="auto"/>
                <w:w w:val="99"/>
              </w:rPr>
              <w:t>Quarterly</w:t>
            </w:r>
          </w:p>
        </w:tc>
        <w:tc>
          <w:tcPr>
            <w:tcW w:w="9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6"/>
              </w:rPr>
              <w:t>10.63</w:t>
            </w:r>
          </w:p>
        </w:tc>
        <w:tc>
          <w:tcPr>
            <w:tcW w:w="100" w:type="dxa"/>
            <w:vAlign w:val="bottom"/>
          </w:tcPr>
          <w:p>
            <w:pPr>
              <w:spacing w:after="0"/>
              <w:rPr>
                <w:sz w:val="10"/>
                <w:szCs w:val="10"/>
                <w:color w:val="auto"/>
              </w:rPr>
            </w:pPr>
          </w:p>
        </w:tc>
        <w:tc>
          <w:tcPr>
            <w:tcW w:w="700" w:type="dxa"/>
            <w:vAlign w:val="bottom"/>
          </w:tcPr>
          <w:p>
            <w:pPr>
              <w:jc w:val="center"/>
              <w:ind w:left="140"/>
              <w:spacing w:after="0" w:line="117" w:lineRule="exact"/>
              <w:rPr>
                <w:sz w:val="20"/>
                <w:szCs w:val="20"/>
                <w:color w:val="auto"/>
              </w:rPr>
            </w:pPr>
            <w:r>
              <w:rPr>
                <w:rFonts w:ascii="Times New Roman" w:cs="Times New Roman" w:eastAsia="Times New Roman" w:hAnsi="Times New Roman"/>
                <w:sz w:val="12"/>
                <w:szCs w:val="12"/>
                <w:color w:val="auto"/>
                <w:w w:val="96"/>
              </w:rPr>
              <w:t>10.63</w:t>
            </w:r>
          </w:p>
        </w:tc>
        <w:tc>
          <w:tcPr>
            <w:tcW w:w="1180" w:type="dxa"/>
            <w:vAlign w:val="bottom"/>
            <w:gridSpan w:val="3"/>
          </w:tcPr>
          <w:p>
            <w:pPr>
              <w:jc w:val="center"/>
              <w:ind w:left="240"/>
              <w:spacing w:after="0" w:line="117" w:lineRule="exact"/>
              <w:rPr>
                <w:sz w:val="20"/>
                <w:szCs w:val="20"/>
                <w:color w:val="auto"/>
              </w:rPr>
            </w:pPr>
            <w:r>
              <w:rPr>
                <w:rFonts w:ascii="Times New Roman" w:cs="Times New Roman" w:eastAsia="Times New Roman" w:hAnsi="Times New Roman"/>
                <w:sz w:val="12"/>
                <w:szCs w:val="12"/>
                <w:color w:val="auto"/>
              </w:rPr>
              <w:t>10.63</w:t>
            </w:r>
          </w:p>
        </w:tc>
        <w:tc>
          <w:tcPr>
            <w:tcW w:w="8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auto"/>
                <w:w w:val="96"/>
              </w:rPr>
              <w:t>10.63</w:t>
            </w:r>
          </w:p>
        </w:tc>
      </w:tr>
      <w:tr>
        <w:trPr>
          <w:trHeight w:val="155"/>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Non-Cumulative</w:t>
            </w: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r>
    </w:tbl>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declaration and payment of dividends to our stockholders, as well as the amount thereof, are subject to the discretion of our Board of Directors and depend upon our results of operations, financial condition, capital levels, cash requirements, future prospects, regulatory requirements and other factors deemed relevant by the Board of Directors. As a BHC, our ability to pay dividends is largely dependent upon the receipt of dividends or other payments from our subsidiaries. The Bank is subject to regulatory restrictions that limit its ability to transfer funds to our BHC. As of December 31, 2022, funds available for dividend payments from the Bank were $3.2 billion. There can be no assurance that we will declare and pay any dividends to stockholders.</w:t>
      </w:r>
    </w:p>
    <w:p>
      <w:pPr>
        <w:spacing w:after="0" w:line="8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January 2022, our Board of Directors authorized the repurchase of up to $5.0 billion of shares of our common stock. In April 2022, our Board of Directors authorized the repurchase of up to an additional $5.0 billion of shares of our common stock. For the year ended December 31, 2022, we repurchased $4.8 billion of shares of our common stock.</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timing and exact amount of any future common stock repurchases will depend on various factors, including regulatory approval, market conditions, opportunities for growth, our capital position and the amount of retained earnings. The Board authorized stock repurchase program does not include specific price targets, may be executed through open market purchases, tender offers, or privately negotiated transactions, including utilizing Rule 10b5-1 programs, and may be suspended at any time. For additional information on dividends and stock repurchases, see “Capital Management—Capital Planning and Regulatory Stress Testing” and “Part I—Item 1. Business—Supervision and Regulation— Dividends, Stock Repurchases and Transfers of Funds.”</w:t>
      </w:r>
    </w:p>
    <w:p>
      <w:pPr>
        <w:spacing w:after="0" w:line="200" w:lineRule="exact"/>
        <w:rPr>
          <w:sz w:val="20"/>
          <w:szCs w:val="20"/>
          <w:color w:val="auto"/>
        </w:rPr>
      </w:pPr>
    </w:p>
    <w:p>
      <w:pPr>
        <w:spacing w:after="0" w:line="350"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74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Management Framework</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Our Framework ( sets consistent expectations for risk management across the Company. It also sets expectations for our “Three Lines of Defense” model, which defines the roles, responsibilities and accountabilities for taking and managing risk across the Company. Accountability for overseeing an effective Framework resides with our Board of Directors either directly or through its committees.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Framework also sets expectations for our “Three Lines of Defense” model, which defines the roles, responsibilities and accountabilities for taking and managing risk across the Company.</w:t>
      </w:r>
    </w:p>
    <w:p>
      <w:pPr>
        <w:sectPr>
          <w:pgSz w:w="11900" w:h="16838" w:orient="portrait"/>
          <w:cols w:equalWidth="0" w:num="1">
            <w:col w:w="11300"/>
          </w:cols>
          <w:pgMar w:left="300" w:top="161" w:right="29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131313"/>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235585</wp:posOffset>
            </wp:positionV>
            <wp:extent cx="1211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115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-83820</wp:posOffset>
            </wp:positionV>
            <wp:extent cx="1211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11580" cy="571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131313"/>
        </w:rPr>
        <w:t>Key Responsibilities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FFFFFF"/>
        </w:rPr>
        <w:t>First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-78105</wp:posOffset>
            </wp:positionV>
            <wp:extent cx="1908810" cy="262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08810" cy="262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Identifies and Owns Risk</w:t>
      </w:r>
    </w:p>
    <w:p>
      <w:pPr>
        <w:spacing w:after="0" w:line="54"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1"/>
          <w:szCs w:val="11"/>
          <w:color w:val="131313"/>
        </w:rPr>
        <w:t>Business areas that are accountable for risk and responsible for: i) generating revenue or reducing expenses; ii) supporting the business to provide products or services to customers; or iii) providing technology services for the first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-294005</wp:posOffset>
            </wp:positionV>
            <wp:extent cx="1908810" cy="297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08810" cy="297180"/>
                    </a:xfrm>
                    <a:prstGeom prst="rect">
                      <a:avLst/>
                    </a:prstGeom>
                    <a:noFill/>
                  </pic:spPr>
                </pic:pic>
              </a:graphicData>
            </a:graphic>
          </wp:anchor>
        </w:drawing>
      </w:r>
    </w:p>
    <w:p>
      <w:pPr>
        <w:spacing w:after="0" w:line="20"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1"/>
          <w:szCs w:val="11"/>
          <w:color w:val="131313"/>
        </w:rPr>
        <w:t>Identify, assess, measure, monitor, control, and report the risks associated with their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1908810" cy="3657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08810" cy="365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FFFFFF"/>
        </w:rPr>
        <w:t>Second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-78105</wp:posOffset>
            </wp:positionV>
            <wp:extent cx="1908810" cy="262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08810" cy="262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Advises &amp; Challenges First Line</w:t>
      </w:r>
    </w:p>
    <w:p>
      <w:pPr>
        <w:spacing w:after="0" w:line="54"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1"/>
          <w:szCs w:val="11"/>
          <w:color w:val="131313"/>
        </w:rPr>
        <w:t>Independent Risk Management (“IRM”) and Support Functions (e.g., Human Resources, Accounting, Legal) that provide support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-225425</wp:posOffset>
            </wp:positionV>
            <wp:extent cx="1908810" cy="297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08810" cy="297180"/>
                    </a:xfrm>
                    <a:prstGeom prst="rect">
                      <a:avLst/>
                    </a:prstGeom>
                    <a:noFill/>
                  </pic:spPr>
                </pic:pic>
              </a:graphicData>
            </a:graphic>
          </wp:anchor>
        </w:drawing>
      </w:r>
    </w:p>
    <w:p>
      <w:pPr>
        <w:spacing w:after="0" w:line="12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1"/>
          <w:szCs w:val="11"/>
          <w:color w:val="131313"/>
        </w:rPr>
        <w:t>Independent Risk Management (IRM): Independently oversees and assesses risk taking activities for the first line of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1908810" cy="3657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08810" cy="365760"/>
                    </a:xfrm>
                    <a:prstGeom prst="rect">
                      <a:avLst/>
                    </a:prstGeom>
                    <a:noFill/>
                  </pic:spPr>
                </pic:pic>
              </a:graphicData>
            </a:graphic>
          </wp:anchor>
        </w:drawing>
      </w:r>
    </w:p>
    <w:p>
      <w:pPr>
        <w:spacing w:after="0" w:line="56"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1"/>
          <w:szCs w:val="11"/>
          <w:color w:val="131313"/>
        </w:rPr>
        <w:t>Support Functions: Centers of specialized expertise that provide support services to the enterprise.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FFFFFF"/>
        </w:rPr>
        <w:t>Third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1908810" cy="262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08810" cy="262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Provides Independent Assurance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131313"/>
        </w:rPr>
        <w:t>Internal Audit and Credit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-79375</wp:posOffset>
            </wp:positionV>
            <wp:extent cx="1908810" cy="297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08810" cy="297180"/>
                    </a:xfrm>
                    <a:prstGeom prst="rect">
                      <a:avLst/>
                    </a:prstGeom>
                    <a:noFill/>
                  </pic:spPr>
                </pic:pic>
              </a:graphicData>
            </a:graphic>
          </wp:anchor>
        </w:drawing>
      </w:r>
    </w:p>
    <w:p>
      <w:pPr>
        <w:spacing w:after="0" w:line="358"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1"/>
          <w:szCs w:val="11"/>
          <w:color w:val="131313"/>
        </w:rPr>
        <w:t>Provides independent and objective assurance to the Board of Directors and senior management that that systems and governance processes are designed and working as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-225425</wp:posOffset>
            </wp:positionV>
            <wp:extent cx="1908810" cy="365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8810" cy="36576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4">
            <w:col w:w="1200" w:space="720"/>
            <w:col w:w="2940" w:space="240"/>
            <w:col w:w="2920" w:space="280"/>
            <w:col w:w="3000"/>
          </w:cols>
          <w:pgMar w:left="300" w:top="161" w:right="29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75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Framework sets consistent expectations for risk management across the Company and consists of the following nine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166610" cy="297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6610" cy="297180"/>
                    </a:xfrm>
                    <a:prstGeom prst="rect">
                      <a:avLst/>
                    </a:prstGeom>
                    <a:noFill/>
                  </pic:spPr>
                </pic:pic>
              </a:graphicData>
            </a:graphic>
          </wp:anchor>
        </w:drawing>
      </w: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FFFFFF"/>
        </w:rPr>
        <w:t>Governance and 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66610" cy="297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6610" cy="297180"/>
                    </a:xfrm>
                    <a:prstGeom prst="rect">
                      <a:avLst/>
                    </a:prstGeom>
                    <a:noFill/>
                  </pic:spPr>
                </pic:pic>
              </a:graphicData>
            </a:graphic>
          </wp:anchor>
        </w:drawing>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FFFFFF"/>
        </w:rPr>
        <w:t>Strategy and Risk Alignment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40" w:type="dxa"/>
            <w:vAlign w:val="bottom"/>
            <w:shd w:val="clear" w:color="auto" w:fill="004977"/>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shd w:val="clear" w:color="auto" w:fill="004977"/>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Assessment, Measurement</w:t>
            </w:r>
          </w:p>
        </w:tc>
        <w:tc>
          <w:tcPr>
            <w:tcW w:w="100" w:type="dxa"/>
            <w:vAlign w:val="bottom"/>
          </w:tcPr>
          <w:p>
            <w:pPr>
              <w:spacing w:after="0"/>
              <w:rPr>
                <w:sz w:val="23"/>
                <w:szCs w:val="23"/>
                <w:color w:val="auto"/>
              </w:rPr>
            </w:pPr>
          </w:p>
        </w:tc>
        <w:tc>
          <w:tcPr>
            <w:tcW w:w="2760" w:type="dxa"/>
            <w:vAlign w:val="bottom"/>
            <w:vMerge w:val="restart"/>
            <w:shd w:val="clear" w:color="auto" w:fill="004977"/>
          </w:tcPr>
          <w:p>
            <w:pPr>
              <w:ind w:left="840"/>
              <w:spacing w:after="0"/>
              <w:rPr>
                <w:sz w:val="20"/>
                <w:szCs w:val="20"/>
                <w:color w:val="auto"/>
              </w:rPr>
            </w:pPr>
            <w:r>
              <w:rPr>
                <w:rFonts w:ascii="Times New Roman" w:cs="Times New Roman" w:eastAsia="Times New Roman" w:hAnsi="Times New Roman"/>
                <w:sz w:val="11"/>
                <w:szCs w:val="11"/>
                <w:b w:val="1"/>
                <w:bCs w:val="1"/>
                <w:color w:val="FFFFFF"/>
              </w:rPr>
              <w:t>Monitoring and Testing</w:t>
            </w:r>
          </w:p>
        </w:tc>
        <w:tc>
          <w:tcPr>
            <w:tcW w:w="80" w:type="dxa"/>
            <w:vAlign w:val="bottom"/>
          </w:tcPr>
          <w:p>
            <w:pPr>
              <w:spacing w:after="0"/>
              <w:rPr>
                <w:sz w:val="23"/>
                <w:szCs w:val="23"/>
                <w:color w:val="auto"/>
              </w:rPr>
            </w:pPr>
          </w:p>
        </w:tc>
        <w:tc>
          <w:tcPr>
            <w:tcW w:w="2760" w:type="dxa"/>
            <w:vAlign w:val="bottom"/>
            <w:vMerge w:val="restart"/>
            <w:shd w:val="clear" w:color="auto" w:fill="004977"/>
          </w:tcPr>
          <w:p>
            <w:pPr>
              <w:ind w:left="480"/>
              <w:spacing w:after="0"/>
              <w:rPr>
                <w:sz w:val="20"/>
                <w:szCs w:val="20"/>
                <w:color w:val="auto"/>
              </w:rPr>
            </w:pPr>
            <w:r>
              <w:rPr>
                <w:rFonts w:ascii="Times New Roman" w:cs="Times New Roman" w:eastAsia="Times New Roman" w:hAnsi="Times New Roman"/>
                <w:sz w:val="11"/>
                <w:szCs w:val="11"/>
                <w:b w:val="1"/>
                <w:bCs w:val="1"/>
                <w:color w:val="FFFFFF"/>
              </w:rPr>
              <w:t>Aggregation, Reporting and Escalation</w:t>
            </w:r>
          </w:p>
        </w:tc>
        <w:tc>
          <w:tcPr>
            <w:tcW w:w="0" w:type="dxa"/>
            <w:vAlign w:val="bottom"/>
          </w:tcPr>
          <w:p>
            <w:pPr>
              <w:spacing w:after="0"/>
              <w:rPr>
                <w:sz w:val="1"/>
                <w:szCs w:val="1"/>
                <w:color w:val="auto"/>
              </w:rPr>
            </w:pPr>
          </w:p>
        </w:tc>
      </w:tr>
      <w:tr>
        <w:trPr>
          <w:trHeight w:val="86"/>
        </w:trPr>
        <w:tc>
          <w:tcPr>
            <w:tcW w:w="2740" w:type="dxa"/>
            <w:vAlign w:val="bottom"/>
            <w:vMerge w:val="restart"/>
            <w:shd w:val="clear" w:color="auto" w:fill="004977"/>
          </w:tcPr>
          <w:p>
            <w:pPr>
              <w:ind w:left="940"/>
              <w:spacing w:after="0"/>
              <w:rPr>
                <w:sz w:val="20"/>
                <w:szCs w:val="20"/>
                <w:color w:val="auto"/>
              </w:rPr>
            </w:pPr>
            <w:r>
              <w:rPr>
                <w:rFonts w:ascii="Times New Roman" w:cs="Times New Roman" w:eastAsia="Times New Roman" w:hAnsi="Times New Roman"/>
                <w:sz w:val="11"/>
                <w:szCs w:val="11"/>
                <w:b w:val="1"/>
                <w:bCs w:val="1"/>
                <w:color w:val="FFFFFF"/>
              </w:rPr>
              <w:t>Risk Identification</w:t>
            </w:r>
          </w:p>
        </w:tc>
        <w:tc>
          <w:tcPr>
            <w:tcW w:w="100" w:type="dxa"/>
            <w:vAlign w:val="bottom"/>
          </w:tcPr>
          <w:p>
            <w:pPr>
              <w:spacing w:after="0"/>
              <w:rPr>
                <w:sz w:val="7"/>
                <w:szCs w:val="7"/>
                <w:color w:val="auto"/>
              </w:rPr>
            </w:pPr>
          </w:p>
        </w:tc>
        <w:tc>
          <w:tcPr>
            <w:tcW w:w="2740" w:type="dxa"/>
            <w:vAlign w:val="bottom"/>
            <w:vMerge w:val="restart"/>
            <w:shd w:val="clear" w:color="auto" w:fill="004977"/>
          </w:tcPr>
          <w:p>
            <w:pPr>
              <w:jc w:val="center"/>
              <w:spacing w:after="0"/>
              <w:rPr>
                <w:sz w:val="20"/>
                <w:szCs w:val="20"/>
                <w:color w:val="auto"/>
              </w:rPr>
            </w:pPr>
            <w:r>
              <w:rPr>
                <w:rFonts w:ascii="Times New Roman" w:cs="Times New Roman" w:eastAsia="Times New Roman" w:hAnsi="Times New Roman"/>
                <w:sz w:val="11"/>
                <w:szCs w:val="11"/>
                <w:b w:val="1"/>
                <w:bCs w:val="1"/>
                <w:color w:val="FFFFFF"/>
                <w:w w:val="96"/>
              </w:rPr>
              <w:t>and Response</w:t>
            </w:r>
          </w:p>
        </w:tc>
        <w:tc>
          <w:tcPr>
            <w:tcW w:w="100" w:type="dxa"/>
            <w:vAlign w:val="bottom"/>
          </w:tcPr>
          <w:p>
            <w:pPr>
              <w:spacing w:after="0"/>
              <w:rPr>
                <w:sz w:val="7"/>
                <w:szCs w:val="7"/>
                <w:color w:val="auto"/>
              </w:rPr>
            </w:pPr>
          </w:p>
        </w:tc>
        <w:tc>
          <w:tcPr>
            <w:tcW w:w="2760" w:type="dxa"/>
            <w:vAlign w:val="bottom"/>
            <w:vMerge w:val="continue"/>
            <w:shd w:val="clear" w:color="auto" w:fill="004977"/>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vMerge w:val="continue"/>
            <w:shd w:val="clear" w:color="auto" w:fill="004977"/>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740" w:type="dxa"/>
            <w:vAlign w:val="bottom"/>
            <w:vMerge w:val="continue"/>
            <w:shd w:val="clear" w:color="auto" w:fill="004977"/>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vMerge w:val="continue"/>
            <w:shd w:val="clear" w:color="auto" w:fill="004977"/>
          </w:tcPr>
          <w:p>
            <w:pPr>
              <w:spacing w:after="0"/>
              <w:rPr>
                <w:sz w:val="4"/>
                <w:szCs w:val="4"/>
                <w:color w:val="auto"/>
              </w:rPr>
            </w:pPr>
          </w:p>
        </w:tc>
        <w:tc>
          <w:tcPr>
            <w:tcW w:w="100" w:type="dxa"/>
            <w:vAlign w:val="bottom"/>
          </w:tcPr>
          <w:p>
            <w:pPr>
              <w:spacing w:after="0"/>
              <w:rPr>
                <w:sz w:val="4"/>
                <w:szCs w:val="4"/>
                <w:color w:val="auto"/>
              </w:rPr>
            </w:pPr>
          </w:p>
        </w:tc>
        <w:tc>
          <w:tcPr>
            <w:tcW w:w="2760" w:type="dxa"/>
            <w:vAlign w:val="bottom"/>
            <w:shd w:val="clear" w:color="auto" w:fill="004977"/>
          </w:tcPr>
          <w:p>
            <w:pPr>
              <w:spacing w:after="0"/>
              <w:rPr>
                <w:sz w:val="4"/>
                <w:szCs w:val="4"/>
                <w:color w:val="auto"/>
              </w:rPr>
            </w:pPr>
          </w:p>
        </w:tc>
        <w:tc>
          <w:tcPr>
            <w:tcW w:w="80" w:type="dxa"/>
            <w:vAlign w:val="bottom"/>
          </w:tcPr>
          <w:p>
            <w:pPr>
              <w:spacing w:after="0"/>
              <w:rPr>
                <w:sz w:val="4"/>
                <w:szCs w:val="4"/>
                <w:color w:val="auto"/>
              </w:rPr>
            </w:pPr>
          </w:p>
        </w:tc>
        <w:tc>
          <w:tcPr>
            <w:tcW w:w="2760" w:type="dxa"/>
            <w:vAlign w:val="bottom"/>
            <w:shd w:val="clear" w:color="auto" w:fill="004977"/>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740" w:type="dxa"/>
            <w:vAlign w:val="bottom"/>
            <w:shd w:val="clear" w:color="auto" w:fill="004977"/>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shd w:val="clear" w:color="auto" w:fill="004977"/>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shd w:val="clear" w:color="auto" w:fill="004977"/>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shd w:val="clear" w:color="auto" w:fill="004977"/>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66610" cy="297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6610" cy="29718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FFFFFF"/>
        </w:rPr>
        <w:t>Capital and Liquidity Management (including Stress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66610" cy="297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6610" cy="297180"/>
                    </a:xfrm>
                    <a:prstGeom prst="rect">
                      <a:avLst/>
                    </a:prstGeom>
                    <a:noFill/>
                  </pic:spPr>
                </pic:pic>
              </a:graphicData>
            </a:graphic>
          </wp:anchor>
        </w:drawing>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FFFFFF"/>
        </w:rPr>
        <w:t>Risk Data and Enabling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66610" cy="297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6610" cy="297180"/>
                    </a:xfrm>
                    <a:prstGeom prst="rect">
                      <a:avLst/>
                    </a:prstGeom>
                    <a:noFill/>
                  </pic:spPr>
                </pic:pic>
              </a:graphicData>
            </a:graphic>
          </wp:anchor>
        </w:drawing>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FFFFFF"/>
        </w:rPr>
        <w:t>Culture and Talent Management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Governance and Accountability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element of the Framework sets the foundation for the methods for governing risk taking and the interactions within and among our three lines of defense.</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established a risk governance structure and accountabilities to effectively and consistently oversee the management of risks across the Company. Our Board of Directors, Chief Executive Officer and management establish the tone at the top regarding the culture of the Company, including management of risk. Management reinforces expectations at the various levels of the organization.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Strategy and Risk Alignment</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strategy is informed by and aligned with risk appetite, from development to execution. The Chief Executive Officer develops the strategy with input from the first, second, and third lines of defense, as well as the Board of Directors. The strategic planning process considers relevant changes to the Company’s overall risk profile.</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of Directors approves a Risk Appetite Statement for the Company to set forth the high-level principles that govern risk taking at the Company. The Risk Appetite Statement defines the Board of Directors’ tolerance for certain risk outcomes at an enterprise level and enables senior management to manage and report within these boundaries. This Risk Appetite Statement is also supported by risk category specific risk appetite statements as well as metrics and, where appropriate, Board Limits and Board Notification Thresholds.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 Identification</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first line of defense and certain Support Functions identify new and emerging risks, including concentration of risk, across the relevant risk categories associated with their business activities and objectives, in consultation with IRM. Risk identification also must be informed by major changes in infrastructure or organization, introduction of new products and services, acquisitions of businesses, or substantial changes in the internal or external environment.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IRM and certain Support Functions, where appropriate, provide effective challenge in the risk identification process. IRM is also responsible for identifying our material aggregate risks on an ongoing basis.</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76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Assessment, Measurement and Response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Management assesses risks associated with our activities. Risks identified are assessed to understand the severity of each risk and likelihood of occurrence under both normal and stressful conditions. Risk severity is measured through modeling and other quantitative estimation approaches, as well as qualitative approaches, based on management judgment. As part of the risk assessment process, the first and second lines of defense also evaluate the effectiveness of the existing control environment and mitigation strategies.</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Management determines the appropriate risk response. Risks may be mitigated or accepted. Actions taken to respond to the risk include implementing new controls, enhancing existing controls, developing additional mitigation strategies to reduce the impact of the risk, and/or monitoring the risk.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Monitoring and Testing</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Management periodically monitors risks to evaluate and measure how the risk is affecting our strategy and business objectives, in alignment with risk appetite, including established concentration risk limits. The scope and frequency of monitoring activities depends on the results of relevant risk assessments, as well as specific business risk operations and activities.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first line of defense is required to evaluate the effectiveness of risk management practices and controls through testing and other activities. IRM and Support Functions, as appropriate, assess the first line of defense’s evaluation of risk management, which may include conducting effective challenge, performing independent monitoring, or conducting risk or control validations. The third line of defense provides independent assurance for first and second line risk management practices and controls.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Aggregation, Reporting and Escalation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Risk aggregation supports strategic decision making and risk management practices through collectively reporting risks across different levels of the Company and providing a comprehensive view of performance against risk appetite.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Capital One’s risk aggregation processes are designed to aggregate risk information from lower levels of the business hierarchy to high levels and to aggregate risk information to determine material risk themes.</w:t>
      </w:r>
    </w:p>
    <w:p>
      <w:pPr>
        <w:spacing w:after="0" w:line="10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Material risks, new or emerging risks, aggregate risks, risk appetite metrics and other measures across all risk categories are reported to the appropriate governance forum no less than quarterly. Material risks are reported to the Board of Directors and senior management committees no less than quarterly.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Capital and Liquidity Management (including Stress Testing)</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capital management processes are linked to its risk management practices, including the enterprise-wide identification, assessment and measurement of risks to ensure that all relevant risks are incorporated in the assessment of the Company's capital adequacy. We use identified risks to inform key aspects of the Company’s capital planning, including the development of stress scenarios, the assessment of the adequacy of post-stress capital levels, and the appropriateness of potential capital actions considering the Company’s capital objectives. We quantify capital needs through stress testing, regulatory capital, economic capital and assessments of market considerations. In assessing its capital adequacy, we identify how and where our material risks are accounted for within the capital planning process. Monitoring and escalation processes exist for key capital thresholds and metrics to continuously monitor capital adequacy.</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manage liquidity risk by applying our Liquidity Adequacy Framework (the “Liquidity Framework”). The Liquidity Framework uses internal and regulatory stress testing and the evaluation of other balance sheet metrics to confirm that we maintain a fortified balance sheet that is resilient to uncertainties that may arise as a consequence of systemic, idiosyncratic, or combined liquidity events.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 Data and Enabling Technology</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Risk data and technology provides the basis for risk reporting and is used in decision making and to monitor and review changes to our risk profile. There is a core Governance, Risk Management and Compliance system which is used as the system of record for risks, controls, issues and events for our risk categories and supports the analysis, aggregation and reporting capabilities across the categories.</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77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Culture and Talent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Framework must be supported with the right culture, talent and skills to enable effective risk management across the Company.</w:t>
      </w:r>
    </w:p>
    <w:p>
      <w:pPr>
        <w:spacing w:after="0" w:line="11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Every associate at the Company is responsible for risk management; however, associates with specific risk management skills and expertise within the first, second and third lines of defense are critical to execute appropriate risk management across the enterprise.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Categories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apply our Framework to protect the Company from the major categories of risk that we are exposed to through our business activities. Our seven major categories of risk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600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16002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FFFFFF"/>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1171575" cy="1600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71575" cy="160020"/>
                    </a:xfrm>
                    <a:prstGeom prst="rect">
                      <a:avLst/>
                    </a:prstGeom>
                    <a:noFill/>
                  </pic:spPr>
                </pic:pic>
              </a:graphicData>
            </a:graphic>
          </wp:anchor>
        </w:drawing>
      </w:r>
    </w:p>
    <w:p>
      <w:pPr>
        <w:spacing w:after="0" w:line="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b w:val="1"/>
          <w:bCs w:val="1"/>
          <w:color w:val="FFFFFF"/>
        </w:rPr>
        <w:t>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171575"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71575" cy="274320"/>
                    </a:xfrm>
                    <a:prstGeom prst="rect">
                      <a:avLst/>
                    </a:prstGeom>
                    <a:noFill/>
                  </pic:spPr>
                </pic:pic>
              </a:graphicData>
            </a:graphic>
          </wp:anchor>
        </w:drawing>
      </w:r>
    </w:p>
    <w:p>
      <w:pPr>
        <w:spacing w:after="0" w:line="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FFFFFF"/>
        </w:rPr>
        <w:t>Liquidity</w:t>
      </w:r>
    </w:p>
    <w:p>
      <w:pPr>
        <w:spacing w:after="0" w:line="1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b w:val="1"/>
          <w:bCs w:val="1"/>
          <w:color w:val="FFFFFF"/>
        </w:rPr>
        <w:t>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171575" cy="91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71575" cy="91440"/>
                    </a:xfrm>
                    <a:prstGeom prst="rect">
                      <a:avLst/>
                    </a:prstGeom>
                    <a:noFill/>
                  </pic:spPr>
                </pic:pic>
              </a:graphicData>
            </a:graphic>
          </wp:anchor>
        </w:drawing>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FFFFFF"/>
        </w:rPr>
        <w:t>Operational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1171575" cy="274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71575" cy="274320"/>
                    </a:xfrm>
                    <a:prstGeom prst="rect">
                      <a:avLst/>
                    </a:prstGeom>
                    <a:noFill/>
                  </pic:spPr>
                </pic:pic>
              </a:graphicData>
            </a:graphic>
          </wp:anchor>
        </w:drawing>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b w:val="1"/>
          <w:bCs w:val="1"/>
          <w:color w:val="FFFFFF"/>
        </w:rPr>
        <w:t>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69850</wp:posOffset>
            </wp:positionV>
            <wp:extent cx="1171575" cy="228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71575" cy="228600"/>
                    </a:xfrm>
                    <a:prstGeom prst="rect">
                      <a:avLst/>
                    </a:prstGeom>
                    <a:noFill/>
                  </pic:spPr>
                </pic:pic>
              </a:graphicData>
            </a:graphic>
          </wp:anchor>
        </w:drawing>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b w:val="1"/>
          <w:bCs w:val="1"/>
          <w:color w:val="FFFFFF"/>
        </w:rPr>
        <w:t>Strategic</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1"/>
          <w:szCs w:val="11"/>
          <w:b w:val="1"/>
          <w:bCs w:val="1"/>
          <w:color w:val="FFFFFF"/>
        </w:rPr>
        <w:t>Major Categories of Risk</w:t>
      </w:r>
    </w:p>
    <w:p>
      <w:pPr>
        <w:spacing w:after="0" w:line="56" w:lineRule="exact"/>
        <w:rPr>
          <w:sz w:val="20"/>
          <w:szCs w:val="20"/>
          <w:color w:val="auto"/>
        </w:rPr>
      </w:pPr>
    </w:p>
    <w:p>
      <w:pPr>
        <w:ind w:right="480"/>
        <w:spacing w:after="0" w:line="235" w:lineRule="auto"/>
        <w:rPr>
          <w:sz w:val="20"/>
          <w:szCs w:val="20"/>
          <w:color w:val="auto"/>
        </w:rPr>
      </w:pPr>
      <w:r>
        <w:rPr>
          <w:rFonts w:ascii="Times New Roman" w:cs="Times New Roman" w:eastAsia="Times New Roman" w:hAnsi="Times New Roman"/>
          <w:sz w:val="11"/>
          <w:szCs w:val="11"/>
          <w:color w:val="FFFFFF"/>
        </w:rPr>
        <w:t>The risk to current or anticipated earnings or capital arising from violations of laws, rules or regulations. Compliance risk can also arise from nonconformance with prescribed practices, internal policies and procedures, contractual obligations or ethical standards that reinforce those laws, rules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-156210</wp:posOffset>
            </wp:positionV>
            <wp:extent cx="5949315" cy="1600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49315" cy="1600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The risk to current or projected financial condition and resilience arising from an obligor’s failure to meet the terms of any contract with the Company or otherwise perform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5949315" cy="914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49315" cy="91440"/>
                    </a:xfrm>
                    <a:prstGeom prst="rect">
                      <a:avLst/>
                    </a:prstGeom>
                    <a:noFill/>
                  </pic:spPr>
                </pic:pic>
              </a:graphicData>
            </a:graphic>
          </wp:anchor>
        </w:drawing>
      </w:r>
    </w:p>
    <w:p>
      <w:pPr>
        <w:spacing w:after="0" w:line="34"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11"/>
          <w:szCs w:val="11"/>
          <w:color w:val="FFFFFF"/>
        </w:rPr>
        <w:t>The risk that the Company will not be able to meet its future financial obligations as they come due, or invest in future asset growth because of an inability to obtain funds at a reasonable price within a reasonable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-156210</wp:posOffset>
            </wp:positionV>
            <wp:extent cx="5949315" cy="160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49315" cy="16002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FFFFFF"/>
        </w:rPr>
        <w:t>The risk that an institution’s earnings or the economic value of equity could be adversely impacted by changes in interest rates, foreign exchange rates or other market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5949315" cy="91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49315" cy="9144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FFFFFF"/>
        </w:rPr>
        <w:t>The risk of loss, capital impairment, adverse customer experience or reputational impact resulting from failure to comply with policies and procedures, failed internal processes or systems, or from external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5949315" cy="91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49315" cy="91440"/>
                    </a:xfrm>
                    <a:prstGeom prst="rect">
                      <a:avLst/>
                    </a:prstGeom>
                    <a:noFill/>
                  </pic:spPr>
                </pic:pic>
              </a:graphicData>
            </a:graphic>
          </wp:anchor>
        </w:drawing>
      </w:r>
    </w:p>
    <w:p>
      <w:pPr>
        <w:spacing w:after="0" w:line="45"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11"/>
          <w:szCs w:val="11"/>
          <w:color w:val="FFFFFF"/>
        </w:rPr>
        <w:t>The risk to market value, recruitment and retention of talented associates and maintenance of a loyal customer base due to the negative perceptions of our internal and external constituents regarding our business strategies and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-156210</wp:posOffset>
            </wp:positionV>
            <wp:extent cx="5949315" cy="1600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49315" cy="160020"/>
                    </a:xfrm>
                    <a:prstGeom prst="rect">
                      <a:avLst/>
                    </a:prstGeom>
                    <a:noFill/>
                  </pic:spPr>
                </pic:pic>
              </a:graphicData>
            </a:graphic>
          </wp:anchor>
        </w:drawing>
      </w:r>
    </w:p>
    <w:p>
      <w:pPr>
        <w:spacing w:after="0" w:line="20" w:lineRule="exact"/>
        <w:rPr>
          <w:sz w:val="20"/>
          <w:szCs w:val="20"/>
          <w:color w:val="auto"/>
        </w:rPr>
      </w:pPr>
    </w:p>
    <w:p>
      <w:pPr>
        <w:jc w:val="both"/>
        <w:ind w:right="160"/>
        <w:spacing w:after="0" w:line="225" w:lineRule="auto"/>
        <w:rPr>
          <w:sz w:val="20"/>
          <w:szCs w:val="20"/>
          <w:color w:val="auto"/>
        </w:rPr>
      </w:pPr>
      <w:r>
        <w:rPr>
          <w:rFonts w:ascii="Times New Roman" w:cs="Times New Roman" w:eastAsia="Times New Roman" w:hAnsi="Times New Roman"/>
          <w:sz w:val="11"/>
          <w:szCs w:val="11"/>
          <w:color w:val="FFFFFF"/>
        </w:rPr>
        <w:t>The risk of a material impact on current or anticipated earnings, capital, franchise or enterprise value arising from the Company’s competitive and market position and evolving forces in the industry that can affect that position; lack of responsiveness to these conditions; strategic decisions to change the Company’s scale, market position or operating model; or, failure to appropriately consider implementation risks inherent in the Company’s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-225425</wp:posOffset>
            </wp:positionV>
            <wp:extent cx="5949315" cy="228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49315" cy="2286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20" w:space="720"/>
            <w:col w:w="9360"/>
          </w:cols>
          <w:pgMar w:left="300" w:top="161" w:right="29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provide an overview of how we manage our seven major categories of risk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Risk Management</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We recognize that compliance requirements for financial institutions are increasingly complex and that there are heightened expectations from our regulators and our customers. In response, we continuously evaluate the regulatory environment and proactively adjust our compliance program to fully address these expectations.</w:t>
      </w:r>
    </w:p>
    <w:p>
      <w:pPr>
        <w:spacing w:after="0" w:line="7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Our Compliance Management Program establishes expectations for determining compliance requirements, assessing the risk of new product offerings, creating appropriate controls and training to address requirements, monitoring for control performance, and independently testing for adherence to compliance requirements. The program also establishes regular compliance reporting to senior business leaders, the executive committee and the Board of Directors.</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78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Chief Compliance Officer is responsible for establishing and overseeing our Compliance Management Program. Business areas incorporate compliance requirements and controls into their business policies, standards, processes and procedures. They regularly monitor and report on the efficacy of their compliance controls and our Compliance team periodically independently tests to validate the effectiveness of business controls.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Credit Risk Management</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recognize that we are exposed to cyclical changes in credit quality. Consequently, we try to ensure our credit portfolio is resilient to economic downturns. Our most important tool in this endeavor is sound underwriting. In unsecured consumer loan underwriting, we generally assume that loans will be subject to an environment in which losses are higher than those prevailing at the time of underwriting. In commercial underwriting, we generally require strong cash flow, collateral, covenants, and guarantees. In addition to sound underwriting, we continually monitor our portfolio and take steps to collect or work out distressed loans.</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Chief Risk Officer, in conjunction with the Consumer and Commercial Chief Credit Officers, is responsible for establishing credit risk policies and procedures, including underwriting and hold guidelines and credit approval authority, and monitoring credit exposure and performance of our lending related transactions. Our Consumer and Commercial Chief Credit Officers are responsible for evaluating the risk implications of credit strategy and the oversight of credit for both the existing portfolio and any new credit investments. They also have formal approval authority for various types and levels of credit decisions, including individual commercial loan transactions. Division Presidents within each segment are responsible for managing the credit risk within their divisions and maintaining processes to control credit risk and comply with credit policies and guidelines. In addition, the Chief Risk Officer establishes policies, delegates approval authority and monitors performance for non-loan credit exposure entered into with financial counterparties or through the purchase of credit sensitive securities in our investment portfolio.</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credit policies establish standards in five areas: customer selection, underwriting, monitoring, remediation and portfolio management. The standards in each area provide a framework comprising specific objectives and control processes. These standards are supported by detailed policies and procedures for each component of the credit process. Starting with customer selection, our goal is to generally provide credit on terms that generate above hurdle returns. We use a number of quantitative and qualitative factors to manage credit risk, including setting credit risk limits and guidelines for each of our lines of business. We monitor performance relative to these guidelines and report results and any required mitigating actions to appropriate senior management committees and our Board of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 Risk Management</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manage liquidity risk by applying our Liquidity Adequacy Framework (the “Liquidity Framework”). The Liquidity Framework uses internal and regulatory stress testing and the evaluation of other balance sheet metrics to confirm that we maintain a fortified balance sheet that is resilient to uncertainties that may arise as a consequence of systemic, idiosyncratic, or combined liquidity events. We continuously monitor market and economic conditions to evaluate emerging stress conditions and to develop appropriate action plans in accordance with our Contingency Funding Plan and our Recovery Plan, which include the Company’s policies, procedures and action plans for managing liquidity stress events. The Liquidity Framework enables us to manage our liquidity risk in accordance with regulatory requirements.</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Additionally, the Liquidity Framework establishes governing principles that apply to the management of liquidity risk. We use these principles to monitor, measure and report liquidity risk; to develop funding and investment strategies that enable us to maintain an adequate level of liquidity to support our businesses and satisfy regulatory requirements; and to protect us from a broad range of liquidity events should they arise.</w:t>
      </w:r>
    </w:p>
    <w:p>
      <w:pPr>
        <w:spacing w:after="0" w:line="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Chief Risk Officer, in conjunction with the Chief Market and Liquidity Risk Officer, is responsible for the establishment of liquidity risk management policies and standards for governance and monitoring of liquidity risk at a corporate level. We assess liquidity strength by evaluating several different balance sheet metrics under severe stress scenarios to ensure we can withstand significant funding degradation through idiosyncratic, systemic and combined liquidity stress scenarios. Management reports liquidity metrics to appropriate senior management committees and to our Board of Directors no less than quarterly.</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seek to mitigate liquidity risk strategically and tactically. From a strategic perspective, we have acquired and built deposit gathering businesses and actively monitor our funding concentration. From a tactical perspective, we have accumulated a sizable liquidity reserve comprised of cash and cash equivalents, high-quality, unencumbered securities and committed</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79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collateralized credit lines. We also continue to maintain access to secured and unsecured debt markets through regular issuance. This combination of stable and diversified funding sources and our stockpile of liquidity reserves enable us to maintain confidence in our liquidity position.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Market Risk Management</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Chief Financial Officer and the Chief Risk Officer are responsible for the establishment of market risk management policies and standards for the governance and monitoring of market risk at a corporate level. Market risk is inherent from the financial instruments associated with our business operations and activities including loans, deposits, securities, short-term borrowings, long-term debt and derivatives. We manage market risk exposure, which is principally driven by balance sheet interest rate risk, centrally and establish quantitative risk limits to monitor and control our exposure.</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recognize that interest rate and foreign exchange risk is present in our business due to the nature of our assets and liabilities. In addition to using industry accepted techniques to analyze and measure interest rate and foreign exchange risk, we perform sensitivity analysis to identify our risk exposures under a broad range of scenarios. Investment securities and derivatives are the main levers for the management of interest rate risk. In addition, we also use derivatives to manage our foreign exchange risk.</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market risk positions for the Company and the Bank are calculated separately and in aggregate, and analyzed against pre-established limits. Results are reported to the Asset Liability Committee monthly and to the Risk Committee of the Board of Directors no less than quarterly. Management is authorized to utilize financial instruments as outlined in our policy to actively manage market risk exposure.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Operational Risk Management</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recognize the criticality of managing operational risk on both a strategic and day-to-day basis and that there are heightened expectations from our regulators and our customers. We have implemented appropriate operational risk management policies, standards, processes and controls to enable the delivery of high quality and consistent customer experiences and to achieve business objectives in a controlled manner.</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Chief Operational Risk Officer is responsible for establishing and overseeing our Operational Risk Management Program. The program establishes practices for assessing the operational risk profile and executing key control processes for operational risks. These risks include topics such as internal and external fraud, cyber and technology risk, data management, model risk, third party management, and business continuity. Operational Risk Management enforces these practices and delivers reporting of operational risk results to senior business leaders, the executive committee and the Board of Directors.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Reputation Risk Management</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recognize that reputation risk is of particular concern for financial institutions and, increasingly, technology companies, in the current environment. Areas of concern have expanded to include company policies, practices and values and, with the growing use of social and digital platforms, public corporations face a new level of scrutiny and channels for activism and advocacy. The heightened expectations of internal and external stakeholders have made corporate culture, values and conduct pressure points for individuals and advocates voicing concerns or seeking change. We manage both strategic and tactical reputation issues and build our relationships with government officials, media, community and consumer advocates, customers and other constituencies to help strengthen the reputations of both our Company and industry. Our actions include implementing pro-customer practices in our business and serving low to moderate income communities in our market area consistent with a quality bank and an innovative technology leader. The Executive Vice President of External Affairs is responsible for managing our overall reputation risk program. Day-to-day activities are controlled by the frameworks set forth in our Reputation Risk Management Policy and other risk management policies.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Strategic Risk Management</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monitor external market and industry developments to identify potential areas of strategic opportunity or risk. These inform the Company’s strategy, which is led by the Chief Executive Officer and other senior executives. The Chief Risk Officer identifies and assesses risks associated with the Company’s strategy across all risk categories and monitors these risks throughout the year.</w:t>
      </w:r>
    </w:p>
    <w:p>
      <w:pPr>
        <w:spacing w:after="0" w:line="200" w:lineRule="exact"/>
        <w:rPr>
          <w:sz w:val="20"/>
          <w:szCs w:val="20"/>
          <w:color w:val="auto"/>
        </w:rPr>
      </w:pPr>
    </w:p>
    <w:p>
      <w:pPr>
        <w:spacing w:after="0" w:line="3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80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Strategic Risk Management Policy, processes and controls encompass an ongoing assessment of risks associated with corporate or line of business specific strategies. These risks are managed through periodic reviews, along with regular updates to senior management and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717804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loan portfolio accounts for the substantial majority of our credit risk exposure. Our lending activities are governed under our credit policy and are subject to independent review and approval. Below we provide information about the composition of our loan portfolio, key concentrations and credit performance metrics.</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also engage in certain non-lending activities that may give rise to ongoing credit and counterparty settlement risk, including purchasing securities for our investment securities portfolio, entering into derivative transactions to manage our market risk exposure and to accommodate customers, extending short-term advances on syndication activity including bridge financing transactions we have underwritten, depositing certain operational cash balances in other financial institutions, executing certain foreign exchange transactions and extending customer overdrafts. We provide additional information related to our investment securities portfolio under “Consolidated Balance Sheets Analysis—Investment Securities” and “Part II—Item 8. Financial Statements and Supplementary Data—Note 2—Investment Securities” as well as credit risk related to derivative transactions in “Part II—Item 8. Financial Statements and Supplementary Data—Note 9—Derivative Instruments and Hedging Activities.”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Primary Loan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provide a variety of lending products. Our primary loan products include credit cards, auto loans and commercial lending products.</w:t>
      </w:r>
    </w:p>
    <w:p>
      <w:pPr>
        <w:spacing w:after="0" w:line="112" w:lineRule="exact"/>
        <w:rPr>
          <w:sz w:val="20"/>
          <w:szCs w:val="20"/>
          <w:color w:val="auto"/>
        </w:rPr>
      </w:pPr>
    </w:p>
    <w:p>
      <w:pPr>
        <w:jc w:val="both"/>
        <w:ind w:left="320" w:hanging="220"/>
        <w:spacing w:after="0" w:line="261" w:lineRule="auto"/>
        <w:tabs>
          <w:tab w:leader="none" w:pos="317"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Credit cards: </w:t>
      </w:r>
      <w:r>
        <w:rPr>
          <w:rFonts w:ascii="Times New Roman" w:cs="Times New Roman" w:eastAsia="Times New Roman" w:hAnsi="Times New Roman"/>
          <w:sz w:val="12"/>
          <w:szCs w:val="12"/>
          <w:color w:val="auto"/>
        </w:rPr>
        <w:t>We originate both prime and subprime credit cards through a variety of channels. Our credit cards generally have variable interest rates. Credit card accounts are primarily underwritten using an automated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underwriting system based on predictive models that we have developed. The underwriting criteria, which are customized for individual products and marketing programs, are established based on an analysis of the net present value of expected revenues, expenses and losses, subject to further analysis using a variety of stress conditions. Underwriting decisions are generally based on credit bureau information, including payment history, debt burden and credit scores, such as FICO scores, and on other factors, such as applicant income. We maintain a credit card securitization program and selectively sell charged-off credit card loans.</w:t>
      </w:r>
    </w:p>
    <w:p>
      <w:pPr>
        <w:spacing w:after="0" w:line="83" w:lineRule="exact"/>
        <w:rPr>
          <w:rFonts w:ascii="Times New Roman" w:cs="Times New Roman" w:eastAsia="Times New Roman" w:hAnsi="Times New Roman"/>
          <w:sz w:val="12"/>
          <w:szCs w:val="12"/>
          <w:color w:val="auto"/>
        </w:rPr>
      </w:pPr>
    </w:p>
    <w:p>
      <w:pPr>
        <w:jc w:val="both"/>
        <w:ind w:left="320" w:hanging="220"/>
        <w:spacing w:after="0" w:line="261" w:lineRule="auto"/>
        <w:tabs>
          <w:tab w:leader="none" w:pos="317"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Auto: </w:t>
      </w:r>
      <w:r>
        <w:rPr>
          <w:rFonts w:ascii="Times New Roman" w:cs="Times New Roman" w:eastAsia="Times New Roman" w:hAnsi="Times New Roman"/>
          <w:sz w:val="12"/>
          <w:szCs w:val="12"/>
          <w:color w:val="auto"/>
        </w:rPr>
        <w:t>We originate both prime and subprime auto loans through a network of auto dealers and direct marketing. Our auto loans generally have fixed interest rates and loan terms of 75 months or less, but can go up to 84 months.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Loan size limits are customized by program and are generally less than $75,000. Similar to credit card accounts, the underwriting criteria are customized for individual products and marketing programs and based on analysis of net present value of expected revenues, expenses and losses, and are subject to maintaining resilience under a variety of stress conditions. Underwriting decisions are generally based on an applicant’s income, estimated net disposable income, and credit bureau information including FICO scores, along with collateral characteristics such as loan-to-value (“LTV”) ratio. We maintain an auto securitization program.</w:t>
      </w:r>
    </w:p>
    <w:p>
      <w:pPr>
        <w:spacing w:after="0" w:line="83" w:lineRule="exact"/>
        <w:rPr>
          <w:rFonts w:ascii="Times New Roman" w:cs="Times New Roman" w:eastAsia="Times New Roman" w:hAnsi="Times New Roman"/>
          <w:sz w:val="12"/>
          <w:szCs w:val="12"/>
          <w:color w:val="auto"/>
        </w:rPr>
      </w:pPr>
    </w:p>
    <w:p>
      <w:pPr>
        <w:jc w:val="both"/>
        <w:ind w:left="320" w:hanging="220"/>
        <w:spacing w:after="0" w:line="257" w:lineRule="auto"/>
        <w:tabs>
          <w:tab w:leader="none" w:pos="317" w:val="left"/>
        </w:tabs>
        <w:numPr>
          <w:ilvl w:val="0"/>
          <w:numId w:val="5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Commercial: </w:t>
      </w:r>
      <w:r>
        <w:rPr>
          <w:rFonts w:ascii="Times New Roman" w:cs="Times New Roman" w:eastAsia="Times New Roman" w:hAnsi="Times New Roman"/>
          <w:sz w:val="12"/>
          <w:szCs w:val="12"/>
          <w:color w:val="auto"/>
        </w:rPr>
        <w:t>We offer a range of commercial lending products, including loans secured by commercial real estate and loans to middle market commercial and industrial companies. Our commercial loans may have a fixed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variable interest rate; however, the majority of our commercial loans have variable rates. Our underwriting standards require an analysis of the borrower’s financial condition and prospects, as well as an assessment of the industry in which the borrower operates. Where relevant, we evaluate and appraise underlying collateral and guarantees. We maintain underwriting guidelines and limits for major types of borrowers and loan products that specify, where applicable, guidelines for debt service coverage, leverage, LTV ratio and standard covenants and conditions. We assign a risk rating and establish a monitoring schedule for loans based on the risk profile of the borrower, industry segment, source of repayment, the underlying collateral and guarantees, if any, and current market conditions. Although we generally retain the commercial loans we underwrite, we may syndicate positions for risk mitigation purposes, including bridge financing transactions we have underwritten. In addition, we originate and service multifamily commercial real estate loans which are sold to government-sponsored enterprises.</w:t>
      </w:r>
    </w:p>
    <w:p>
      <w:pPr>
        <w:spacing w:after="0" w:line="200" w:lineRule="exact"/>
        <w:rPr>
          <w:sz w:val="20"/>
          <w:szCs w:val="20"/>
          <w:color w:val="auto"/>
        </w:rPr>
      </w:pPr>
    </w:p>
    <w:p>
      <w:pPr>
        <w:spacing w:after="0" w:line="343"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81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82" w:name="page83"/>
    <w:bookmarkEnd w:id="8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Portfolio and Geographic Composition of Loans Held for Investment</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Our loan portfolio consists of loans held for investment, including loans held in our consolidated trusts, and loans held for sale. The information presented in this section excludes loans held for sale, which totaled $203 million and $5.9 billion as of December 31, 2022 and 2021, respectively.</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15 presents the composition of our portfolio of loans held for investment by portfolio segment as of December 31, 2022 and 2021.</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15: Portfolio Composition of Loans Held for Investment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607"/>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42"/>
        </w:trPr>
        <w:tc>
          <w:tcPr>
            <w:tcW w:w="59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5"/>
          </w:tcPr>
          <w:p>
            <w:pPr>
              <w:jc w:val="right"/>
              <w:ind w:right="686"/>
              <w:spacing w:after="0"/>
              <w:rPr>
                <w:sz w:val="20"/>
                <w:szCs w:val="20"/>
                <w:color w:val="auto"/>
              </w:rPr>
            </w:pPr>
            <w:r>
              <w:rPr>
                <w:rFonts w:ascii="Times New Roman" w:cs="Times New Roman" w:eastAsia="Times New Roman" w:hAnsi="Times New Roman"/>
                <w:sz w:val="12"/>
                <w:szCs w:val="12"/>
                <w:b w:val="1"/>
                <w:bCs w:val="1"/>
                <w:color w:val="auto"/>
              </w:rPr>
              <w:t>Loans</w:t>
            </w:r>
          </w:p>
        </w:tc>
        <w:tc>
          <w:tcPr>
            <w:tcW w:w="860" w:type="dxa"/>
            <w:vAlign w:val="bottom"/>
            <w:gridSpan w:val="3"/>
          </w:tcPr>
          <w:p>
            <w:pPr>
              <w:jc w:val="right"/>
              <w:ind w:right="247"/>
              <w:spacing w:after="0"/>
              <w:rPr>
                <w:sz w:val="20"/>
                <w:szCs w:val="20"/>
                <w:color w:val="auto"/>
              </w:rPr>
            </w:pPr>
            <w:r>
              <w:rPr>
                <w:rFonts w:ascii="Times New Roman" w:cs="Times New Roman" w:eastAsia="Times New Roman" w:hAnsi="Times New Roman"/>
                <w:sz w:val="12"/>
                <w:szCs w:val="12"/>
                <w:b w:val="1"/>
                <w:bCs w:val="1"/>
                <w:color w:val="auto"/>
                <w:w w:val="97"/>
              </w:rPr>
              <w:t>% of 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120" w:type="dxa"/>
            <w:vAlign w:val="bottom"/>
          </w:tcPr>
          <w:p>
            <w:pPr>
              <w:spacing w:after="0"/>
              <w:rPr>
                <w:sz w:val="12"/>
                <w:szCs w:val="12"/>
                <w:color w:val="auto"/>
              </w:rPr>
            </w:pPr>
          </w:p>
        </w:tc>
        <w:tc>
          <w:tcPr>
            <w:tcW w:w="880" w:type="dxa"/>
            <w:vAlign w:val="bottom"/>
          </w:tcPr>
          <w:p>
            <w:pPr>
              <w:jc w:val="right"/>
              <w:ind w:right="246"/>
              <w:spacing w:after="0"/>
              <w:rPr>
                <w:sz w:val="20"/>
                <w:szCs w:val="20"/>
                <w:color w:val="auto"/>
              </w:rPr>
            </w:pPr>
            <w:r>
              <w:rPr>
                <w:rFonts w:ascii="Times New Roman" w:cs="Times New Roman" w:eastAsia="Times New Roman" w:hAnsi="Times New Roman"/>
                <w:sz w:val="12"/>
                <w:szCs w:val="12"/>
                <w:b w:val="1"/>
                <w:bCs w:val="1"/>
                <w:color w:val="auto"/>
              </w:rPr>
              <w:t>% of Total</w:t>
            </w:r>
          </w:p>
        </w:tc>
        <w:tc>
          <w:tcPr>
            <w:tcW w:w="0" w:type="dxa"/>
            <w:vAlign w:val="bottom"/>
          </w:tcPr>
          <w:p>
            <w:pPr>
              <w:spacing w:after="0"/>
              <w:rPr>
                <w:sz w:val="1"/>
                <w:szCs w:val="1"/>
                <w:color w:val="auto"/>
              </w:rPr>
            </w:pPr>
          </w:p>
        </w:tc>
      </w:tr>
      <w:tr>
        <w:trPr>
          <w:trHeight w:val="142"/>
        </w:trPr>
        <w:tc>
          <w:tcPr>
            <w:tcW w:w="5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Credit Card:</w:t>
            </w:r>
          </w:p>
        </w:tc>
        <w:tc>
          <w:tcPr>
            <w:tcW w:w="1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Domestic credit card</w:t>
            </w:r>
          </w:p>
        </w:tc>
        <w:tc>
          <w:tcPr>
            <w:tcW w:w="180" w:type="dxa"/>
            <w:vAlign w:val="bottom"/>
          </w:tcPr>
          <w:p>
            <w:pPr>
              <w:spacing w:after="0"/>
              <w:rPr>
                <w:sz w:val="13"/>
                <w:szCs w:val="13"/>
                <w:color w:val="auto"/>
              </w:rPr>
            </w:pPr>
          </w:p>
        </w:tc>
        <w:tc>
          <w:tcPr>
            <w:tcW w:w="820" w:type="dxa"/>
            <w:vAlign w:val="bottom"/>
            <w:gridSpan w:val="3"/>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131,581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42.1 %</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108,723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39.2 %</w:t>
            </w:r>
          </w:p>
        </w:tc>
        <w:tc>
          <w:tcPr>
            <w:tcW w:w="0" w:type="dxa"/>
            <w:vAlign w:val="bottom"/>
          </w:tcPr>
          <w:p>
            <w:pPr>
              <w:spacing w:after="0"/>
              <w:rPr>
                <w:sz w:val="1"/>
                <w:szCs w:val="1"/>
                <w:color w:val="auto"/>
              </w:rPr>
            </w:pPr>
          </w:p>
        </w:tc>
      </w:tr>
      <w:tr>
        <w:trPr>
          <w:trHeight w:val="15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International card businesses</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6,149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2.0</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6,049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3"/>
        </w:trPr>
        <w:tc>
          <w:tcPr>
            <w:tcW w:w="598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credit card</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137,730</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44.1</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114,772</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41.4</w:t>
            </w:r>
          </w:p>
        </w:tc>
        <w:tc>
          <w:tcPr>
            <w:tcW w:w="0" w:type="dxa"/>
            <w:vAlign w:val="bottom"/>
          </w:tcPr>
          <w:p>
            <w:pPr>
              <w:spacing w:after="0"/>
              <w:rPr>
                <w:sz w:val="1"/>
                <w:szCs w:val="1"/>
                <w:color w:val="auto"/>
              </w:rPr>
            </w:pPr>
          </w:p>
        </w:tc>
      </w:tr>
      <w:tr>
        <w:trPr>
          <w:trHeight w:val="133"/>
        </w:trPr>
        <w:tc>
          <w:tcPr>
            <w:tcW w:w="59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Consumer Banking:</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Auto</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78,373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75,779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27.3</w:t>
            </w:r>
          </w:p>
        </w:tc>
        <w:tc>
          <w:tcPr>
            <w:tcW w:w="0" w:type="dxa"/>
            <w:vAlign w:val="bottom"/>
          </w:tcPr>
          <w:p>
            <w:pPr>
              <w:spacing w:after="0"/>
              <w:rPr>
                <w:sz w:val="1"/>
                <w:szCs w:val="1"/>
                <w:color w:val="auto"/>
              </w:rPr>
            </w:pPr>
          </w:p>
        </w:tc>
      </w:tr>
      <w:tr>
        <w:trPr>
          <w:trHeight w:val="15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Retail banking</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1,552</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1,867</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0.7</w:t>
            </w:r>
          </w:p>
        </w:tc>
        <w:tc>
          <w:tcPr>
            <w:tcW w:w="0" w:type="dxa"/>
            <w:vAlign w:val="bottom"/>
          </w:tcPr>
          <w:p>
            <w:pPr>
              <w:spacing w:after="0"/>
              <w:rPr>
                <w:sz w:val="1"/>
                <w:szCs w:val="1"/>
                <w:color w:val="auto"/>
              </w:rPr>
            </w:pPr>
          </w:p>
        </w:tc>
      </w:tr>
      <w:tr>
        <w:trPr>
          <w:trHeight w:val="133"/>
        </w:trPr>
        <w:tc>
          <w:tcPr>
            <w:tcW w:w="598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consumer banking</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79,925</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25.6</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77,646</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28.0</w:t>
            </w:r>
          </w:p>
        </w:tc>
        <w:tc>
          <w:tcPr>
            <w:tcW w:w="0" w:type="dxa"/>
            <w:vAlign w:val="bottom"/>
          </w:tcPr>
          <w:p>
            <w:pPr>
              <w:spacing w:after="0"/>
              <w:rPr>
                <w:sz w:val="1"/>
                <w:szCs w:val="1"/>
                <w:color w:val="auto"/>
              </w:rPr>
            </w:pPr>
          </w:p>
        </w:tc>
      </w:tr>
      <w:tr>
        <w:trPr>
          <w:trHeight w:val="133"/>
        </w:trPr>
        <w:tc>
          <w:tcPr>
            <w:tcW w:w="59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Commercial Banking:</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Commercial and multifamily real estate</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37,453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35,262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12.7</w:t>
            </w:r>
          </w:p>
        </w:tc>
        <w:tc>
          <w:tcPr>
            <w:tcW w:w="0" w:type="dxa"/>
            <w:vAlign w:val="bottom"/>
          </w:tcPr>
          <w:p>
            <w:pPr>
              <w:spacing w:after="0"/>
              <w:rPr>
                <w:sz w:val="1"/>
                <w:szCs w:val="1"/>
                <w:color w:val="auto"/>
              </w:rPr>
            </w:pPr>
          </w:p>
        </w:tc>
      </w:tr>
      <w:tr>
        <w:trPr>
          <w:trHeight w:val="153"/>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57,223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18.3</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49,660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33"/>
        </w:trPr>
        <w:tc>
          <w:tcPr>
            <w:tcW w:w="598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commercial banking</w:t>
            </w: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94,676</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30.3</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84,922</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30.6</w:t>
            </w:r>
          </w:p>
        </w:tc>
        <w:tc>
          <w:tcPr>
            <w:tcW w:w="0" w:type="dxa"/>
            <w:vAlign w:val="bottom"/>
          </w:tcPr>
          <w:p>
            <w:pPr>
              <w:spacing w:after="0"/>
              <w:rPr>
                <w:sz w:val="1"/>
                <w:szCs w:val="1"/>
                <w:color w:val="auto"/>
              </w:rPr>
            </w:pPr>
          </w:p>
        </w:tc>
      </w:tr>
      <w:tr>
        <w:trPr>
          <w:trHeight w:val="153"/>
        </w:trPr>
        <w:tc>
          <w:tcPr>
            <w:tcW w:w="598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loans held for investment</w:t>
            </w:r>
          </w:p>
        </w:tc>
        <w:tc>
          <w:tcPr>
            <w:tcW w:w="1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312,331</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277,340</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311"/>
        </w:trPr>
        <w:tc>
          <w:tcPr>
            <w:tcW w:w="5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Table 16 presents the maturities of our loans held for investment portfolio as of December 31, 2022.</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16: Loan Maturity Schedule</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December 31, 2022</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7"/>
                <w:szCs w:val="7"/>
                <w:color w:val="auto"/>
              </w:rPr>
            </w:pPr>
          </w:p>
        </w:tc>
        <w:tc>
          <w:tcPr>
            <w:tcW w:w="820" w:type="dxa"/>
            <w:vAlign w:val="bottom"/>
            <w:gridSpan w:val="3"/>
          </w:tcPr>
          <w:p>
            <w:pPr>
              <w:jc w:val="right"/>
              <w:ind w:right="246"/>
              <w:spacing w:after="0" w:line="89" w:lineRule="exact"/>
              <w:rPr>
                <w:sz w:val="20"/>
                <w:szCs w:val="20"/>
                <w:color w:val="auto"/>
              </w:rPr>
            </w:pPr>
            <w:r>
              <w:rPr>
                <w:rFonts w:ascii="Times New Roman" w:cs="Times New Roman" w:eastAsia="Times New Roman" w:hAnsi="Times New Roman"/>
                <w:sz w:val="10"/>
                <w:szCs w:val="10"/>
                <w:b w:val="1"/>
                <w:bCs w:val="1"/>
                <w:color w:val="auto"/>
              </w:rPr>
              <w:t>Due Up to</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3"/>
          </w:tcPr>
          <w:p>
            <w:pPr>
              <w:jc w:val="right"/>
              <w:ind w:right="266"/>
              <w:spacing w:after="0" w:line="89" w:lineRule="exact"/>
              <w:rPr>
                <w:sz w:val="20"/>
                <w:szCs w:val="20"/>
                <w:color w:val="auto"/>
              </w:rPr>
            </w:pPr>
            <w:r>
              <w:rPr>
                <w:rFonts w:ascii="Times New Roman" w:cs="Times New Roman" w:eastAsia="Times New Roman" w:hAnsi="Times New Roman"/>
                <w:sz w:val="10"/>
                <w:szCs w:val="10"/>
                <w:b w:val="1"/>
                <w:bCs w:val="1"/>
                <w:color w:val="auto"/>
              </w:rPr>
              <w:t>&gt; 1 Year</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&gt; 5 Years to 15 Years</w:t>
            </w:r>
          </w:p>
        </w:tc>
        <w:tc>
          <w:tcPr>
            <w:tcW w:w="120" w:type="dxa"/>
            <w:vAlign w:val="bottom"/>
          </w:tcPr>
          <w:p>
            <w:pPr>
              <w:spacing w:after="0"/>
              <w:rPr>
                <w:sz w:val="7"/>
                <w:szCs w:val="7"/>
                <w:color w:val="auto"/>
              </w:rPr>
            </w:pPr>
          </w:p>
        </w:tc>
        <w:tc>
          <w:tcPr>
            <w:tcW w:w="9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&gt; 15 Years</w:t>
            </w:r>
          </w:p>
        </w:tc>
        <w:tc>
          <w:tcPr>
            <w:tcW w:w="120" w:type="dxa"/>
            <w:vAlign w:val="bottom"/>
          </w:tcPr>
          <w:p>
            <w:pPr>
              <w:spacing w:after="0"/>
              <w:rPr>
                <w:sz w:val="7"/>
                <w:szCs w:val="7"/>
                <w:color w:val="auto"/>
              </w:rPr>
            </w:pPr>
          </w:p>
        </w:tc>
        <w:tc>
          <w:tcPr>
            <w:tcW w:w="880" w:type="dxa"/>
            <w:vAlign w:val="bottom"/>
            <w:vMerge w:val="restart"/>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9"/>
        </w:trPr>
        <w:tc>
          <w:tcPr>
            <w:tcW w:w="59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to 5 Years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Fixed rate:</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Credit card</w:t>
            </w:r>
            <w:r>
              <w:rPr>
                <w:rFonts w:ascii="Times New Roman" w:cs="Times New Roman" w:eastAsia="Times New Roman" w:hAnsi="Times New Roman"/>
                <w:sz w:val="14"/>
                <w:szCs w:val="14"/>
                <w:color w:val="auto"/>
                <w:vertAlign w:val="superscript"/>
              </w:rPr>
              <w:t>(1)</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4,260</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10,268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14,528</w:t>
            </w:r>
          </w:p>
        </w:tc>
        <w:tc>
          <w:tcPr>
            <w:tcW w:w="0" w:type="dxa"/>
            <w:vAlign w:val="bottom"/>
          </w:tcPr>
          <w:p>
            <w:pPr>
              <w:spacing w:after="0"/>
              <w:rPr>
                <w:sz w:val="1"/>
                <w:szCs w:val="1"/>
                <w:color w:val="auto"/>
              </w:rPr>
            </w:pPr>
          </w:p>
        </w:tc>
      </w:tr>
      <w:tr>
        <w:trPr>
          <w:trHeight w:val="144"/>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Consumer banking</w:t>
            </w: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985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46,160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32,185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79,506</w:t>
            </w:r>
          </w:p>
        </w:tc>
        <w:tc>
          <w:tcPr>
            <w:tcW w:w="0" w:type="dxa"/>
            <w:vAlign w:val="bottom"/>
          </w:tcPr>
          <w:p>
            <w:pPr>
              <w:spacing w:after="0"/>
              <w:rPr>
                <w:sz w:val="1"/>
                <w:szCs w:val="1"/>
                <w:color w:val="auto"/>
              </w:rPr>
            </w:pPr>
          </w:p>
        </w:tc>
      </w:tr>
      <w:tr>
        <w:trPr>
          <w:trHeight w:val="143"/>
        </w:trPr>
        <w:tc>
          <w:tcPr>
            <w:tcW w:w="5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Commercial banking</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1,020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2,953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6,074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3,303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13,350</w:t>
            </w:r>
          </w:p>
        </w:tc>
        <w:tc>
          <w:tcPr>
            <w:tcW w:w="0" w:type="dxa"/>
            <w:vAlign w:val="bottom"/>
          </w:tcPr>
          <w:p>
            <w:pPr>
              <w:spacing w:after="0"/>
              <w:rPr>
                <w:sz w:val="1"/>
                <w:szCs w:val="1"/>
                <w:color w:val="auto"/>
              </w:rPr>
            </w:pPr>
          </w:p>
        </w:tc>
      </w:tr>
      <w:tr>
        <w:trPr>
          <w:trHeight w:val="134"/>
        </w:trPr>
        <w:tc>
          <w:tcPr>
            <w:tcW w:w="598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fixed-rate loans</w:t>
            </w: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6,265</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59,381</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38,259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3,479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107,384</w:t>
            </w:r>
          </w:p>
        </w:tc>
        <w:tc>
          <w:tcPr>
            <w:tcW w:w="0" w:type="dxa"/>
            <w:vAlign w:val="bottom"/>
          </w:tcPr>
          <w:p>
            <w:pPr>
              <w:spacing w:after="0"/>
              <w:rPr>
                <w:sz w:val="1"/>
                <w:szCs w:val="1"/>
                <w:color w:val="auto"/>
              </w:rPr>
            </w:pPr>
          </w:p>
        </w:tc>
      </w:tr>
      <w:tr>
        <w:trPr>
          <w:trHeight w:val="123"/>
        </w:trPr>
        <w:tc>
          <w:tcPr>
            <w:tcW w:w="598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Variable rate:</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9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1"/>
                <w:szCs w:val="11"/>
                <w:color w:val="auto"/>
              </w:rPr>
              <w:t>Credit card</w:t>
            </w:r>
            <w:r>
              <w:rPr>
                <w:rFonts w:ascii="Times New Roman" w:cs="Times New Roman" w:eastAsia="Times New Roman" w:hAnsi="Times New Roman"/>
                <w:sz w:val="14"/>
                <w:szCs w:val="14"/>
                <w:color w:val="auto"/>
                <w:vertAlign w:val="superscript"/>
              </w:rPr>
              <w:t>(1)</w:t>
            </w: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123,202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123,202</w:t>
            </w:r>
          </w:p>
        </w:tc>
        <w:tc>
          <w:tcPr>
            <w:tcW w:w="0" w:type="dxa"/>
            <w:vAlign w:val="bottom"/>
          </w:tcPr>
          <w:p>
            <w:pPr>
              <w:spacing w:after="0"/>
              <w:rPr>
                <w:sz w:val="1"/>
                <w:szCs w:val="1"/>
                <w:color w:val="auto"/>
              </w:rPr>
            </w:pPr>
          </w:p>
        </w:tc>
      </w:tr>
      <w:tr>
        <w:trPr>
          <w:trHeight w:val="1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Consumer banking</w:t>
            </w:r>
          </w:p>
        </w:tc>
        <w:tc>
          <w:tcPr>
            <w:tcW w:w="18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411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419</w:t>
            </w:r>
          </w:p>
        </w:tc>
        <w:tc>
          <w:tcPr>
            <w:tcW w:w="0" w:type="dxa"/>
            <w:vAlign w:val="bottom"/>
          </w:tcPr>
          <w:p>
            <w:pPr>
              <w:spacing w:after="0"/>
              <w:rPr>
                <w:sz w:val="1"/>
                <w:szCs w:val="1"/>
                <w:color w:val="auto"/>
              </w:rPr>
            </w:pPr>
          </w:p>
        </w:tc>
      </w:tr>
      <w:tr>
        <w:trPr>
          <w:trHeight w:val="145"/>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banking</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16,250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54,288</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10,701</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81,326</w:t>
            </w:r>
          </w:p>
        </w:tc>
        <w:tc>
          <w:tcPr>
            <w:tcW w:w="0" w:type="dxa"/>
            <w:vAlign w:val="bottom"/>
          </w:tcPr>
          <w:p>
            <w:pPr>
              <w:spacing w:after="0"/>
              <w:rPr>
                <w:sz w:val="1"/>
                <w:szCs w:val="1"/>
                <w:color w:val="auto"/>
              </w:rPr>
            </w:pPr>
          </w:p>
        </w:tc>
      </w:tr>
      <w:tr>
        <w:trPr>
          <w:trHeight w:val="132"/>
        </w:trPr>
        <w:tc>
          <w:tcPr>
            <w:tcW w:w="598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variable-rate loans</w:t>
            </w: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139,863</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54,294</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10,703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204,947</w:t>
            </w:r>
          </w:p>
        </w:tc>
        <w:tc>
          <w:tcPr>
            <w:tcW w:w="0" w:type="dxa"/>
            <w:vAlign w:val="bottom"/>
          </w:tcPr>
          <w:p>
            <w:pPr>
              <w:spacing w:after="0"/>
              <w:rPr>
                <w:sz w:val="1"/>
                <w:szCs w:val="1"/>
                <w:color w:val="auto"/>
              </w:rPr>
            </w:pPr>
          </w:p>
        </w:tc>
      </w:tr>
      <w:tr>
        <w:trPr>
          <w:trHeight w:val="150"/>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loans</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146,128</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113,675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48,962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3,566</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312,331</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28" w:lineRule="auto"/>
        <w:tabs>
          <w:tab w:leader="none" w:pos="200" w:val="left"/>
        </w:tabs>
        <w:numPr>
          <w:ilvl w:val="0"/>
          <w:numId w:val="5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Due to the revolving nature of credit card loans, we report the majority of our variable-rate credit card loans as due in one year or less. We report fixed-rate credit card loans with introductory rates that expire after a certain period of time as due in one year or less. We assume that the rest of our remaining fixed-rate credit card loans will mature within one to three years.</w:t>
      </w:r>
    </w:p>
    <w:p>
      <w:pPr>
        <w:spacing w:after="0" w:line="200" w:lineRule="exact"/>
        <w:rPr>
          <w:sz w:val="20"/>
          <w:szCs w:val="20"/>
          <w:color w:val="auto"/>
        </w:rPr>
      </w:pPr>
    </w:p>
    <w:p>
      <w:pPr>
        <w:spacing w:after="0" w:line="28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82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Geographic Composition</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market our credit card products throughout the United States, the United Kingdom and Canada. Our credit card loan portfolio is geographically diversified due to our product and marketing approach. The table below presents the geographic profile of our credit card loan portfolio as of December 31, 2022 and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17: Credit Card Portfolio by Geographic Region</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9"/>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4"/>
          </w:tcPr>
          <w:p>
            <w:pPr>
              <w:ind w:left="4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00" w:type="dxa"/>
            <w:vAlign w:val="bottom"/>
          </w:tcPr>
          <w:p>
            <w:pPr>
              <w:spacing w:after="0"/>
              <w:rPr>
                <w:sz w:val="19"/>
                <w:szCs w:val="19"/>
                <w:color w:val="auto"/>
              </w:rPr>
            </w:pPr>
          </w:p>
        </w:tc>
        <w:tc>
          <w:tcPr>
            <w:tcW w:w="202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6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 of Total</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 of Total</w:t>
            </w:r>
          </w:p>
        </w:tc>
      </w:tr>
      <w:tr>
        <w:trPr>
          <w:trHeight w:val="142"/>
        </w:trPr>
        <w:tc>
          <w:tcPr>
            <w:tcW w:w="6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Domestic credit card:</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53"/>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California</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13,707</w:t>
            </w:r>
          </w:p>
        </w:tc>
        <w:tc>
          <w:tcPr>
            <w:tcW w:w="10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11,096</w:t>
            </w:r>
          </w:p>
        </w:tc>
        <w:tc>
          <w:tcPr>
            <w:tcW w:w="80" w:type="dxa"/>
            <w:vAlign w:val="bottom"/>
          </w:tcPr>
          <w:p>
            <w:pPr>
              <w:spacing w:after="0"/>
              <w:rPr>
                <w:sz w:val="13"/>
                <w:szCs w:val="13"/>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r>
      <w:tr>
        <w:trPr>
          <w:trHeight w:val="153"/>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Texas</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11,202</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9,100</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7.9</w:t>
            </w:r>
          </w:p>
        </w:tc>
      </w:tr>
      <w:tr>
        <w:trPr>
          <w:trHeight w:val="153"/>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Florida</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9,549</w:t>
            </w:r>
          </w:p>
        </w:tc>
        <w:tc>
          <w:tcPr>
            <w:tcW w:w="10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7,738</w:t>
            </w:r>
          </w:p>
        </w:tc>
        <w:tc>
          <w:tcPr>
            <w:tcW w:w="80" w:type="dxa"/>
            <w:vAlign w:val="bottom"/>
          </w:tcPr>
          <w:p>
            <w:pPr>
              <w:spacing w:after="0"/>
              <w:rPr>
                <w:sz w:val="13"/>
                <w:szCs w:val="13"/>
                <w:color w:val="auto"/>
              </w:rPr>
            </w:pPr>
          </w:p>
        </w:tc>
        <w:tc>
          <w:tcPr>
            <w:tcW w:w="10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6.7</w:t>
            </w:r>
          </w:p>
        </w:tc>
      </w:tr>
      <w:tr>
        <w:trPr>
          <w:trHeight w:val="153"/>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New York</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8,366</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6,972</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6.1</w:t>
            </w:r>
          </w:p>
        </w:tc>
      </w:tr>
      <w:tr>
        <w:trPr>
          <w:trHeight w:val="153"/>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Pennsylvania</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5,425</w:t>
            </w:r>
          </w:p>
        </w:tc>
        <w:tc>
          <w:tcPr>
            <w:tcW w:w="10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4,568</w:t>
            </w:r>
          </w:p>
        </w:tc>
        <w:tc>
          <w:tcPr>
            <w:tcW w:w="80" w:type="dxa"/>
            <w:vAlign w:val="bottom"/>
          </w:tcPr>
          <w:p>
            <w:pPr>
              <w:spacing w:after="0"/>
              <w:rPr>
                <w:sz w:val="13"/>
                <w:szCs w:val="13"/>
                <w:color w:val="auto"/>
              </w:rPr>
            </w:pPr>
          </w:p>
        </w:tc>
        <w:tc>
          <w:tcPr>
            <w:tcW w:w="10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4.0</w:t>
            </w:r>
          </w:p>
        </w:tc>
      </w:tr>
      <w:tr>
        <w:trPr>
          <w:trHeight w:val="153"/>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Illinois</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5,260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4,478</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w:t>
            </w:r>
          </w:p>
        </w:tc>
      </w:tr>
      <w:tr>
        <w:trPr>
          <w:trHeight w:val="153"/>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Ohio</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4,662</w:t>
            </w:r>
          </w:p>
        </w:tc>
        <w:tc>
          <w:tcPr>
            <w:tcW w:w="10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3,949</w:t>
            </w:r>
          </w:p>
        </w:tc>
        <w:tc>
          <w:tcPr>
            <w:tcW w:w="80" w:type="dxa"/>
            <w:vAlign w:val="bottom"/>
          </w:tcPr>
          <w:p>
            <w:pPr>
              <w:spacing w:after="0"/>
              <w:rPr>
                <w:sz w:val="13"/>
                <w:szCs w:val="13"/>
                <w:color w:val="auto"/>
              </w:rPr>
            </w:pPr>
          </w:p>
        </w:tc>
        <w:tc>
          <w:tcPr>
            <w:tcW w:w="10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w:t>
            </w:r>
          </w:p>
        </w:tc>
      </w:tr>
      <w:tr>
        <w:trPr>
          <w:trHeight w:val="153"/>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New Jersey</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4,243</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3,520</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w:t>
            </w:r>
          </w:p>
        </w:tc>
      </w:tr>
      <w:tr>
        <w:trPr>
          <w:trHeight w:val="153"/>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Georgia</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4,172</w:t>
            </w:r>
          </w:p>
        </w:tc>
        <w:tc>
          <w:tcPr>
            <w:tcW w:w="10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3,397</w:t>
            </w:r>
          </w:p>
        </w:tc>
        <w:tc>
          <w:tcPr>
            <w:tcW w:w="80" w:type="dxa"/>
            <w:vAlign w:val="bottom"/>
          </w:tcPr>
          <w:p>
            <w:pPr>
              <w:spacing w:after="0"/>
              <w:rPr>
                <w:sz w:val="13"/>
                <w:szCs w:val="13"/>
                <w:color w:val="auto"/>
              </w:rPr>
            </w:pPr>
          </w:p>
        </w:tc>
        <w:tc>
          <w:tcPr>
            <w:tcW w:w="10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w:t>
            </w:r>
          </w:p>
        </w:tc>
      </w:tr>
      <w:tr>
        <w:trPr>
          <w:trHeight w:val="153"/>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Michigan</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3,920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3,306</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6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61,075</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44.4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50,599</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44.0</w:t>
            </w:r>
          </w:p>
        </w:tc>
      </w:tr>
      <w:tr>
        <w:trPr>
          <w:trHeight w:val="142"/>
        </w:trPr>
        <w:tc>
          <w:tcPr>
            <w:tcW w:w="68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domestic credit card</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131,581</w:t>
            </w:r>
          </w:p>
        </w:tc>
        <w:tc>
          <w:tcPr>
            <w:tcW w:w="1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95.5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108,723</w:t>
            </w:r>
          </w:p>
        </w:tc>
        <w:tc>
          <w:tcPr>
            <w:tcW w:w="8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94.7</w:t>
            </w:r>
          </w:p>
        </w:tc>
      </w:tr>
      <w:tr>
        <w:trPr>
          <w:trHeight w:val="133"/>
        </w:trPr>
        <w:tc>
          <w:tcPr>
            <w:tcW w:w="68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International card businesses: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6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United Kingdom</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3,129</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3,034</w:t>
            </w: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2.7</w:t>
            </w:r>
          </w:p>
        </w:tc>
      </w:tr>
      <w:tr>
        <w:trPr>
          <w:trHeight w:val="153"/>
        </w:trPr>
        <w:tc>
          <w:tcPr>
            <w:tcW w:w="68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Canada</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3,020</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3,015</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2.6</w:t>
            </w:r>
          </w:p>
        </w:tc>
      </w:tr>
      <w:tr>
        <w:trPr>
          <w:trHeight w:val="142"/>
        </w:trPr>
        <w:tc>
          <w:tcPr>
            <w:tcW w:w="68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international card businesses</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6,149</w:t>
            </w:r>
          </w:p>
        </w:tc>
        <w:tc>
          <w:tcPr>
            <w:tcW w:w="10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6,049</w:t>
            </w:r>
          </w:p>
        </w:tc>
        <w:tc>
          <w:tcPr>
            <w:tcW w:w="8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5.3</w:t>
            </w:r>
          </w:p>
        </w:tc>
      </w:tr>
      <w:tr>
        <w:trPr>
          <w:trHeight w:val="142"/>
        </w:trPr>
        <w:tc>
          <w:tcPr>
            <w:tcW w:w="6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credit card</w:t>
            </w: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137,730</w:t>
            </w: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100.0%</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114,772</w:t>
            </w: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auto loan portfolio is geographically diversified in the United States due to our product and marketing approach. Retail banking includes small business loans and other consumer lending products originated through our branch and café network. The table below presents the geographic profile of our auto loan and retail banking portfolios as of December 31, 2022 and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Table 18: Consumer Banking Portfolio by Geographic Region</w:t>
            </w: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38"/>
        </w:trPr>
        <w:tc>
          <w:tcPr>
            <w:tcW w:w="4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080" w:type="dxa"/>
            <w:vAlign w:val="bottom"/>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42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6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of Total</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4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of Total</w:t>
            </w:r>
          </w:p>
        </w:tc>
      </w:tr>
      <w:tr>
        <w:trPr>
          <w:trHeight w:val="142"/>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Auto:</w:t>
            </w:r>
          </w:p>
        </w:tc>
        <w:tc>
          <w:tcPr>
            <w:tcW w:w="2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r>
      <w:tr>
        <w:trPr>
          <w:trHeight w:val="15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Texas</w:t>
            </w:r>
          </w:p>
        </w:tc>
        <w:tc>
          <w:tcPr>
            <w:tcW w:w="26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9,586</w:t>
            </w:r>
          </w:p>
        </w:tc>
        <w:tc>
          <w:tcPr>
            <w:tcW w:w="80" w:type="dxa"/>
            <w:vAlign w:val="bottom"/>
          </w:tcPr>
          <w:p>
            <w:pPr>
              <w:spacing w:after="0"/>
              <w:rPr>
                <w:sz w:val="13"/>
                <w:szCs w:val="13"/>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 xml:space="preserve">12.0 %  </w:t>
            </w:r>
            <w:r>
              <w:rPr>
                <w:rFonts w:ascii="Times New Roman" w:cs="Times New Roman" w:eastAsia="Times New Roman" w:hAnsi="Times New Roman"/>
                <w:sz w:val="12"/>
                <w:szCs w:val="12"/>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9,292</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12.0 %</w:t>
            </w:r>
          </w:p>
        </w:tc>
      </w:tr>
      <w:tr>
        <w:trPr>
          <w:trHeight w:val="15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California</w:t>
            </w:r>
          </w:p>
        </w:tc>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9,570</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9,127</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11.8</w:t>
            </w:r>
          </w:p>
        </w:tc>
      </w:tr>
      <w:tr>
        <w:trPr>
          <w:trHeight w:val="15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Florida</w:t>
            </w: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6,755</w:t>
            </w:r>
          </w:p>
        </w:tc>
        <w:tc>
          <w:tcPr>
            <w:tcW w:w="8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6,443</w:t>
            </w:r>
          </w:p>
        </w:tc>
        <w:tc>
          <w:tcPr>
            <w:tcW w:w="8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8.3</w:t>
            </w:r>
          </w:p>
        </w:tc>
      </w:tr>
      <w:tr>
        <w:trPr>
          <w:trHeight w:val="15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Pennsylvania</w:t>
            </w:r>
          </w:p>
        </w:tc>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3,303</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3,139</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4.0</w:t>
            </w:r>
          </w:p>
        </w:tc>
      </w:tr>
      <w:tr>
        <w:trPr>
          <w:trHeight w:val="15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Georgia</w:t>
            </w: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3,243</w:t>
            </w:r>
          </w:p>
        </w:tc>
        <w:tc>
          <w:tcPr>
            <w:tcW w:w="8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3,283</w:t>
            </w:r>
          </w:p>
        </w:tc>
        <w:tc>
          <w:tcPr>
            <w:tcW w:w="8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4.2</w:t>
            </w:r>
          </w:p>
        </w:tc>
      </w:tr>
      <w:tr>
        <w:trPr>
          <w:trHeight w:val="15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Ohio</w:t>
            </w:r>
          </w:p>
        </w:tc>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3,143</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3,053</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w:t>
            </w:r>
          </w:p>
        </w:tc>
      </w:tr>
      <w:tr>
        <w:trPr>
          <w:trHeight w:val="153"/>
        </w:trPr>
        <w:tc>
          <w:tcPr>
            <w:tcW w:w="4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Illinois</w:t>
            </w: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3,119</w:t>
            </w:r>
          </w:p>
        </w:tc>
        <w:tc>
          <w:tcPr>
            <w:tcW w:w="8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2,899</w:t>
            </w:r>
          </w:p>
        </w:tc>
        <w:tc>
          <w:tcPr>
            <w:tcW w:w="8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3.7</w:t>
            </w:r>
          </w:p>
        </w:tc>
      </w:tr>
      <w:tr>
        <w:trPr>
          <w:trHeight w:val="15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New Jersey</w:t>
            </w:r>
          </w:p>
        </w:tc>
        <w:tc>
          <w:tcPr>
            <w:tcW w:w="2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2,742</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2,356</w:t>
            </w: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w:t>
            </w:r>
          </w:p>
        </w:tc>
      </w:tr>
      <w:tr>
        <w:trPr>
          <w:trHeight w:val="153"/>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3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36,912</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46.2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36,187</w:t>
            </w:r>
          </w:p>
        </w:tc>
        <w:tc>
          <w:tcPr>
            <w:tcW w:w="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46.7</w:t>
            </w:r>
          </w:p>
        </w:tc>
      </w:tr>
      <w:tr>
        <w:trPr>
          <w:trHeight w:val="142"/>
        </w:trPr>
        <w:tc>
          <w:tcPr>
            <w:tcW w:w="4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auto</w:t>
            </w: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78,373</w:t>
            </w:r>
          </w:p>
        </w:tc>
        <w:tc>
          <w:tcPr>
            <w:tcW w:w="8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98.1</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75,779</w:t>
            </w:r>
          </w:p>
        </w:tc>
        <w:tc>
          <w:tcPr>
            <w:tcW w:w="8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97.6</w:t>
            </w:r>
          </w:p>
        </w:tc>
      </w:tr>
      <w:tr>
        <w:trPr>
          <w:trHeight w:val="683"/>
        </w:trPr>
        <w:tc>
          <w:tcPr>
            <w:tcW w:w="4200" w:type="dxa"/>
            <w:vAlign w:val="bottom"/>
          </w:tcPr>
          <w:p>
            <w:pPr>
              <w:spacing w:after="0"/>
              <w:rPr>
                <w:sz w:val="24"/>
                <w:szCs w:val="24"/>
                <w:color w:val="auto"/>
              </w:rPr>
            </w:pPr>
          </w:p>
        </w:tc>
        <w:tc>
          <w:tcPr>
            <w:tcW w:w="2360" w:type="dxa"/>
            <w:vAlign w:val="bottom"/>
          </w:tcPr>
          <w:p>
            <w:pPr>
              <w:jc w:val="right"/>
              <w:ind w:right="826"/>
              <w:spacing w:after="0"/>
              <w:rPr>
                <w:sz w:val="20"/>
                <w:szCs w:val="20"/>
                <w:color w:val="auto"/>
              </w:rPr>
            </w:pPr>
            <w:r>
              <w:rPr>
                <w:rFonts w:ascii="Times New Roman" w:cs="Times New Roman" w:eastAsia="Times New Roman" w:hAnsi="Times New Roman"/>
                <w:sz w:val="10"/>
                <w:szCs w:val="10"/>
                <w:color w:val="auto"/>
              </w:rPr>
              <w:t>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3"/>
          </w:tcPr>
          <w:p>
            <w:pPr>
              <w:ind w:left="46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60"/>
        </w:trPr>
        <w:tc>
          <w:tcPr>
            <w:tcW w:w="4200" w:type="dxa"/>
            <w:vAlign w:val="bottom"/>
            <w:tcBorders>
              <w:bottom w:val="single" w:sz="8" w:color="9A9A9A"/>
            </w:tcBorders>
          </w:tcPr>
          <w:p>
            <w:pPr>
              <w:spacing w:after="0"/>
              <w:rPr>
                <w:sz w:val="22"/>
                <w:szCs w:val="22"/>
                <w:color w:val="auto"/>
              </w:rPr>
            </w:pPr>
          </w:p>
        </w:tc>
        <w:tc>
          <w:tcPr>
            <w:tcW w:w="23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1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86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1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84" w:name="page85"/>
    <w:bookmarkEnd w:id="84"/>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080" w:type="dxa"/>
            <w:vAlign w:val="bottom"/>
            <w:gridSpan w:val="3"/>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6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of Total</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14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of Total</w:t>
            </w:r>
          </w:p>
        </w:tc>
      </w:tr>
      <w:tr>
        <w:trPr>
          <w:trHeight w:val="142"/>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Retail banking:</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r>
      <w:tr>
        <w:trPr>
          <w:trHeight w:val="15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New York</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477</w:t>
            </w:r>
          </w:p>
        </w:tc>
        <w:tc>
          <w:tcPr>
            <w:tcW w:w="8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w:t>
            </w:r>
          </w:p>
        </w:tc>
        <w:tc>
          <w:tcPr>
            <w:tcW w:w="10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0.8</w:t>
            </w:r>
          </w:p>
        </w:tc>
      </w:tr>
      <w:tr>
        <w:trPr>
          <w:trHeight w:val="153"/>
        </w:trPr>
        <w:tc>
          <w:tcPr>
            <w:tcW w:w="6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Texas</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333</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0.5</w:t>
            </w:r>
          </w:p>
        </w:tc>
      </w:tr>
      <w:tr>
        <w:trPr>
          <w:trHeight w:val="15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Louisiana</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283</w:t>
            </w:r>
          </w:p>
        </w:tc>
        <w:tc>
          <w:tcPr>
            <w:tcW w:w="8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10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6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New Jersey</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122</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Maryland</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97</w:t>
            </w:r>
          </w:p>
        </w:tc>
        <w:tc>
          <w:tcPr>
            <w:tcW w:w="8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6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Virginia</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r>
      <w:tr>
        <w:trPr>
          <w:trHeight w:val="153"/>
        </w:trPr>
        <w:tc>
          <w:tcPr>
            <w:tcW w:w="6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173</w:t>
            </w: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0.2</w:t>
            </w:r>
          </w:p>
        </w:tc>
      </w:tr>
      <w:tr>
        <w:trPr>
          <w:trHeight w:val="142"/>
        </w:trPr>
        <w:tc>
          <w:tcPr>
            <w:tcW w:w="66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retail banking</w:t>
            </w: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1,552</w:t>
            </w:r>
          </w:p>
        </w:tc>
        <w:tc>
          <w:tcPr>
            <w:tcW w:w="8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1.9</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1,867</w:t>
            </w:r>
          </w:p>
        </w:tc>
        <w:tc>
          <w:tcPr>
            <w:tcW w:w="10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w:t>
            </w:r>
          </w:p>
        </w:tc>
      </w:tr>
      <w:tr>
        <w:trPr>
          <w:trHeight w:val="142"/>
        </w:trPr>
        <w:tc>
          <w:tcPr>
            <w:tcW w:w="6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consumer banking</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79,925</w:t>
            </w:r>
          </w:p>
        </w:tc>
        <w:tc>
          <w:tcPr>
            <w:tcW w:w="80" w:type="dxa"/>
            <w:vAlign w:val="bottom"/>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100.0 %</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77,646</w:t>
            </w:r>
          </w:p>
        </w:tc>
        <w:tc>
          <w:tcPr>
            <w:tcW w:w="100" w:type="dxa"/>
            <w:vAlign w:val="bottom"/>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100.0 %</w:t>
            </w: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originate commercial and multifamily real estate loans in most regions of the United States. The table below presents the geographic profile of our commercial real estate portfolio as of December 31, 2022 and 2021.</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19: Commercial Real Estate Portfolio by Region</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74"/>
        </w:trPr>
        <w:tc>
          <w:tcPr>
            <w:tcW w:w="6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300" w:type="dxa"/>
            <w:vAlign w:val="bottom"/>
            <w:gridSpan w:val="4"/>
          </w:tcPr>
          <w:p>
            <w:pPr>
              <w:ind w:left="5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00" w:type="dxa"/>
            <w:vAlign w:val="bottom"/>
          </w:tcPr>
          <w:p>
            <w:pPr>
              <w:spacing w:after="0"/>
              <w:rPr>
                <w:sz w:val="23"/>
                <w:szCs w:val="23"/>
                <w:color w:val="auto"/>
              </w:rPr>
            </w:pPr>
          </w:p>
        </w:tc>
        <w:tc>
          <w:tcPr>
            <w:tcW w:w="2180" w:type="dxa"/>
            <w:vAlign w:val="bottom"/>
            <w:gridSpan w:val="3"/>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642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2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of Total</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of Total</w:t>
            </w:r>
          </w:p>
        </w:tc>
      </w:tr>
      <w:tr>
        <w:trPr>
          <w:trHeight w:val="142"/>
        </w:trPr>
        <w:tc>
          <w:tcPr>
            <w:tcW w:w="63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Geographic concentration:</w:t>
            </w:r>
            <w:r>
              <w:rPr>
                <w:rFonts w:ascii="Times New Roman" w:cs="Times New Roman" w:eastAsia="Times New Roman" w:hAnsi="Times New Roman"/>
                <w:sz w:val="15"/>
                <w:szCs w:val="15"/>
                <w:b w:val="1"/>
                <w:bCs w:val="1"/>
                <w:color w:val="auto"/>
                <w:vertAlign w:val="superscript"/>
              </w:rPr>
              <w:t>(1)</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r>
      <w:tr>
        <w:trPr>
          <w:trHeight w:val="153"/>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Northeast</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15,055</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40.2 %</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16,025</w:t>
            </w: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45.4 %</w:t>
            </w:r>
          </w:p>
        </w:tc>
      </w:tr>
      <w:tr>
        <w:trPr>
          <w:trHeight w:val="153"/>
        </w:trPr>
        <w:tc>
          <w:tcPr>
            <w:tcW w:w="6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South</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8,706</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23.2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6,210</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17.6</w:t>
            </w:r>
          </w:p>
        </w:tc>
      </w:tr>
      <w:tr>
        <w:trPr>
          <w:trHeight w:val="153"/>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Pacific West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5,902</w:t>
            </w:r>
          </w:p>
        </w:tc>
        <w:tc>
          <w:tcPr>
            <w:tcW w:w="10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15.7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5,556</w:t>
            </w:r>
          </w:p>
        </w:tc>
        <w:tc>
          <w:tcPr>
            <w:tcW w:w="8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15.8</w:t>
            </w:r>
          </w:p>
        </w:tc>
      </w:tr>
      <w:tr>
        <w:trPr>
          <w:trHeight w:val="153"/>
        </w:trPr>
        <w:tc>
          <w:tcPr>
            <w:tcW w:w="6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Mid-Atlantic</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3,129</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3,105</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8.8</w:t>
            </w:r>
          </w:p>
        </w:tc>
      </w:tr>
      <w:tr>
        <w:trPr>
          <w:trHeight w:val="153"/>
        </w:trPr>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Midwest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2,394</w:t>
            </w:r>
          </w:p>
        </w:tc>
        <w:tc>
          <w:tcPr>
            <w:tcW w:w="10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2,863</w:t>
            </w:r>
          </w:p>
        </w:tc>
        <w:tc>
          <w:tcPr>
            <w:tcW w:w="80" w:type="dxa"/>
            <w:vAlign w:val="bottom"/>
          </w:tcPr>
          <w:p>
            <w:pPr>
              <w:spacing w:after="0"/>
              <w:rPr>
                <w:sz w:val="13"/>
                <w:szCs w:val="13"/>
                <w:color w:val="auto"/>
              </w:rPr>
            </w:pP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8.1</w:t>
            </w:r>
          </w:p>
        </w:tc>
      </w:tr>
      <w:tr>
        <w:trPr>
          <w:trHeight w:val="153"/>
        </w:trPr>
        <w:tc>
          <w:tcPr>
            <w:tcW w:w="6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Mountain</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2,267</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6.1</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1,503</w:t>
            </w:r>
          </w:p>
        </w:tc>
        <w:tc>
          <w:tcPr>
            <w:tcW w:w="80" w:type="dxa"/>
            <w:vAlign w:val="bottom"/>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w:t>
            </w:r>
          </w:p>
        </w:tc>
      </w:tr>
      <w:tr>
        <w:trPr>
          <w:trHeight w:val="142"/>
        </w:trPr>
        <w:tc>
          <w:tcPr>
            <w:tcW w:w="6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37,453</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100.0 %</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35,262</w:t>
            </w:r>
          </w:p>
        </w:tc>
        <w:tc>
          <w:tcPr>
            <w:tcW w:w="80" w:type="dxa"/>
            <w:vAlign w:val="bottom"/>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100.0 %</w:t>
            </w: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right="20" w:hanging="208"/>
        <w:spacing w:after="0" w:line="228" w:lineRule="auto"/>
        <w:tabs>
          <w:tab w:leader="none" w:pos="200" w:val="left"/>
        </w:tabs>
        <w:numPr>
          <w:ilvl w:val="0"/>
          <w:numId w:val="5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Geographic concentration is generally determined by the location of the borrower’s business or the location of the collateral associated with the loan. Northeast consists of CT, MA, ME, NH, NJ, NY, PA, RI and VT. South consists of AL, AR, FL, GA, KY, LA, MS, NC, OK, SC, TN and TX. Pacific West consists of: AK, CA, HI, OR and WA. Mid-Atlantic consists of DC, DE, MD, VA and WV. Midwest consists of: IA, IL, IN, KS, MI, MN, MO, ND, NE, OH, SD and WI. Mountain consists of: AZ, CO, ID, MT, NM, NV, UT and WY.</w:t>
      </w:r>
    </w:p>
    <w:p>
      <w:pPr>
        <w:spacing w:after="0" w:line="200" w:lineRule="exact"/>
        <w:rPr>
          <w:sz w:val="20"/>
          <w:szCs w:val="20"/>
          <w:color w:val="auto"/>
        </w:rPr>
      </w:pPr>
    </w:p>
    <w:p>
      <w:pPr>
        <w:spacing w:after="0" w:line="28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84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Commercial Loans by Industry</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Table 20 summarizes our commercial loans held for investment portfolio by industry classification as of December 31, 2022 and 2021. Industry classifications below are based on our interpretation of the North American Industry Classification System codes as they pertain to each individual loan.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20: Commercial Loans by Industry</w:t>
            </w: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79"/>
        </w:trPr>
        <w:tc>
          <w:tcPr>
            <w:tcW w:w="70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(Percentage of portfolio)</w:t>
            </w:r>
          </w:p>
        </w:tc>
        <w:tc>
          <w:tcPr>
            <w:tcW w:w="2160" w:type="dxa"/>
            <w:vAlign w:val="bottom"/>
            <w:gridSpan w:val="2"/>
          </w:tcPr>
          <w:p>
            <w:pPr>
              <w:ind w:left="56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06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7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Industry Classification:</w:t>
            </w:r>
          </w:p>
        </w:tc>
        <w:tc>
          <w:tcPr>
            <w:tcW w:w="6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r>
      <w:tr>
        <w:trPr>
          <w:trHeight w:val="153"/>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Real estate</w:t>
            </w:r>
          </w:p>
        </w:tc>
        <w:tc>
          <w:tcPr>
            <w:tcW w:w="20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31 %</w:t>
            </w:r>
          </w:p>
        </w:tc>
        <w:tc>
          <w:tcPr>
            <w:tcW w:w="80" w:type="dxa"/>
            <w:vAlign w:val="bottom"/>
          </w:tcPr>
          <w:p>
            <w:pPr>
              <w:spacing w:after="0"/>
              <w:rPr>
                <w:sz w:val="13"/>
                <w:szCs w:val="1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35 %</w:t>
            </w:r>
          </w:p>
        </w:tc>
      </w:tr>
      <w:tr>
        <w:trPr>
          <w:trHeight w:val="15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Finance</w:t>
            </w:r>
          </w:p>
        </w:tc>
        <w:tc>
          <w:tcPr>
            <w:tcW w:w="2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29</w:t>
            </w: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r>
      <w:tr>
        <w:trPr>
          <w:trHeight w:val="153"/>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Healthcare</w:t>
            </w:r>
          </w:p>
        </w:tc>
        <w:tc>
          <w:tcPr>
            <w:tcW w:w="208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w:t>
            </w:r>
          </w:p>
        </w:tc>
        <w:tc>
          <w:tcPr>
            <w:tcW w:w="80" w:type="dxa"/>
            <w:vAlign w:val="bottom"/>
          </w:tcPr>
          <w:p>
            <w:pPr>
              <w:spacing w:after="0"/>
              <w:rPr>
                <w:sz w:val="13"/>
                <w:szCs w:val="13"/>
                <w:color w:val="auto"/>
              </w:rPr>
            </w:pPr>
          </w:p>
        </w:tc>
        <w:tc>
          <w:tcPr>
            <w:tcW w:w="2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w:t>
            </w:r>
          </w:p>
        </w:tc>
      </w:tr>
      <w:tr>
        <w:trPr>
          <w:trHeight w:val="15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Business services</w:t>
            </w:r>
          </w:p>
        </w:tc>
        <w:tc>
          <w:tcPr>
            <w:tcW w:w="2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w:t>
            </w: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r>
      <w:tr>
        <w:trPr>
          <w:trHeight w:val="153"/>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Educational services</w:t>
            </w:r>
          </w:p>
        </w:tc>
        <w:tc>
          <w:tcPr>
            <w:tcW w:w="208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w:t>
            </w:r>
          </w:p>
        </w:tc>
        <w:tc>
          <w:tcPr>
            <w:tcW w:w="80" w:type="dxa"/>
            <w:vAlign w:val="bottom"/>
          </w:tcPr>
          <w:p>
            <w:pPr>
              <w:spacing w:after="0"/>
              <w:rPr>
                <w:sz w:val="13"/>
                <w:szCs w:val="13"/>
                <w:color w:val="auto"/>
              </w:rPr>
            </w:pPr>
          </w:p>
        </w:tc>
        <w:tc>
          <w:tcPr>
            <w:tcW w:w="2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w:t>
            </w:r>
          </w:p>
        </w:tc>
      </w:tr>
      <w:tr>
        <w:trPr>
          <w:trHeight w:val="15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Public administration</w:t>
            </w:r>
          </w:p>
        </w:tc>
        <w:tc>
          <w:tcPr>
            <w:tcW w:w="2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w:t>
            </w: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w:t>
            </w:r>
          </w:p>
        </w:tc>
      </w:tr>
      <w:tr>
        <w:trPr>
          <w:trHeight w:val="153"/>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Construction and land</w:t>
            </w:r>
          </w:p>
        </w:tc>
        <w:tc>
          <w:tcPr>
            <w:tcW w:w="208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w:t>
            </w:r>
          </w:p>
        </w:tc>
        <w:tc>
          <w:tcPr>
            <w:tcW w:w="80" w:type="dxa"/>
            <w:vAlign w:val="bottom"/>
          </w:tcPr>
          <w:p>
            <w:pPr>
              <w:spacing w:after="0"/>
              <w:rPr>
                <w:sz w:val="13"/>
                <w:szCs w:val="13"/>
                <w:color w:val="auto"/>
              </w:rPr>
            </w:pPr>
          </w:p>
        </w:tc>
        <w:tc>
          <w:tcPr>
            <w:tcW w:w="2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r>
      <w:tr>
        <w:trPr>
          <w:trHeight w:val="15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Retail trade</w:t>
            </w:r>
          </w:p>
        </w:tc>
        <w:tc>
          <w:tcPr>
            <w:tcW w:w="2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w:t>
            </w: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r>
      <w:tr>
        <w:trPr>
          <w:trHeight w:val="153"/>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Oil and gas</w:t>
            </w:r>
          </w:p>
        </w:tc>
        <w:tc>
          <w:tcPr>
            <w:tcW w:w="208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w:t>
            </w:r>
          </w:p>
        </w:tc>
        <w:tc>
          <w:tcPr>
            <w:tcW w:w="80" w:type="dxa"/>
            <w:vAlign w:val="bottom"/>
          </w:tcPr>
          <w:p>
            <w:pPr>
              <w:spacing w:after="0"/>
              <w:rPr>
                <w:sz w:val="13"/>
                <w:szCs w:val="13"/>
                <w:color w:val="auto"/>
              </w:rPr>
            </w:pPr>
          </w:p>
        </w:tc>
        <w:tc>
          <w:tcPr>
            <w:tcW w:w="20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w:t>
            </w:r>
          </w:p>
        </w:tc>
        <w:tc>
          <w:tcPr>
            <w:tcW w:w="80" w:type="dxa"/>
            <w:vAlign w:val="bottom"/>
            <w:shd w:val="clear" w:color="auto" w:fill="CCEEFF"/>
          </w:tcPr>
          <w:p>
            <w:pPr>
              <w:spacing w:after="0"/>
              <w:rPr>
                <w:sz w:val="13"/>
                <w:szCs w:val="13"/>
                <w:color w:val="auto"/>
              </w:rPr>
            </w:pPr>
          </w:p>
        </w:tc>
        <w:tc>
          <w:tcPr>
            <w:tcW w:w="20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w:t>
            </w:r>
          </w:p>
        </w:tc>
      </w:tr>
      <w:tr>
        <w:trPr>
          <w:trHeight w:val="142"/>
        </w:trPr>
        <w:tc>
          <w:tcPr>
            <w:tcW w:w="7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100 %</w:t>
            </w:r>
          </w:p>
        </w:tc>
        <w:tc>
          <w:tcPr>
            <w:tcW w:w="80" w:type="dxa"/>
            <w:vAlign w:val="bottom"/>
          </w:tcPr>
          <w:p>
            <w:pPr>
              <w:spacing w:after="0"/>
              <w:rPr>
                <w:sz w:val="12"/>
                <w:szCs w:val="12"/>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100 %</w:t>
            </w:r>
          </w:p>
        </w:tc>
      </w:tr>
      <w:tr>
        <w:trPr>
          <w:trHeight w:val="20"/>
        </w:trPr>
        <w:tc>
          <w:tcPr>
            <w:tcW w:w="7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Risk Measurement</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closely monitor economic conditions and loan performance trends to assess and manage our exposure to credit risk. Trends in delinquency rates are the key credit quality indicator for our credit card and retail banking loan portfolios as changes in delinquency rates can provide an early warning of changes in potential future credit losses. The key indicator we monitor when assessing the credit quality and risk of our auto loan portfolio is borrower credit scores as they provide insight into borrower risk profiles, which give indications of potential future credit losses. The key credit quality indicator for our commercial loan portfolios is our internal risk ratings as we generally classify loans that have been delinquent for an extended period of time and other loans with significant risk of loss as nonperforming. In addition to these credit quality indicators, we also manage and monitor other credit quality metrics such as level of nonperforming loans and net charge-off rates.</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underwrite most consumer loans using proprietary models, which typically include credit bureau data, such as borrower credit scores, application information and, where applicable, collateral and deal structure data. We continuously adjust our management of credit lines and collection strategies based on customer behavior and risk profile changes. We also use borrower credit scores for subprime classification, for competitive benchmarking and, in some cases, to drive product segmentation decisions.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Table 21 provides details on the credit scores of our domestic credit card and auto loan portfolios as of December 31, 2022 and 2021.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21: Credit Score Distribution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(Percentage of portfolio)</w:t>
            </w:r>
          </w:p>
        </w:tc>
        <w:tc>
          <w:tcPr>
            <w:tcW w:w="2260" w:type="dxa"/>
            <w:vAlign w:val="bottom"/>
            <w:gridSpan w:val="2"/>
          </w:tcPr>
          <w:p>
            <w:pPr>
              <w:ind w:left="6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980" w:type="dxa"/>
            <w:vAlign w:val="bottom"/>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6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Domestic credit card—Refreshed FICO scores:</w:t>
            </w:r>
            <w:r>
              <w:rPr>
                <w:rFonts w:ascii="Times New Roman" w:cs="Times New Roman" w:eastAsia="Times New Roman" w:hAnsi="Times New Roman"/>
                <w:sz w:val="15"/>
                <w:szCs w:val="15"/>
                <w:b w:val="1"/>
                <w:bCs w:val="1"/>
                <w:color w:val="auto"/>
                <w:vertAlign w:val="superscript"/>
              </w:rPr>
              <w:t>(1)</w:t>
            </w:r>
          </w:p>
        </w:tc>
        <w:tc>
          <w:tcPr>
            <w:tcW w:w="8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auto"/>
            </w:tcBorders>
            <w:shd w:val="clear" w:color="auto" w:fill="CCEEFF"/>
          </w:tcPr>
          <w:p>
            <w:pPr>
              <w:spacing w:after="0"/>
              <w:rPr>
                <w:sz w:val="12"/>
                <w:szCs w:val="12"/>
                <w:color w:val="auto"/>
              </w:rPr>
            </w:pPr>
          </w:p>
        </w:tc>
      </w:tr>
      <w:tr>
        <w:trPr>
          <w:trHeight w:val="15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Greater than 660</w:t>
            </w:r>
          </w:p>
        </w:tc>
        <w:tc>
          <w:tcPr>
            <w:tcW w:w="2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69 %</w:t>
            </w:r>
          </w:p>
        </w:tc>
        <w:tc>
          <w:tcPr>
            <w:tcW w:w="8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71 %</w:t>
            </w:r>
          </w:p>
        </w:tc>
      </w:tr>
      <w:tr>
        <w:trPr>
          <w:trHeight w:val="153"/>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660 or below</w:t>
            </w:r>
          </w:p>
        </w:tc>
        <w:tc>
          <w:tcPr>
            <w:tcW w:w="21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31</w:t>
            </w:r>
          </w:p>
        </w:tc>
        <w:tc>
          <w:tcPr>
            <w:tcW w:w="80" w:type="dxa"/>
            <w:vAlign w:val="bottom"/>
            <w:shd w:val="clear" w:color="auto" w:fill="CCEEFF"/>
          </w:tcPr>
          <w:p>
            <w:pPr>
              <w:spacing w:after="0"/>
              <w:rPr>
                <w:sz w:val="13"/>
                <w:szCs w:val="13"/>
                <w:color w:val="auto"/>
              </w:rPr>
            </w:pPr>
          </w:p>
        </w:tc>
        <w:tc>
          <w:tcPr>
            <w:tcW w:w="19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29</w:t>
            </w:r>
          </w:p>
        </w:tc>
      </w:tr>
      <w:tr>
        <w:trPr>
          <w:trHeight w:val="142"/>
        </w:trPr>
        <w:tc>
          <w:tcPr>
            <w:tcW w:w="70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100 %</w:t>
            </w:r>
          </w:p>
        </w:tc>
        <w:tc>
          <w:tcPr>
            <w:tcW w:w="80" w:type="dxa"/>
            <w:vAlign w:val="bottom"/>
          </w:tcPr>
          <w:p>
            <w:pPr>
              <w:spacing w:after="0"/>
              <w:rPr>
                <w:sz w:val="12"/>
                <w:szCs w:val="1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100 %</w:t>
            </w:r>
          </w:p>
        </w:tc>
      </w:tr>
      <w:tr>
        <w:trPr>
          <w:trHeight w:val="728"/>
        </w:trPr>
        <w:tc>
          <w:tcPr>
            <w:tcW w:w="6980" w:type="dxa"/>
            <w:vAlign w:val="bottom"/>
          </w:tcPr>
          <w:p>
            <w:pPr>
              <w:ind w:left="5580"/>
              <w:spacing w:after="0"/>
              <w:rPr>
                <w:sz w:val="20"/>
                <w:szCs w:val="20"/>
                <w:color w:val="auto"/>
              </w:rPr>
            </w:pPr>
            <w:r>
              <w:rPr>
                <w:rFonts w:ascii="Times New Roman" w:cs="Times New Roman" w:eastAsia="Times New Roman" w:hAnsi="Times New Roman"/>
                <w:sz w:val="10"/>
                <w:szCs w:val="10"/>
                <w:color w:val="auto"/>
              </w:rPr>
              <w:t>85</w:t>
            </w: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r>
      <w:tr>
        <w:trPr>
          <w:trHeight w:val="260"/>
        </w:trPr>
        <w:tc>
          <w:tcPr>
            <w:tcW w:w="69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1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9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86" w:name="page87"/>
    <w:bookmarkEnd w:id="86"/>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0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(Percentage of portfolio)</w:t>
            </w:r>
          </w:p>
        </w:tc>
        <w:tc>
          <w:tcPr>
            <w:tcW w:w="2260" w:type="dxa"/>
            <w:vAlign w:val="bottom"/>
            <w:gridSpan w:val="2"/>
          </w:tcPr>
          <w:p>
            <w:pPr>
              <w:ind w:left="6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9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6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Auto</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At origination FICO scores:</w:t>
            </w:r>
            <w:r>
              <w:rPr>
                <w:rFonts w:ascii="Times New Roman" w:cs="Times New Roman" w:eastAsia="Times New Roman" w:hAnsi="Times New Roman"/>
                <w:sz w:val="15"/>
                <w:szCs w:val="15"/>
                <w:b w:val="1"/>
                <w:bCs w:val="1"/>
                <w:color w:val="auto"/>
                <w:vertAlign w:val="superscript"/>
              </w:rPr>
              <w:t>(2)</w:t>
            </w:r>
          </w:p>
        </w:tc>
        <w:tc>
          <w:tcPr>
            <w:tcW w:w="8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auto"/>
            </w:tcBorders>
            <w:shd w:val="clear" w:color="auto" w:fill="CCEEFF"/>
          </w:tcPr>
          <w:p>
            <w:pPr>
              <w:spacing w:after="0"/>
              <w:rPr>
                <w:sz w:val="12"/>
                <w:szCs w:val="12"/>
                <w:color w:val="auto"/>
              </w:rPr>
            </w:pPr>
          </w:p>
        </w:tc>
      </w:tr>
      <w:tr>
        <w:trPr>
          <w:trHeight w:val="15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Greater than 660</w:t>
            </w:r>
          </w:p>
        </w:tc>
        <w:tc>
          <w:tcPr>
            <w:tcW w:w="2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53 %</w:t>
            </w:r>
          </w:p>
        </w:tc>
        <w:tc>
          <w:tcPr>
            <w:tcW w:w="8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50 %</w:t>
            </w:r>
          </w:p>
        </w:tc>
      </w:tr>
      <w:tr>
        <w:trPr>
          <w:trHeight w:val="15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621 - 660</w:t>
            </w:r>
          </w:p>
        </w:tc>
        <w:tc>
          <w:tcPr>
            <w:tcW w:w="80" w:type="dxa"/>
            <w:vAlign w:val="bottom"/>
            <w:shd w:val="clear" w:color="auto" w:fill="CCEEFF"/>
          </w:tcPr>
          <w:p>
            <w:pPr>
              <w:spacing w:after="0"/>
              <w:rPr>
                <w:sz w:val="13"/>
                <w:szCs w:val="13"/>
                <w:color w:val="auto"/>
              </w:rPr>
            </w:pPr>
          </w:p>
        </w:tc>
        <w:tc>
          <w:tcPr>
            <w:tcW w:w="2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w:t>
            </w:r>
          </w:p>
        </w:tc>
        <w:tc>
          <w:tcPr>
            <w:tcW w:w="80" w:type="dxa"/>
            <w:vAlign w:val="bottom"/>
            <w:shd w:val="clear" w:color="auto" w:fill="CCEEFF"/>
          </w:tcPr>
          <w:p>
            <w:pPr>
              <w:spacing w:after="0"/>
              <w:rPr>
                <w:sz w:val="13"/>
                <w:szCs w:val="13"/>
                <w:color w:val="auto"/>
              </w:rPr>
            </w:pPr>
          </w:p>
        </w:tc>
        <w:tc>
          <w:tcPr>
            <w:tcW w:w="1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2"/>
                <w:szCs w:val="12"/>
                <w:color w:val="auto"/>
              </w:rPr>
              <w:t>620 or below</w:t>
            </w:r>
          </w:p>
        </w:tc>
        <w:tc>
          <w:tcPr>
            <w:tcW w:w="2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27</w:t>
            </w:r>
          </w:p>
        </w:tc>
        <w:tc>
          <w:tcPr>
            <w:tcW w:w="80" w:type="dxa"/>
            <w:vAlign w:val="bottom"/>
            <w:tcBorders>
              <w:bottom w:val="single" w:sz="8" w:color="CCEEFF"/>
            </w:tcBorders>
          </w:tcPr>
          <w:p>
            <w:pPr>
              <w:spacing w:after="0"/>
              <w:rPr>
                <w:sz w:val="13"/>
                <w:szCs w:val="13"/>
                <w:color w:val="auto"/>
              </w:rPr>
            </w:pPr>
          </w:p>
        </w:tc>
        <w:tc>
          <w:tcPr>
            <w:tcW w:w="1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30</w:t>
            </w:r>
          </w:p>
        </w:tc>
      </w:tr>
      <w:tr>
        <w:trPr>
          <w:trHeight w:val="158"/>
        </w:trPr>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100 %</w:t>
            </w:r>
          </w:p>
        </w:tc>
        <w:tc>
          <w:tcPr>
            <w:tcW w:w="8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100 %</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110" w:lineRule="exact"/>
        <w:rPr>
          <w:sz w:val="20"/>
          <w:szCs w:val="20"/>
          <w:color w:val="auto"/>
        </w:rPr>
      </w:pPr>
    </w:p>
    <w:p>
      <w:pPr>
        <w:ind w:left="208" w:right="20" w:hanging="208"/>
        <w:spacing w:after="0" w:line="219" w:lineRule="auto"/>
        <w:tabs>
          <w:tab w:leader="none" w:pos="200" w:val="left"/>
        </w:tabs>
        <w:numPr>
          <w:ilvl w:val="0"/>
          <w:numId w:val="5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Percentages represent period-end loans held for investment in each credit score category. Domestic Card credit scores generally represent FICO scores. These scores are obtained from one of the major credit bureaus at origination and are refreshed monthly thereafter. We approximate non-FICO credit scores to comparable FICO scores for consistency purposes. Balances for which no credit score is available or the credit score is invalid are included in the 660 or below category.</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61" w:lineRule="auto"/>
        <w:tabs>
          <w:tab w:leader="none" w:pos="200" w:val="left"/>
        </w:tabs>
        <w:numPr>
          <w:ilvl w:val="0"/>
          <w:numId w:val="55"/>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Percentages represent period-end loans held for investment in each credit score category. Auto credit scores generally represent average FICO scores obtained from three credit bureaus at the time of application and are not refreshed thereafter. Balances for which no credit score is available or the credit score is invalid are included in the 620 or below category.</w:t>
      </w:r>
    </w:p>
    <w:p>
      <w:pPr>
        <w:spacing w:after="0" w:line="95"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We present information in the section below on the credit performance of our loan portfolio, including the key metrics we use in tracking changes in the credit quality of our loan portfolio. See “Part II—Item 8. Financial Statements and Supplementary Data—Note 3—Loans” for additional credit quality information and see “Part II—Item 8. Financial Statements and Supplementary Data—Note 1—Summary of Significant Accounting Policies” for information on our accounting policies for delinquent and nonperforming loans, charge-offs and troubled debt restructurings (“TDRs”) for each of our loan categories.</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Delinquency Rates</w:t>
      </w:r>
    </w:p>
    <w:p>
      <w:pPr>
        <w:spacing w:after="0" w:line="118"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We consider the entire balance of an account to be delinquent if the minimum required payment is not received by the customer’s due date, measured at each balance sheet date. Our 30+ day delinquency metrics include all loans held for investment that are 30 or more days past due, whereas our 30+ day performing delinquency metrics include all loans held for investment that are 30 or more days past due but are currently classified as performing and accruing interest. The 30+ day delinquency and 30+ day performing delinquency metrics are the same for domestic credit card loans, as we continue to classify these loans as performing until the account is charged off, typically when the account is 180 days past due. See “Part II—Item 8. Financial Statements and Supplementary Data—Note 1—Summary of Significant Accounting Policies” for information on our policies for classifying loans as nonperforming for each of our loan categories. We provide additional information on our credit quality metrics in “Business Segment Financial Performance.”</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22 presents our 30+ day performing delinquency rates and 30+ day delinquency rates of our portfolio of loans held for investment, by portfolio segment, as of December 31, 2022 and 2021.</w:t>
      </w:r>
    </w:p>
    <w:p>
      <w:pPr>
        <w:spacing w:after="0" w:line="200" w:lineRule="exact"/>
        <w:rPr>
          <w:sz w:val="20"/>
          <w:szCs w:val="20"/>
          <w:color w:val="auto"/>
        </w:rPr>
      </w:pPr>
    </w:p>
    <w:p>
      <w:pPr>
        <w:spacing w:after="0" w:line="36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86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87" w:name="page88"/>
    <w:bookmarkEnd w:id="87"/>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9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Table 22: 30+ Day Delinquencies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30+ Day Performing Delinquencies</w:t>
            </w:r>
          </w:p>
        </w:tc>
        <w:tc>
          <w:tcPr>
            <w:tcW w:w="180" w:type="dxa"/>
            <w:vAlign w:val="bottom"/>
          </w:tcPr>
          <w:p>
            <w:pPr>
              <w:spacing w:after="0"/>
              <w:rPr>
                <w:sz w:val="12"/>
                <w:szCs w:val="12"/>
                <w:color w:val="auto"/>
              </w:rPr>
            </w:pPr>
          </w:p>
        </w:tc>
        <w:tc>
          <w:tcPr>
            <w:tcW w:w="1840" w:type="dxa"/>
            <w:vAlign w:val="bottom"/>
            <w:gridSpan w:val="5"/>
          </w:tcPr>
          <w:p>
            <w:pPr>
              <w:jc w:val="right"/>
              <w:ind w:right="383"/>
              <w:spacing w:after="0"/>
              <w:rPr>
                <w:sz w:val="20"/>
                <w:szCs w:val="20"/>
                <w:color w:val="auto"/>
              </w:rPr>
            </w:pPr>
            <w:r>
              <w:rPr>
                <w:rFonts w:ascii="Times New Roman" w:cs="Times New Roman" w:eastAsia="Times New Roman" w:hAnsi="Times New Roman"/>
                <w:sz w:val="12"/>
                <w:szCs w:val="12"/>
                <w:b w:val="1"/>
                <w:bCs w:val="1"/>
                <w:color w:val="auto"/>
              </w:rPr>
              <w:t>30+ Day Delinquencies</w:t>
            </w:r>
          </w:p>
        </w:tc>
        <w:tc>
          <w:tcPr>
            <w:tcW w:w="80" w:type="dxa"/>
            <w:vAlign w:val="bottom"/>
          </w:tcPr>
          <w:p>
            <w:pPr>
              <w:spacing w:after="0"/>
              <w:rPr>
                <w:sz w:val="12"/>
                <w:szCs w:val="12"/>
                <w:color w:val="auto"/>
              </w:rPr>
            </w:pPr>
          </w:p>
        </w:tc>
        <w:tc>
          <w:tcPr>
            <w:tcW w:w="2000" w:type="dxa"/>
            <w:vAlign w:val="bottom"/>
            <w:gridSpan w:val="8"/>
          </w:tcPr>
          <w:p>
            <w:pPr>
              <w:jc w:val="center"/>
              <w:spacing w:after="0"/>
              <w:rPr>
                <w:sz w:val="20"/>
                <w:szCs w:val="20"/>
                <w:color w:val="auto"/>
              </w:rPr>
            </w:pPr>
            <w:r>
              <w:rPr>
                <w:rFonts w:ascii="Times New Roman" w:cs="Times New Roman" w:eastAsia="Times New Roman" w:hAnsi="Times New Roman"/>
                <w:sz w:val="12"/>
                <w:szCs w:val="12"/>
                <w:b w:val="1"/>
                <w:bCs w:val="1"/>
                <w:color w:val="auto"/>
              </w:rPr>
              <w:t>30+ Day Performing Delinquencies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30+ Day Delinquencies</w:t>
            </w:r>
          </w:p>
        </w:tc>
        <w:tc>
          <w:tcPr>
            <w:tcW w:w="0" w:type="dxa"/>
            <w:vAlign w:val="bottom"/>
          </w:tcPr>
          <w:p>
            <w:pPr>
              <w:spacing w:after="0"/>
              <w:rPr>
                <w:sz w:val="1"/>
                <w:szCs w:val="1"/>
                <w:color w:val="auto"/>
              </w:rPr>
            </w:pPr>
          </w:p>
        </w:tc>
      </w:tr>
      <w:tr>
        <w:trPr>
          <w:trHeight w:val="142"/>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2"/>
                <w:szCs w:val="12"/>
                <w:b w:val="1"/>
                <w:bCs w:val="1"/>
                <w:color w:val="auto"/>
              </w:rPr>
              <w:t>Rate</w:t>
            </w:r>
            <w:r>
              <w:rPr>
                <w:rFonts w:ascii="Times New Roman" w:cs="Times New Roman" w:eastAsia="Times New Roman" w:hAnsi="Times New Roman"/>
                <w:sz w:val="15"/>
                <w:szCs w:val="15"/>
                <w:b w:val="1"/>
                <w:bCs w:val="1"/>
                <w:color w:val="auto"/>
                <w:vertAlign w:val="superscript"/>
              </w:rPr>
              <w:t>(1)</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03"/>
              <w:spacing w:after="0" w:line="142" w:lineRule="exact"/>
              <w:rPr>
                <w:sz w:val="20"/>
                <w:szCs w:val="20"/>
                <w:color w:val="auto"/>
              </w:rPr>
            </w:pPr>
            <w:r>
              <w:rPr>
                <w:rFonts w:ascii="Times New Roman" w:cs="Times New Roman" w:eastAsia="Times New Roman" w:hAnsi="Times New Roman"/>
                <w:sz w:val="12"/>
                <w:szCs w:val="12"/>
                <w:b w:val="1"/>
                <w:bCs w:val="1"/>
                <w:color w:val="auto"/>
                <w:w w:val="95"/>
              </w:rPr>
              <w:t>Rate</w:t>
            </w:r>
            <w:r>
              <w:rPr>
                <w:rFonts w:ascii="Times New Roman" w:cs="Times New Roman" w:eastAsia="Times New Roman" w:hAnsi="Times New Roman"/>
                <w:sz w:val="15"/>
                <w:szCs w:val="15"/>
                <w:b w:val="1"/>
                <w:bCs w:val="1"/>
                <w:color w:val="auto"/>
                <w:w w:val="95"/>
                <w:vertAlign w:val="superscript"/>
              </w:rPr>
              <w:t>(1)</w:t>
            </w:r>
          </w:p>
        </w:tc>
        <w:tc>
          <w:tcPr>
            <w:tcW w:w="80" w:type="dxa"/>
            <w:vAlign w:val="bottom"/>
          </w:tcPr>
          <w:p>
            <w:pPr>
              <w:spacing w:after="0"/>
              <w:rPr>
                <w:sz w:val="12"/>
                <w:szCs w:val="12"/>
                <w:color w:val="auto"/>
              </w:rPr>
            </w:pPr>
          </w:p>
        </w:tc>
        <w:tc>
          <w:tcPr>
            <w:tcW w:w="1200" w:type="dxa"/>
            <w:vAlign w:val="bottom"/>
            <w:tcBorders>
              <w:top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2"/>
                <w:szCs w:val="12"/>
                <w:b w:val="1"/>
                <w:bCs w:val="1"/>
                <w:color w:val="auto"/>
              </w:rPr>
              <w:t>Rate</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ind w:left="340"/>
              <w:spacing w:after="0" w:line="142" w:lineRule="exact"/>
              <w:rPr>
                <w:sz w:val="20"/>
                <w:szCs w:val="20"/>
                <w:color w:val="auto"/>
              </w:rPr>
            </w:pPr>
            <w:r>
              <w:rPr>
                <w:rFonts w:ascii="Times New Roman" w:cs="Times New Roman" w:eastAsia="Times New Roman" w:hAnsi="Times New Roman"/>
                <w:sz w:val="12"/>
                <w:szCs w:val="12"/>
                <w:b w:val="1"/>
                <w:bCs w:val="1"/>
                <w:color w:val="auto"/>
              </w:rPr>
              <w:t>Rate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2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Credit Card:</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Domestic credit card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4,515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3.43 %</w:t>
            </w:r>
          </w:p>
        </w:tc>
        <w:tc>
          <w:tcPr>
            <w:tcW w:w="10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4,515</w:t>
            </w:r>
          </w:p>
        </w:tc>
        <w:tc>
          <w:tcPr>
            <w:tcW w:w="1120" w:type="dxa"/>
            <w:vAlign w:val="bottom"/>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w w:val="99"/>
              </w:rPr>
              <w:t>3.43 %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2.22 %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2,411</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w w:val="99"/>
              </w:rPr>
              <w:t>2.22 %</w:t>
            </w:r>
          </w:p>
        </w:tc>
        <w:tc>
          <w:tcPr>
            <w:tcW w:w="0" w:type="dxa"/>
            <w:vAlign w:val="bottom"/>
          </w:tcPr>
          <w:p>
            <w:pPr>
              <w:spacing w:after="0"/>
              <w:rPr>
                <w:sz w:val="1"/>
                <w:szCs w:val="1"/>
                <w:color w:val="auto"/>
              </w:rPr>
            </w:pPr>
          </w:p>
        </w:tc>
      </w:tr>
      <w:tr>
        <w:trPr>
          <w:trHeight w:val="153"/>
        </w:trPr>
        <w:tc>
          <w:tcPr>
            <w:tcW w:w="200" w:type="dxa"/>
            <w:vAlign w:val="bottom"/>
            <w:tcBorders>
              <w:right w:val="single" w:sz="8" w:color="CCEEFF"/>
            </w:tcBorders>
            <w:shd w:val="clear" w:color="auto" w:fill="CCEEFF"/>
          </w:tcPr>
          <w:p>
            <w:pPr>
              <w:spacing w:after="0"/>
              <w:rPr>
                <w:sz w:val="13"/>
                <w:szCs w:val="13"/>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International card businesses</w:t>
            </w: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4.03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254</w:t>
            </w:r>
          </w:p>
        </w:tc>
        <w:tc>
          <w:tcPr>
            <w:tcW w:w="112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2"/>
                <w:szCs w:val="12"/>
                <w:b w:val="1"/>
                <w:bCs w:val="1"/>
                <w:color w:val="auto"/>
              </w:rPr>
              <w:t>4.13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rPr>
              <w:t>3.42</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213</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3.51</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gridSpan w:val="3"/>
          </w:tcPr>
          <w:p>
            <w:pPr>
              <w:spacing w:after="0" w:line="135" w:lineRule="exact"/>
              <w:rPr>
                <w:sz w:val="20"/>
                <w:szCs w:val="20"/>
                <w:color w:val="auto"/>
              </w:rPr>
            </w:pPr>
            <w:r>
              <w:rPr>
                <w:rFonts w:ascii="Times New Roman" w:cs="Times New Roman" w:eastAsia="Times New Roman" w:hAnsi="Times New Roman"/>
                <w:sz w:val="12"/>
                <w:szCs w:val="12"/>
                <w:color w:val="auto"/>
              </w:rPr>
              <w:t>Total credit card</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4,763</w:t>
            </w:r>
          </w:p>
        </w:tc>
        <w:tc>
          <w:tcPr>
            <w:tcW w:w="11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3.46</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4,769</w:t>
            </w:r>
          </w:p>
        </w:tc>
        <w:tc>
          <w:tcPr>
            <w:tcW w:w="1120" w:type="dxa"/>
            <w:vAlign w:val="bottom"/>
            <w:tcBorders>
              <w:bottom w:val="single" w:sz="8" w:color="CCEEFF"/>
            </w:tcBorders>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3.46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2,618</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color w:val="auto"/>
              </w:rPr>
              <w:t>2.28</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2,624</w:t>
            </w:r>
          </w:p>
        </w:tc>
        <w:tc>
          <w:tcPr>
            <w:tcW w:w="1100" w:type="dxa"/>
            <w:vAlign w:val="bottom"/>
            <w:tcBorders>
              <w:bottom w:val="single" w:sz="8" w:color="CCEEFF"/>
            </w:tcBorders>
            <w:gridSpan w:val="2"/>
          </w:tcPr>
          <w:p>
            <w:pPr>
              <w:ind w:left="740"/>
              <w:spacing w:after="0" w:line="135" w:lineRule="exact"/>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133"/>
        </w:trPr>
        <w:tc>
          <w:tcPr>
            <w:tcW w:w="29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Consumer Banking:</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Auto</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4,402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5.62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4,906</w:t>
            </w:r>
          </w:p>
        </w:tc>
        <w:tc>
          <w:tcPr>
            <w:tcW w:w="1120" w:type="dxa"/>
            <w:vAlign w:val="bottom"/>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6.26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4.32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3,558</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rPr>
              <w:t>4.69</w:t>
            </w:r>
          </w:p>
        </w:tc>
        <w:tc>
          <w:tcPr>
            <w:tcW w:w="0" w:type="dxa"/>
            <w:vAlign w:val="bottom"/>
          </w:tcPr>
          <w:p>
            <w:pPr>
              <w:spacing w:after="0"/>
              <w:rPr>
                <w:sz w:val="1"/>
                <w:szCs w:val="1"/>
                <w:color w:val="auto"/>
              </w:rPr>
            </w:pPr>
          </w:p>
        </w:tc>
      </w:tr>
      <w:tr>
        <w:trPr>
          <w:trHeight w:val="153"/>
        </w:trPr>
        <w:tc>
          <w:tcPr>
            <w:tcW w:w="200" w:type="dxa"/>
            <w:vAlign w:val="bottom"/>
            <w:tcBorders>
              <w:right w:val="single" w:sz="8" w:color="CCEEFF"/>
            </w:tcBorders>
            <w:shd w:val="clear" w:color="auto" w:fill="CCEEFF"/>
          </w:tcPr>
          <w:p>
            <w:pPr>
              <w:spacing w:after="0"/>
              <w:rPr>
                <w:sz w:val="13"/>
                <w:szCs w:val="13"/>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Retail banking</w:t>
            </w: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1.02</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w:t>
            </w:r>
          </w:p>
        </w:tc>
        <w:tc>
          <w:tcPr>
            <w:tcW w:w="112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2"/>
                <w:szCs w:val="12"/>
                <w:b w:val="1"/>
                <w:bCs w:val="1"/>
                <w:color w:val="auto"/>
              </w:rPr>
              <w:t>2.22</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rPr>
              <w:t>1.92</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3.20</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gridSpan w:val="3"/>
          </w:tcPr>
          <w:p>
            <w:pPr>
              <w:spacing w:after="0" w:line="135" w:lineRule="exact"/>
              <w:rPr>
                <w:sz w:val="20"/>
                <w:szCs w:val="20"/>
                <w:color w:val="auto"/>
              </w:rPr>
            </w:pPr>
            <w:r>
              <w:rPr>
                <w:rFonts w:ascii="Times New Roman" w:cs="Times New Roman" w:eastAsia="Times New Roman" w:hAnsi="Times New Roman"/>
                <w:sz w:val="12"/>
                <w:szCs w:val="12"/>
                <w:color w:val="auto"/>
              </w:rPr>
              <w:t>Total consumer banking</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4,418</w:t>
            </w:r>
          </w:p>
        </w:tc>
        <w:tc>
          <w:tcPr>
            <w:tcW w:w="11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5.53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4,940</w:t>
            </w:r>
          </w:p>
        </w:tc>
        <w:tc>
          <w:tcPr>
            <w:tcW w:w="1120" w:type="dxa"/>
            <w:vAlign w:val="bottom"/>
            <w:tcBorders>
              <w:bottom w:val="single" w:sz="8" w:color="CCEEFF"/>
            </w:tcBorders>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6.18</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color w:val="auto"/>
              </w:rPr>
              <w:t>4.26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3,618</w:t>
            </w:r>
          </w:p>
        </w:tc>
        <w:tc>
          <w:tcPr>
            <w:tcW w:w="1100" w:type="dxa"/>
            <w:vAlign w:val="bottom"/>
            <w:tcBorders>
              <w:bottom w:val="single" w:sz="8" w:color="CCEEFF"/>
            </w:tcBorders>
            <w:gridSpan w:val="2"/>
          </w:tcPr>
          <w:p>
            <w:pPr>
              <w:ind w:left="740"/>
              <w:spacing w:after="0" w:line="135" w:lineRule="exact"/>
              <w:rPr>
                <w:sz w:val="20"/>
                <w:szCs w:val="20"/>
                <w:color w:val="auto"/>
              </w:rPr>
            </w:pPr>
            <w:r>
              <w:rPr>
                <w:rFonts w:ascii="Times New Roman" w:cs="Times New Roman" w:eastAsia="Times New Roman" w:hAnsi="Times New Roman"/>
                <w:sz w:val="12"/>
                <w:szCs w:val="12"/>
                <w:color w:val="auto"/>
              </w:rPr>
              <w:t>4.66</w:t>
            </w:r>
          </w:p>
        </w:tc>
        <w:tc>
          <w:tcPr>
            <w:tcW w:w="0" w:type="dxa"/>
            <w:vAlign w:val="bottom"/>
          </w:tcPr>
          <w:p>
            <w:pPr>
              <w:spacing w:after="0"/>
              <w:rPr>
                <w:sz w:val="1"/>
                <w:szCs w:val="1"/>
                <w:color w:val="auto"/>
              </w:rPr>
            </w:pPr>
          </w:p>
        </w:tc>
      </w:tr>
      <w:tr>
        <w:trPr>
          <w:trHeight w:val="133"/>
        </w:trPr>
        <w:tc>
          <w:tcPr>
            <w:tcW w:w="29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Commercial Banking:</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Commercial and multifamily real estate</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w:t>
            </w:r>
          </w:p>
        </w:tc>
        <w:tc>
          <w:tcPr>
            <w:tcW w:w="1120" w:type="dxa"/>
            <w:vAlign w:val="bottom"/>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0.10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rPr>
              <w:t>0.31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162</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rPr>
              <w:t>0.46</w:t>
            </w:r>
          </w:p>
        </w:tc>
        <w:tc>
          <w:tcPr>
            <w:tcW w:w="0" w:type="dxa"/>
            <w:vAlign w:val="bottom"/>
          </w:tcPr>
          <w:p>
            <w:pPr>
              <w:spacing w:after="0"/>
              <w:rPr>
                <w:sz w:val="1"/>
                <w:szCs w:val="1"/>
                <w:color w:val="auto"/>
              </w:rPr>
            </w:pPr>
          </w:p>
        </w:tc>
      </w:tr>
      <w:tr>
        <w:trPr>
          <w:trHeight w:val="153"/>
        </w:trPr>
        <w:tc>
          <w:tcPr>
            <w:tcW w:w="200" w:type="dxa"/>
            <w:vAlign w:val="bottom"/>
            <w:tcBorders>
              <w:right w:val="single" w:sz="8" w:color="CCEEFF"/>
            </w:tcBorders>
            <w:shd w:val="clear" w:color="auto" w:fill="CCEEFF"/>
          </w:tcPr>
          <w:p>
            <w:pPr>
              <w:spacing w:after="0"/>
              <w:rPr>
                <w:sz w:val="13"/>
                <w:szCs w:val="13"/>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Commercial and industrial</w:t>
            </w: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0.14</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281</w:t>
            </w:r>
          </w:p>
        </w:tc>
        <w:tc>
          <w:tcPr>
            <w:tcW w:w="112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2"/>
                <w:szCs w:val="12"/>
                <w:b w:val="1"/>
                <w:bCs w:val="1"/>
                <w:color w:val="auto"/>
              </w:rPr>
              <w:t>0.49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rPr>
              <w:t>0.43</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281</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0.57</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gridSpan w:val="3"/>
          </w:tcPr>
          <w:p>
            <w:pPr>
              <w:spacing w:after="0" w:line="135" w:lineRule="exact"/>
              <w:rPr>
                <w:sz w:val="20"/>
                <w:szCs w:val="20"/>
                <w:color w:val="auto"/>
              </w:rPr>
            </w:pPr>
            <w:r>
              <w:rPr>
                <w:rFonts w:ascii="Times New Roman" w:cs="Times New Roman" w:eastAsia="Times New Roman" w:hAnsi="Times New Roman"/>
                <w:sz w:val="12"/>
                <w:szCs w:val="12"/>
                <w:color w:val="auto"/>
              </w:rPr>
              <w:t>Total commercial banking</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w:t>
            </w:r>
          </w:p>
        </w:tc>
        <w:tc>
          <w:tcPr>
            <w:tcW w:w="11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0.08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317</w:t>
            </w:r>
          </w:p>
        </w:tc>
        <w:tc>
          <w:tcPr>
            <w:tcW w:w="1120" w:type="dxa"/>
            <w:vAlign w:val="bottom"/>
            <w:tcBorders>
              <w:bottom w:val="single" w:sz="8" w:color="CCEEFF"/>
            </w:tcBorders>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0.33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color w:val="auto"/>
              </w:rPr>
              <w:t>0.38</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443</w:t>
            </w:r>
          </w:p>
        </w:tc>
        <w:tc>
          <w:tcPr>
            <w:tcW w:w="1100" w:type="dxa"/>
            <w:vAlign w:val="bottom"/>
            <w:tcBorders>
              <w:bottom w:val="single" w:sz="8" w:color="CCEEFF"/>
            </w:tcBorders>
            <w:gridSpan w:val="2"/>
          </w:tcPr>
          <w:p>
            <w:pPr>
              <w:ind w:left="740"/>
              <w:spacing w:after="0" w:line="135" w:lineRule="exact"/>
              <w:rPr>
                <w:sz w:val="20"/>
                <w:szCs w:val="20"/>
                <w:color w:val="auto"/>
              </w:rPr>
            </w:pPr>
            <w:r>
              <w:rPr>
                <w:rFonts w:ascii="Times New Roman" w:cs="Times New Roman" w:eastAsia="Times New Roman" w:hAnsi="Times New Roman"/>
                <w:sz w:val="12"/>
                <w:szCs w:val="12"/>
                <w:color w:val="auto"/>
              </w:rPr>
              <w:t>0.52</w:t>
            </w:r>
          </w:p>
        </w:tc>
        <w:tc>
          <w:tcPr>
            <w:tcW w:w="0" w:type="dxa"/>
            <w:vAlign w:val="bottom"/>
          </w:tcPr>
          <w:p>
            <w:pPr>
              <w:spacing w:after="0"/>
              <w:rPr>
                <w:sz w:val="1"/>
                <w:szCs w:val="1"/>
                <w:color w:val="auto"/>
              </w:rPr>
            </w:pPr>
          </w:p>
        </w:tc>
      </w:tr>
      <w:tr>
        <w:trPr>
          <w:trHeight w:val="162"/>
        </w:trPr>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9,260</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2.96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10,026</w:t>
            </w:r>
          </w:p>
        </w:tc>
        <w:tc>
          <w:tcPr>
            <w:tcW w:w="1120" w:type="dxa"/>
            <w:vAlign w:val="bottom"/>
            <w:tcBorders>
              <w:bottom w:val="single" w:sz="8" w:color="CCEEFF"/>
            </w:tcBorders>
            <w:gridSpan w:val="4"/>
            <w:shd w:val="clear" w:color="auto" w:fill="CCEEFF"/>
          </w:tcPr>
          <w:p>
            <w:pPr>
              <w:ind w:left="740"/>
              <w:spacing w:after="0"/>
              <w:rPr>
                <w:sz w:val="20"/>
                <w:szCs w:val="20"/>
                <w:color w:val="auto"/>
              </w:rPr>
            </w:pPr>
            <w:r>
              <w:rPr>
                <w:rFonts w:ascii="Times New Roman" w:cs="Times New Roman" w:eastAsia="Times New Roman" w:hAnsi="Times New Roman"/>
                <w:sz w:val="12"/>
                <w:szCs w:val="12"/>
                <w:b w:val="1"/>
                <w:bCs w:val="1"/>
                <w:color w:val="auto"/>
              </w:rPr>
              <w:t>3.21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6,244</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6,685</w:t>
            </w: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2.41</w:t>
            </w:r>
          </w:p>
        </w:tc>
        <w:tc>
          <w:tcPr>
            <w:tcW w:w="0" w:type="dxa"/>
            <w:vAlign w:val="bottom"/>
          </w:tcPr>
          <w:p>
            <w:pPr>
              <w:spacing w:after="0"/>
              <w:rPr>
                <w:sz w:val="1"/>
                <w:szCs w:val="1"/>
                <w:color w:val="auto"/>
              </w:rPr>
            </w:pPr>
          </w:p>
        </w:tc>
      </w:tr>
      <w:tr>
        <w:trPr>
          <w:trHeight w:val="203"/>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__________</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0" w:type="dxa"/>
            <w:vAlign w:val="bottom"/>
          </w:tcPr>
          <w:p>
            <w:pPr>
              <w:spacing w:after="0"/>
              <w:rPr>
                <w:sz w:val="20"/>
                <w:szCs w:val="20"/>
                <w:color w:val="auto"/>
              </w:rPr>
            </w:pPr>
            <w:r>
              <w:rPr>
                <w:rFonts w:ascii="Times New Roman" w:cs="Times New Roman" w:eastAsia="Times New Roman" w:hAnsi="Times New Roman"/>
                <w:sz w:val="6"/>
                <w:szCs w:val="6"/>
                <w:color w:val="auto"/>
              </w:rPr>
              <w:t>(1)</w:t>
            </w:r>
          </w:p>
        </w:tc>
        <w:tc>
          <w:tcPr>
            <w:tcW w:w="5800" w:type="dxa"/>
            <w:vAlign w:val="bottom"/>
            <w:gridSpan w:val="9"/>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w w:val="95"/>
              </w:rPr>
              <w:t>Delinquency rates are calculated by dividing delinquency amounts by period-end loans held for investment for each specified loan category.</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0" w:type="dxa"/>
            <w:vAlign w:val="bottom"/>
          </w:tcPr>
          <w:p>
            <w:pPr>
              <w:spacing w:after="0"/>
              <w:rPr>
                <w:sz w:val="4"/>
                <w:szCs w:val="4"/>
                <w:color w:val="auto"/>
              </w:rPr>
            </w:pPr>
          </w:p>
        </w:tc>
        <w:tc>
          <w:tcPr>
            <w:tcW w:w="5800" w:type="dxa"/>
            <w:vAlign w:val="bottom"/>
            <w:gridSpan w:val="9"/>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5280" w:type="dxa"/>
            <w:vAlign w:val="bottom"/>
            <w:gridSpan w:val="9"/>
          </w:tcPr>
          <w:p>
            <w:pPr>
              <w:spacing w:after="0"/>
              <w:rPr>
                <w:sz w:val="20"/>
                <w:szCs w:val="20"/>
                <w:color w:val="auto"/>
              </w:rPr>
            </w:pPr>
            <w:r>
              <w:rPr>
                <w:rFonts w:ascii="Times New Roman" w:cs="Times New Roman" w:eastAsia="Times New Roman" w:hAnsi="Times New Roman"/>
                <w:sz w:val="12"/>
                <w:szCs w:val="12"/>
                <w:color w:val="auto"/>
                <w:w w:val="99"/>
              </w:rPr>
              <w:t>Table 23 presents our 30+ day delinquent loans, by aging and geography, as of December 31, 2022 and 2021.</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1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Table 23: Aging and Geography of 30+ Day Delinquent Loans</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42"/>
        </w:trPr>
        <w:tc>
          <w:tcPr>
            <w:tcW w:w="298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ind w:left="3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20" w:type="dxa"/>
            <w:vAlign w:val="bottom"/>
            <w:gridSpan w:val="3"/>
          </w:tcPr>
          <w:p>
            <w:pPr>
              <w:jc w:val="center"/>
              <w:ind w:left="360"/>
              <w:spacing w:after="0" w:line="142" w:lineRule="exact"/>
              <w:rPr>
                <w:sz w:val="20"/>
                <w:szCs w:val="20"/>
                <w:color w:val="auto"/>
              </w:rPr>
            </w:pPr>
            <w:r>
              <w:rPr>
                <w:rFonts w:ascii="Times New Roman" w:cs="Times New Roman" w:eastAsia="Times New Roman" w:hAnsi="Times New Roman"/>
                <w:sz w:val="12"/>
                <w:szCs w:val="12"/>
                <w:b w:val="1"/>
                <w:bCs w:val="1"/>
                <w:color w:val="auto"/>
                <w:w w:val="89"/>
              </w:rPr>
              <w:t>Rate</w:t>
            </w:r>
            <w:r>
              <w:rPr>
                <w:rFonts w:ascii="Times New Roman" w:cs="Times New Roman" w:eastAsia="Times New Roman" w:hAnsi="Times New Roman"/>
                <w:sz w:val="15"/>
                <w:szCs w:val="15"/>
                <w:b w:val="1"/>
                <w:bCs w:val="1"/>
                <w:color w:val="auto"/>
                <w:w w:val="89"/>
                <w:vertAlign w:val="superscript"/>
              </w:rPr>
              <w:t>(1)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5"/>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2"/>
                <w:szCs w:val="12"/>
                <w:color w:val="auto"/>
              </w:rPr>
            </w:pPr>
          </w:p>
        </w:tc>
        <w:tc>
          <w:tcPr>
            <w:tcW w:w="1000" w:type="dxa"/>
            <w:vAlign w:val="bottom"/>
          </w:tcPr>
          <w:p>
            <w:pPr>
              <w:ind w:left="240"/>
              <w:spacing w:after="0" w:line="142" w:lineRule="exact"/>
              <w:rPr>
                <w:sz w:val="20"/>
                <w:szCs w:val="20"/>
                <w:color w:val="auto"/>
              </w:rPr>
            </w:pPr>
            <w:r>
              <w:rPr>
                <w:rFonts w:ascii="Times New Roman" w:cs="Times New Roman" w:eastAsia="Times New Roman" w:hAnsi="Times New Roman"/>
                <w:sz w:val="12"/>
                <w:szCs w:val="12"/>
                <w:b w:val="1"/>
                <w:bCs w:val="1"/>
                <w:color w:val="auto"/>
              </w:rPr>
              <w:t>Rate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29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Delinquency status:</w:t>
            </w: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30 – 59 days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gridSpan w:val="4"/>
          </w:tcPr>
          <w:p>
            <w:pPr>
              <w:jc w:val="right"/>
              <w:ind w:right="603"/>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4,666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1.50 %</w:t>
            </w:r>
          </w:p>
        </w:tc>
        <w:tc>
          <w:tcPr>
            <w:tcW w:w="3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2"/>
                <w:szCs w:val="12"/>
                <w:color w:val="auto"/>
                <w:w w:val="99"/>
              </w:rPr>
              <w:t>1.26 %</w:t>
            </w:r>
          </w:p>
        </w:tc>
        <w:tc>
          <w:tcPr>
            <w:tcW w:w="0" w:type="dxa"/>
            <w:vAlign w:val="bottom"/>
          </w:tcPr>
          <w:p>
            <w:pPr>
              <w:spacing w:after="0"/>
              <w:rPr>
                <w:sz w:val="1"/>
                <w:szCs w:val="1"/>
                <w:color w:val="auto"/>
              </w:rPr>
            </w:pPr>
          </w:p>
        </w:tc>
      </w:tr>
      <w:tr>
        <w:trPr>
          <w:trHeight w:val="153"/>
        </w:trPr>
        <w:tc>
          <w:tcPr>
            <w:tcW w:w="200" w:type="dxa"/>
            <w:vAlign w:val="bottom"/>
            <w:tcBorders>
              <w:right w:val="single" w:sz="8" w:color="CCEEFF"/>
            </w:tcBorders>
            <w:shd w:val="clear" w:color="auto" w:fill="CCEEFF"/>
          </w:tcPr>
          <w:p>
            <w:pPr>
              <w:spacing w:after="0"/>
              <w:rPr>
                <w:sz w:val="13"/>
                <w:szCs w:val="13"/>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60 – 89 days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2,511</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0.80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0.60</w:t>
            </w: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278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&gt; 90 days</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2,849</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0.91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1,528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ind w:left="740"/>
              <w:spacing w:after="0" w:line="126" w:lineRule="exact"/>
              <w:rPr>
                <w:sz w:val="20"/>
                <w:szCs w:val="20"/>
                <w:color w:val="auto"/>
              </w:rPr>
            </w:pPr>
            <w:r>
              <w:rPr>
                <w:rFonts w:ascii="Times New Roman" w:cs="Times New Roman" w:eastAsia="Times New Roman" w:hAnsi="Times New Roman"/>
                <w:sz w:val="12"/>
                <w:szCs w:val="12"/>
                <w:color w:val="auto"/>
              </w:rPr>
              <w:t>0.55</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right w:val="single" w:sz="8" w:color="auto"/>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10,026</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3.21 %</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w w:val="99"/>
              </w:rPr>
              <w:t>2.41 %</w:t>
            </w:r>
          </w:p>
        </w:tc>
        <w:tc>
          <w:tcPr>
            <w:tcW w:w="0" w:type="dxa"/>
            <w:vAlign w:val="bottom"/>
          </w:tcPr>
          <w:p>
            <w:pPr>
              <w:spacing w:after="0"/>
              <w:rPr>
                <w:sz w:val="1"/>
                <w:szCs w:val="1"/>
                <w:color w:val="auto"/>
              </w:rPr>
            </w:pPr>
          </w:p>
        </w:tc>
      </w:tr>
      <w:tr>
        <w:trPr>
          <w:trHeight w:val="131"/>
        </w:trPr>
        <w:tc>
          <w:tcPr>
            <w:tcW w:w="2980" w:type="dxa"/>
            <w:vAlign w:val="bottom"/>
            <w:gridSpan w:val="3"/>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Geographic region:</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 w:type="dxa"/>
            <w:vAlign w:val="bottom"/>
            <w:tcBorders>
              <w:right w:val="single" w:sz="8" w:color="CCEEFF"/>
            </w:tcBorders>
            <w:shd w:val="clear" w:color="auto" w:fill="CCEEFF"/>
          </w:tcPr>
          <w:p>
            <w:pPr>
              <w:spacing w:after="0"/>
              <w:rPr>
                <w:sz w:val="13"/>
                <w:szCs w:val="13"/>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Domestic</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120" w:type="dxa"/>
            <w:vAlign w:val="bottom"/>
            <w:gridSpan w:val="4"/>
            <w:shd w:val="clear" w:color="auto" w:fill="CCEEFF"/>
          </w:tcPr>
          <w:p>
            <w:pPr>
              <w:jc w:val="right"/>
              <w:ind w:right="603"/>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9,772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3.13 %</w:t>
            </w:r>
          </w:p>
        </w:tc>
        <w:tc>
          <w:tcPr>
            <w:tcW w:w="3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w w:val="99"/>
              </w:rPr>
              <w:t>2.33 %</w:t>
            </w:r>
          </w:p>
        </w:tc>
        <w:tc>
          <w:tcPr>
            <w:tcW w:w="0" w:type="dxa"/>
            <w:vAlign w:val="bottom"/>
          </w:tcPr>
          <w:p>
            <w:pPr>
              <w:spacing w:after="0"/>
              <w:rPr>
                <w:sz w:val="1"/>
                <w:szCs w:val="1"/>
                <w:color w:val="auto"/>
              </w:rPr>
            </w:pPr>
          </w:p>
        </w:tc>
      </w:tr>
      <w:tr>
        <w:trPr>
          <w:trHeight w:val="153"/>
        </w:trPr>
        <w:tc>
          <w:tcPr>
            <w:tcW w:w="200" w:type="dxa"/>
            <w:vAlign w:val="bottom"/>
            <w:tcBorders>
              <w:bottom w:val="single" w:sz="8" w:color="CCEEFF"/>
            </w:tcBorders>
          </w:tcPr>
          <w:p>
            <w:pPr>
              <w:spacing w:after="0"/>
              <w:rPr>
                <w:sz w:val="13"/>
                <w:szCs w:val="13"/>
                <w:color w:val="auto"/>
              </w:rPr>
            </w:pPr>
          </w:p>
        </w:tc>
        <w:tc>
          <w:tcPr>
            <w:tcW w:w="2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International</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254</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0.08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2"/>
                <w:szCs w:val="12"/>
                <w:color w:val="auto"/>
              </w:rPr>
              <w:t>0.08</w:t>
            </w:r>
          </w:p>
        </w:tc>
        <w:tc>
          <w:tcPr>
            <w:tcW w:w="0" w:type="dxa"/>
            <w:vAlign w:val="bottom"/>
          </w:tcPr>
          <w:p>
            <w:pPr>
              <w:spacing w:after="0"/>
              <w:rPr>
                <w:sz w:val="1"/>
                <w:szCs w:val="1"/>
                <w:color w:val="auto"/>
              </w:rPr>
            </w:pPr>
          </w:p>
        </w:tc>
      </w:tr>
      <w:tr>
        <w:trPr>
          <w:trHeight w:val="158"/>
        </w:trPr>
        <w:tc>
          <w:tcPr>
            <w:tcW w:w="2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10,026</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3.21 %</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6,685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w w:val="99"/>
              </w:rPr>
              <w:t>2.41 %</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5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Delinquency rates are calculated by dividing delinquency amounts by total period-end loans held for investment.</w:t>
      </w:r>
    </w:p>
    <w:p>
      <w:pPr>
        <w:spacing w:after="0" w:line="105"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Table 24 summarizes loans that were 90+ days delinquent as to interest or principal and still accruing interest as of December 31, 2022 and 2021. These loans consist primarily of credit card accounts between 90 days and 179 days past due. As permitted by regulatory guidance issued by the FFIEC, we continue to accrue interest and fees on domestic credit card loans through the date of charge off, which is typically in the period the account becomes 180 days past due.</w:t>
      </w:r>
    </w:p>
    <w:p>
      <w:pPr>
        <w:spacing w:after="0" w:line="200" w:lineRule="exact"/>
        <w:rPr>
          <w:sz w:val="20"/>
          <w:szCs w:val="20"/>
          <w:color w:val="auto"/>
        </w:rPr>
      </w:pPr>
    </w:p>
    <w:p>
      <w:pPr>
        <w:spacing w:after="0" w:line="338"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87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88" w:name="page89"/>
    <w:bookmarkEnd w:id="88"/>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24: 90+ Day Delinquent Loans Accruing Interest</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7"/>
        </w:trPr>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ind w:left="460"/>
              <w:spacing w:after="0" w:line="142" w:lineRule="exact"/>
              <w:rPr>
                <w:sz w:val="20"/>
                <w:szCs w:val="20"/>
                <w:color w:val="auto"/>
              </w:rPr>
            </w:pPr>
            <w:r>
              <w:rPr>
                <w:rFonts w:ascii="Times New Roman" w:cs="Times New Roman" w:eastAsia="Times New Roman" w:hAnsi="Times New Roman"/>
                <w:sz w:val="12"/>
                <w:szCs w:val="12"/>
                <w:b w:val="1"/>
                <w:bCs w:val="1"/>
                <w:color w:val="auto"/>
                <w:w w:val="95"/>
              </w:rPr>
              <w:t>Rate</w:t>
            </w:r>
            <w:r>
              <w:rPr>
                <w:rFonts w:ascii="Times New Roman" w:cs="Times New Roman" w:eastAsia="Times New Roman" w:hAnsi="Times New Roman"/>
                <w:sz w:val="15"/>
                <w:szCs w:val="15"/>
                <w:b w:val="1"/>
                <w:bCs w:val="1"/>
                <w:color w:val="auto"/>
                <w:w w:val="95"/>
                <w:vertAlign w:val="superscript"/>
              </w:rPr>
              <w:t>(1)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2"/>
                <w:szCs w:val="12"/>
                <w:color w:val="auto"/>
              </w:rPr>
            </w:pPr>
          </w:p>
        </w:tc>
        <w:tc>
          <w:tcPr>
            <w:tcW w:w="1200" w:type="dxa"/>
            <w:vAlign w:val="bottom"/>
          </w:tcPr>
          <w:p>
            <w:pPr>
              <w:jc w:val="right"/>
              <w:ind w:right="380"/>
              <w:spacing w:after="0" w:line="142" w:lineRule="exact"/>
              <w:rPr>
                <w:sz w:val="20"/>
                <w:szCs w:val="20"/>
                <w:color w:val="auto"/>
              </w:rPr>
            </w:pPr>
            <w:r>
              <w:rPr>
                <w:rFonts w:ascii="Times New Roman" w:cs="Times New Roman" w:eastAsia="Times New Roman" w:hAnsi="Times New Roman"/>
                <w:sz w:val="12"/>
                <w:szCs w:val="12"/>
                <w:b w:val="1"/>
                <w:bCs w:val="1"/>
                <w:color w:val="auto"/>
              </w:rPr>
              <w:t>Rate</w:t>
            </w:r>
            <w:r>
              <w:rPr>
                <w:rFonts w:ascii="Times New Roman" w:cs="Times New Roman" w:eastAsia="Times New Roman" w:hAnsi="Times New Roman"/>
                <w:sz w:val="15"/>
                <w:szCs w:val="15"/>
                <w:b w:val="1"/>
                <w:bCs w:val="1"/>
                <w:color w:val="auto"/>
                <w:vertAlign w:val="superscript"/>
              </w:rPr>
              <w:t>(1)</w:t>
            </w:r>
          </w:p>
        </w:tc>
      </w:tr>
      <w:tr>
        <w:trPr>
          <w:trHeight w:val="142"/>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Loan category:</w:t>
            </w: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r>
      <w:tr>
        <w:trPr>
          <w:trHeight w:val="153"/>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Credit card</w:t>
            </w:r>
          </w:p>
        </w:tc>
        <w:tc>
          <w:tcPr>
            <w:tcW w:w="760" w:type="dxa"/>
            <w:vAlign w:val="bottom"/>
          </w:tcPr>
          <w:p>
            <w:pPr>
              <w:jc w:val="right"/>
              <w:ind w:right="6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2,240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1.63 %</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1.04 %</w:t>
            </w:r>
          </w:p>
        </w:tc>
      </w:tr>
      <w:tr>
        <w:trPr>
          <w:trHeight w:val="153"/>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banking</w:t>
            </w:r>
          </w:p>
        </w:tc>
        <w:tc>
          <w:tcPr>
            <w:tcW w:w="76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760" w:type="dxa"/>
            <w:vAlign w:val="bottom"/>
            <w:tcBorders>
              <w:top w:val="single" w:sz="8" w:color="auto"/>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2,240</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0.72</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1,195</w:t>
            </w:r>
          </w:p>
        </w:tc>
        <w:tc>
          <w:tcPr>
            <w:tcW w:w="12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0.43</w:t>
            </w:r>
          </w:p>
        </w:tc>
      </w:tr>
      <w:tr>
        <w:trPr>
          <w:trHeight w:val="135"/>
        </w:trPr>
        <w:tc>
          <w:tcPr>
            <w:tcW w:w="64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Geographic region:</w:t>
            </w: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3"/>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Domestic</w:t>
            </w:r>
          </w:p>
        </w:tc>
        <w:tc>
          <w:tcPr>
            <w:tcW w:w="760" w:type="dxa"/>
            <w:vAlign w:val="bottom"/>
          </w:tcPr>
          <w:p>
            <w:pPr>
              <w:jc w:val="right"/>
              <w:ind w:right="6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2,135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0.70</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1,113</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0.41</w:t>
            </w:r>
          </w:p>
        </w:tc>
      </w:tr>
      <w:tr>
        <w:trPr>
          <w:trHeight w:val="153"/>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International</w:t>
            </w:r>
          </w:p>
        </w:tc>
        <w:tc>
          <w:tcPr>
            <w:tcW w:w="7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105</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1.71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1.36</w:t>
            </w:r>
          </w:p>
        </w:tc>
      </w:tr>
      <w:tr>
        <w:trPr>
          <w:trHeight w:val="142"/>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76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2,240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0.72</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1,195</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0.43</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5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Delinquency rates are calculated by dividing delinquency amounts by period-end loans held for investment for each specified loan category.</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Nonperforming Loans and Nonperforming Assets</w:t>
      </w:r>
    </w:p>
    <w:p>
      <w:pPr>
        <w:spacing w:after="0" w:line="118"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Nonperforming loans include loans that have been placed on nonaccrual status. Nonperforming assets consist of nonperforming loans, repossessed assets and other foreclosed assets. See “Part II—Item 8. Financial Statements and Supplementary Data—Note 1—Summary of Significant Accounting Policies” for information on our policies for classifying loans as nonperforming for each of our loan categories.</w:t>
      </w:r>
    </w:p>
    <w:p>
      <w:pPr>
        <w:spacing w:after="0" w:line="75"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Table 25 presents our nonperforming loans, by portfolio segment, and other nonperforming assets as of December 31, 2022 and 2021. We do not classify loans held for sale as nonperforming. We provide additional information on our credit quality metrics in “Business Segment Financial Performance.”</w:t>
      </w:r>
    </w:p>
    <w:p>
      <w:pPr>
        <w:spacing w:after="0" w:line="75"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6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25: Nonperforming Loans and Other Nonperforming Assets</w:t>
            </w:r>
            <w:r>
              <w:rPr>
                <w:rFonts w:ascii="Times New Roman" w:cs="Times New Roman" w:eastAsia="Times New Roman" w:hAnsi="Times New Roman"/>
                <w:sz w:val="14"/>
                <w:szCs w:val="14"/>
                <w:b w:val="1"/>
                <w:bCs w:val="1"/>
                <w:color w:val="auto"/>
                <w:vertAlign w:val="superscript"/>
              </w:rPr>
              <w:t>(1)</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5"/>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80" w:type="dxa"/>
            <w:vAlign w:val="bottom"/>
          </w:tcPr>
          <w:p>
            <w:pPr>
              <w:spacing w:after="0"/>
              <w:rPr>
                <w:sz w:val="14"/>
                <w:szCs w:val="14"/>
                <w:color w:val="auto"/>
              </w:rPr>
            </w:pPr>
          </w:p>
        </w:tc>
        <w:tc>
          <w:tcPr>
            <w:tcW w:w="2040" w:type="dxa"/>
            <w:vAlign w:val="bottom"/>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67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rPr>
              <w:t>Rate</w:t>
            </w:r>
          </w:p>
        </w:tc>
      </w:tr>
      <w:tr>
        <w:trPr>
          <w:trHeight w:val="142"/>
        </w:trPr>
        <w:tc>
          <w:tcPr>
            <w:tcW w:w="66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Nonperforming loans held for investment:</w:t>
            </w:r>
            <w:r>
              <w:rPr>
                <w:rFonts w:ascii="Times New Roman" w:cs="Times New Roman" w:eastAsia="Times New Roman" w:hAnsi="Times New Roman"/>
                <w:sz w:val="15"/>
                <w:szCs w:val="15"/>
                <w:b w:val="1"/>
                <w:bCs w:val="1"/>
                <w:color w:val="auto"/>
                <w:vertAlign w:val="superscript"/>
              </w:rPr>
              <w:t>(2)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r>
      <w:tr>
        <w:trPr>
          <w:trHeight w:val="153"/>
        </w:trPr>
        <w:tc>
          <w:tcPr>
            <w:tcW w:w="6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Credit Card: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International card businesses</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w w:val="99"/>
              </w:rPr>
              <w:t>0.14 %</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w w:val="99"/>
              </w:rPr>
              <w:t>0.16 %</w:t>
            </w:r>
          </w:p>
        </w:tc>
      </w:tr>
      <w:tr>
        <w:trPr>
          <w:trHeight w:val="142"/>
        </w:trPr>
        <w:tc>
          <w:tcPr>
            <w:tcW w:w="676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 credit card</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w:t>
            </w:r>
          </w:p>
        </w:tc>
        <w:tc>
          <w:tcPr>
            <w:tcW w:w="1220" w:type="dxa"/>
            <w:vAlign w:val="bottom"/>
            <w:tcBorders>
              <w:bottom w:val="single" w:sz="8" w:color="CCEEFF"/>
            </w:tcBorders>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0.01</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20" w:type="dxa"/>
            <w:vAlign w:val="bottom"/>
            <w:tcBorders>
              <w:bottom w:val="single" w:sz="8" w:color="CCEEFF"/>
            </w:tcBorders>
            <w:gridSpan w:val="2"/>
          </w:tcPr>
          <w:p>
            <w:pPr>
              <w:ind w:left="860"/>
              <w:spacing w:after="0" w:line="135" w:lineRule="exact"/>
              <w:rPr>
                <w:sz w:val="20"/>
                <w:szCs w:val="20"/>
                <w:color w:val="auto"/>
              </w:rPr>
            </w:pPr>
            <w:r>
              <w:rPr>
                <w:rFonts w:ascii="Times New Roman" w:cs="Times New Roman" w:eastAsia="Times New Roman" w:hAnsi="Times New Roman"/>
                <w:sz w:val="12"/>
                <w:szCs w:val="12"/>
                <w:color w:val="auto"/>
              </w:rPr>
              <w:t>0.01</w:t>
            </w:r>
          </w:p>
        </w:tc>
      </w:tr>
      <w:tr>
        <w:trPr>
          <w:trHeight w:val="133"/>
        </w:trPr>
        <w:tc>
          <w:tcPr>
            <w:tcW w:w="67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Consumer Banking:</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Auto</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595</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0.76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0.45</w:t>
            </w:r>
          </w:p>
        </w:tc>
      </w:tr>
      <w:tr>
        <w:trPr>
          <w:trHeight w:val="15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Retail banking</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rPr>
              <w:t>2.49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2.51</w:t>
            </w:r>
          </w:p>
        </w:tc>
      </w:tr>
      <w:tr>
        <w:trPr>
          <w:trHeight w:val="142"/>
        </w:trPr>
        <w:tc>
          <w:tcPr>
            <w:tcW w:w="676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 consumer banking</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634</w:t>
            </w:r>
          </w:p>
        </w:tc>
        <w:tc>
          <w:tcPr>
            <w:tcW w:w="1220" w:type="dxa"/>
            <w:vAlign w:val="bottom"/>
            <w:tcBorders>
              <w:bottom w:val="single" w:sz="8" w:color="CCEEFF"/>
            </w:tcBorders>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0.79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220" w:type="dxa"/>
            <w:vAlign w:val="bottom"/>
            <w:tcBorders>
              <w:bottom w:val="single" w:sz="8" w:color="CCEEFF"/>
            </w:tcBorders>
            <w:gridSpan w:val="2"/>
          </w:tcPr>
          <w:p>
            <w:pPr>
              <w:ind w:left="860"/>
              <w:spacing w:after="0" w:line="135" w:lineRule="exact"/>
              <w:rPr>
                <w:sz w:val="20"/>
                <w:szCs w:val="20"/>
                <w:color w:val="auto"/>
              </w:rPr>
            </w:pPr>
            <w:r>
              <w:rPr>
                <w:rFonts w:ascii="Times New Roman" w:cs="Times New Roman" w:eastAsia="Times New Roman" w:hAnsi="Times New Roman"/>
                <w:sz w:val="12"/>
                <w:szCs w:val="12"/>
                <w:color w:val="auto"/>
              </w:rPr>
              <w:t>0.50</w:t>
            </w:r>
          </w:p>
        </w:tc>
      </w:tr>
      <w:tr>
        <w:trPr>
          <w:trHeight w:val="133"/>
        </w:trPr>
        <w:tc>
          <w:tcPr>
            <w:tcW w:w="67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Commercial Banking:</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Commercial and multifamily real estate</w:t>
            </w: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271</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0.72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1.09</w:t>
            </w:r>
          </w:p>
        </w:tc>
      </w:tr>
      <w:tr>
        <w:trPr>
          <w:trHeight w:val="15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430</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rPr>
              <w:t>0.75</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0.64</w:t>
            </w:r>
          </w:p>
        </w:tc>
      </w:tr>
      <w:tr>
        <w:trPr>
          <w:trHeight w:val="142"/>
        </w:trPr>
        <w:tc>
          <w:tcPr>
            <w:tcW w:w="676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 commercial banking</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701</w:t>
            </w:r>
          </w:p>
        </w:tc>
        <w:tc>
          <w:tcPr>
            <w:tcW w:w="1220" w:type="dxa"/>
            <w:vAlign w:val="bottom"/>
            <w:tcBorders>
              <w:bottom w:val="single" w:sz="8" w:color="CCEEFF"/>
            </w:tcBorders>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0.74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699</w:t>
            </w:r>
          </w:p>
        </w:tc>
        <w:tc>
          <w:tcPr>
            <w:tcW w:w="1220" w:type="dxa"/>
            <w:vAlign w:val="bottom"/>
            <w:tcBorders>
              <w:bottom w:val="single" w:sz="8" w:color="CCEEFF"/>
            </w:tcBorders>
            <w:gridSpan w:val="2"/>
          </w:tcPr>
          <w:p>
            <w:pPr>
              <w:ind w:left="860"/>
              <w:spacing w:after="0" w:line="135" w:lineRule="exact"/>
              <w:rPr>
                <w:sz w:val="20"/>
                <w:szCs w:val="20"/>
                <w:color w:val="auto"/>
              </w:rPr>
            </w:pPr>
            <w:r>
              <w:rPr>
                <w:rFonts w:ascii="Times New Roman" w:cs="Times New Roman" w:eastAsia="Times New Roman" w:hAnsi="Times New Roman"/>
                <w:sz w:val="12"/>
                <w:szCs w:val="12"/>
                <w:color w:val="auto"/>
              </w:rPr>
              <w:t>0.82</w:t>
            </w:r>
          </w:p>
        </w:tc>
      </w:tr>
      <w:tr>
        <w:trPr>
          <w:trHeight w:val="142"/>
        </w:trPr>
        <w:tc>
          <w:tcPr>
            <w:tcW w:w="6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Total nonperforming loans held for investment</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1,344</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rPr>
              <w:t>0.43</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w:t>
            </w:r>
          </w:p>
        </w:tc>
        <w:tc>
          <w:tcPr>
            <w:tcW w:w="1220" w:type="dxa"/>
            <w:vAlign w:val="bottom"/>
            <w:gridSpan w:val="2"/>
            <w:shd w:val="clear" w:color="auto" w:fill="CCEEFF"/>
          </w:tcPr>
          <w:p>
            <w:pPr>
              <w:ind w:left="860"/>
              <w:spacing w:after="0" w:line="135" w:lineRule="exact"/>
              <w:rPr>
                <w:sz w:val="20"/>
                <w:szCs w:val="20"/>
                <w:color w:val="auto"/>
              </w:rPr>
            </w:pPr>
            <w:r>
              <w:rPr>
                <w:rFonts w:ascii="Times New Roman" w:cs="Times New Roman" w:eastAsia="Times New Roman" w:hAnsi="Times New Roman"/>
                <w:sz w:val="12"/>
                <w:szCs w:val="12"/>
                <w:color w:val="auto"/>
              </w:rPr>
              <w:t>0.40</w:t>
            </w:r>
          </w:p>
        </w:tc>
      </w:tr>
      <w:tr>
        <w:trPr>
          <w:trHeight w:val="142"/>
        </w:trPr>
        <w:tc>
          <w:tcPr>
            <w:tcW w:w="676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2"/>
                <w:szCs w:val="12"/>
                <w:color w:val="auto"/>
              </w:rPr>
              <w:t>Other nonperforming assets</w:t>
            </w:r>
            <w:r>
              <w:rPr>
                <w:rFonts w:ascii="Times New Roman" w:cs="Times New Roman" w:eastAsia="Times New Roman" w:hAnsi="Times New Roman"/>
                <w:sz w:val="15"/>
                <w:szCs w:val="15"/>
                <w:color w:val="auto"/>
                <w:vertAlign w:val="superscript"/>
              </w:rPr>
              <w:t>(4)</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w:t>
            </w:r>
          </w:p>
        </w:tc>
        <w:tc>
          <w:tcPr>
            <w:tcW w:w="1220" w:type="dxa"/>
            <w:vAlign w:val="bottom"/>
            <w:tcBorders>
              <w:bottom w:val="single" w:sz="8" w:color="CCEEFF"/>
            </w:tcBorders>
            <w:gridSpan w:val="2"/>
          </w:tcPr>
          <w:p>
            <w:pPr>
              <w:ind w:left="840"/>
              <w:spacing w:after="0"/>
              <w:rPr>
                <w:sz w:val="20"/>
                <w:szCs w:val="20"/>
                <w:color w:val="auto"/>
              </w:rPr>
            </w:pPr>
            <w:r>
              <w:rPr>
                <w:rFonts w:ascii="Times New Roman" w:cs="Times New Roman" w:eastAsia="Times New Roman" w:hAnsi="Times New Roman"/>
                <w:sz w:val="12"/>
                <w:szCs w:val="12"/>
                <w:b w:val="1"/>
                <w:bCs w:val="1"/>
                <w:color w:val="auto"/>
              </w:rPr>
              <w:t>0.02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20" w:type="dxa"/>
            <w:vAlign w:val="bottom"/>
            <w:tcBorders>
              <w:bottom w:val="single" w:sz="8" w:color="CCEEFF"/>
            </w:tcBorders>
            <w:gridSpan w:val="2"/>
          </w:tcPr>
          <w:p>
            <w:pPr>
              <w:ind w:left="860"/>
              <w:spacing w:after="0" w:line="135" w:lineRule="exact"/>
              <w:rPr>
                <w:sz w:val="20"/>
                <w:szCs w:val="20"/>
                <w:color w:val="auto"/>
              </w:rPr>
            </w:pPr>
            <w:r>
              <w:rPr>
                <w:rFonts w:ascii="Times New Roman" w:cs="Times New Roman" w:eastAsia="Times New Roman" w:hAnsi="Times New Roman"/>
                <w:sz w:val="12"/>
                <w:szCs w:val="12"/>
                <w:color w:val="auto"/>
              </w:rPr>
              <w:t>0.01</w:t>
            </w:r>
          </w:p>
        </w:tc>
      </w:tr>
      <w:tr>
        <w:trPr>
          <w:trHeight w:val="158"/>
        </w:trPr>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nonperforming assets</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1,405</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2"/>
                <w:szCs w:val="12"/>
                <w:b w:val="1"/>
                <w:bCs w:val="1"/>
                <w:color w:val="auto"/>
              </w:rPr>
              <w:t>0.45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1,141</w:t>
            </w:r>
          </w:p>
        </w:tc>
        <w:tc>
          <w:tcPr>
            <w:tcW w:w="12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0.41</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19" w:lineRule="auto"/>
        <w:tabs>
          <w:tab w:leader="none" w:pos="200" w:val="left"/>
        </w:tabs>
        <w:numPr>
          <w:ilvl w:val="0"/>
          <w:numId w:val="5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recognized interest income for loans classified as nonperforming of $66 million and $43 million in 2022 and 2021, respectively. Interest income foregone related to nonperforming loans was $83 million and $51 million in 2022 and 2021, respectively. Foregone interest income represents the amount of interest income in excess of recognized interest income that would have been recorded during the period for nonperforming loans as of the end of the period had the loans performed according to their contractual terms.</w:t>
      </w:r>
    </w:p>
    <w:p>
      <w:pPr>
        <w:spacing w:after="0" w:line="15"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5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Nonperforming loan rates are calculated based on nonperforming loans for each category divided by period-end total loans held for investment for each respective category.</w:t>
      </w:r>
    </w:p>
    <w:p>
      <w:pPr>
        <w:spacing w:after="0" w:line="200" w:lineRule="exact"/>
        <w:rPr>
          <w:sz w:val="20"/>
          <w:szCs w:val="20"/>
          <w:color w:val="auto"/>
        </w:rPr>
      </w:pPr>
    </w:p>
    <w:p>
      <w:pPr>
        <w:spacing w:after="0" w:line="289"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88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89" w:name="page90"/>
    <w:bookmarkEnd w:id="8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8" w:hanging="208"/>
        <w:spacing w:after="0"/>
        <w:tabs>
          <w:tab w:leader="none" w:pos="208" w:val="left"/>
        </w:tabs>
        <w:numPr>
          <w:ilvl w:val="0"/>
          <w:numId w:val="5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Excluding the impact of domestic credit card loans, nonperforming loans as a percentage of total loans held for investment was 0.74% and 0.65% as of December 31, 2022 and 2021, respectively.</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5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denominators used in calculating nonperforming asset rates consist of total loans held for investment and other nonperforming assets.</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Net Charge-Offs</w:t>
      </w:r>
    </w:p>
    <w:p>
      <w:pPr>
        <w:spacing w:after="0" w:line="118"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Net charge-offs consist of the amortized cost basis, excluding accrued interest, of loans held for investment that we determine to be uncollectible, net of recovered amounts. We charge off loans as a reduction to the allowance for credit losses when we determine the loan is uncollectible and record subsequent recoveries of previously charged off amounts as increases to the allowance for credit losses. Uncollectible finance charges and fees are reversed through revenue and certain fraud losses are recorded in other non-interest expense. Generally, costs to recover charged off loans are recorded as collection expenses as incurred and are included in our consolidated statements of income as a component of other non-interest expense. Our charge-off policy for loans varies based on the loan type. See “Part II—Item 8. Financial Statements and Supplementary Data—Note 1—Summary of Significant Accounting Policies” for information on our charge-off policy for each of our loan categories.</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26 presents our net charge-off amounts and rates, by portfolio segment, in 2022, 2021 and 2020.</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26: Net Charge-Offs (Recoveries)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23"/>
        </w:trPr>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2022</w:t>
            </w: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832"/>
              <w:spacing w:after="0"/>
              <w:rPr>
                <w:sz w:val="20"/>
                <w:szCs w:val="20"/>
                <w:color w:val="auto"/>
              </w:rPr>
            </w:pPr>
            <w:r>
              <w:rPr>
                <w:rFonts w:ascii="Times New Roman" w:cs="Times New Roman" w:eastAsia="Times New Roman" w:hAnsi="Times New Roman"/>
                <w:sz w:val="10"/>
                <w:szCs w:val="10"/>
                <w:b w:val="1"/>
                <w:bCs w:val="1"/>
                <w:color w:val="auto"/>
                <w:w w:val="79"/>
              </w:rPr>
              <w:t>2020</w:t>
            </w:r>
          </w:p>
        </w:tc>
      </w:tr>
      <w:tr>
        <w:trPr>
          <w:trHeight w:val="134"/>
        </w:trPr>
        <w:tc>
          <w:tcPr>
            <w:tcW w:w="51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60" w:type="dxa"/>
            <w:vAlign w:val="bottom"/>
            <w:gridSpan w:val="3"/>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80" w:type="dxa"/>
            <w:vAlign w:val="bottom"/>
          </w:tcPr>
          <w:p>
            <w:pPr>
              <w:jc w:val="right"/>
              <w:ind w:right="327"/>
              <w:spacing w:after="0" w:line="134"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12"/>
                <w:szCs w:val="12"/>
                <w:b w:val="1"/>
                <w:bCs w:val="1"/>
                <w:color w:val="auto"/>
                <w:vertAlign w:val="superscript"/>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1"/>
                <w:szCs w:val="11"/>
                <w:color w:val="auto"/>
              </w:rPr>
            </w:pPr>
          </w:p>
        </w:tc>
        <w:tc>
          <w:tcPr>
            <w:tcW w:w="660" w:type="dxa"/>
            <w:vAlign w:val="bottom"/>
          </w:tcPr>
          <w:p>
            <w:pPr>
              <w:jc w:val="right"/>
              <w:spacing w:after="0" w:line="134"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12"/>
                <w:szCs w:val="12"/>
                <w:b w:val="1"/>
                <w:bCs w:val="1"/>
                <w:color w:val="auto"/>
                <w:vertAlign w:val="superscript"/>
              </w:rPr>
              <w:t>(1)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292"/>
              <w:spacing w:after="0" w:line="134"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12"/>
                <w:szCs w:val="12"/>
                <w:b w:val="1"/>
                <w:bCs w:val="1"/>
                <w:color w:val="auto"/>
                <w:vertAlign w:val="superscript"/>
              </w:rPr>
              <w:t>(1)</w:t>
            </w:r>
          </w:p>
        </w:tc>
      </w:tr>
      <w:tr>
        <w:trPr>
          <w:trHeight w:val="133"/>
        </w:trPr>
        <w:tc>
          <w:tcPr>
            <w:tcW w:w="5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r>
      <w:tr>
        <w:trPr>
          <w:trHeight w:val="14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Domestic credit card</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2,833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2.47 %</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1.90 %</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4,002</w:t>
            </w: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1"/>
                <w:szCs w:val="11"/>
                <w:color w:val="auto"/>
                <w:w w:val="96"/>
              </w:rPr>
              <w:t>3.93 %</w:t>
            </w:r>
          </w:p>
        </w:tc>
      </w:tr>
      <w:tr>
        <w:trPr>
          <w:trHeight w:val="145"/>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card businesses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215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3.65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3.26</w:t>
            </w:r>
          </w:p>
        </w:tc>
      </w:tr>
      <w:tr>
        <w:trPr>
          <w:trHeight w:val="132"/>
        </w:trPr>
        <w:tc>
          <w:tcPr>
            <w:tcW w:w="512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credit card</w:t>
            </w: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3,048</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jc w:val="right"/>
              <w:ind w:right="87"/>
              <w:spacing w:after="0" w:line="122" w:lineRule="exact"/>
              <w:rPr>
                <w:sz w:val="20"/>
                <w:szCs w:val="20"/>
                <w:color w:val="auto"/>
              </w:rPr>
            </w:pPr>
            <w:r>
              <w:rPr>
                <w:rFonts w:ascii="Times New Roman" w:cs="Times New Roman" w:eastAsia="Times New Roman" w:hAnsi="Times New Roman"/>
                <w:sz w:val="11"/>
                <w:szCs w:val="11"/>
                <w:b w:val="1"/>
                <w:bCs w:val="1"/>
                <w:color w:val="auto"/>
              </w:rPr>
              <w:t>2.53</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1,956</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jc w:val="right"/>
              <w:ind w:right="66"/>
              <w:spacing w:after="0" w:line="121" w:lineRule="exact"/>
              <w:rPr>
                <w:sz w:val="20"/>
                <w:szCs w:val="20"/>
                <w:color w:val="auto"/>
              </w:rPr>
            </w:pPr>
            <w:r>
              <w:rPr>
                <w:rFonts w:ascii="Times New Roman" w:cs="Times New Roman" w:eastAsia="Times New Roman" w:hAnsi="Times New Roman"/>
                <w:sz w:val="11"/>
                <w:szCs w:val="11"/>
                <w:color w:val="auto"/>
              </w:rPr>
              <w:t>1.90</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4,270</w:t>
            </w:r>
          </w:p>
        </w:tc>
        <w:tc>
          <w:tcPr>
            <w:tcW w:w="40" w:type="dxa"/>
            <w:vAlign w:val="bottom"/>
            <w:tcBorders>
              <w:top w:val="single" w:sz="8" w:color="auto"/>
              <w:bottom w:val="single" w:sz="8" w:color="auto"/>
            </w:tcBorders>
          </w:tcPr>
          <w:p>
            <w:pPr>
              <w:spacing w:after="0"/>
              <w:rPr>
                <w:sz w:val="11"/>
                <w:szCs w:val="11"/>
                <w:color w:val="auto"/>
              </w:rPr>
            </w:pPr>
          </w:p>
        </w:tc>
        <w:tc>
          <w:tcPr>
            <w:tcW w:w="1020" w:type="dxa"/>
            <w:vAlign w:val="bottom"/>
            <w:tcBorders>
              <w:bottom w:val="single" w:sz="8" w:color="CCEEFF"/>
            </w:tcBorders>
            <w:gridSpan w:val="2"/>
          </w:tcPr>
          <w:p>
            <w:pPr>
              <w:ind w:left="700"/>
              <w:spacing w:after="0" w:line="121" w:lineRule="exact"/>
              <w:rPr>
                <w:sz w:val="20"/>
                <w:szCs w:val="20"/>
                <w:color w:val="auto"/>
              </w:rPr>
            </w:pPr>
            <w:r>
              <w:rPr>
                <w:rFonts w:ascii="Times New Roman" w:cs="Times New Roman" w:eastAsia="Times New Roman" w:hAnsi="Times New Roman"/>
                <w:sz w:val="11"/>
                <w:szCs w:val="11"/>
                <w:color w:val="auto"/>
              </w:rPr>
              <w:t>3.88</w:t>
            </w:r>
          </w:p>
        </w:tc>
      </w:tr>
      <w:tr>
        <w:trPr>
          <w:trHeight w:val="125"/>
        </w:trPr>
        <w:tc>
          <w:tcPr>
            <w:tcW w:w="512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Consumer Banking:</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18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784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1.00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1"/>
                <w:szCs w:val="11"/>
                <w:color w:val="auto"/>
              </w:rPr>
              <w:t>0.83</w:t>
            </w:r>
          </w:p>
        </w:tc>
      </w:tr>
      <w:tr>
        <w:trPr>
          <w:trHeight w:val="145"/>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4.24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1.82</w:t>
            </w:r>
          </w:p>
        </w:tc>
      </w:tr>
      <w:tr>
        <w:trPr>
          <w:trHeight w:val="132"/>
        </w:trPr>
        <w:tc>
          <w:tcPr>
            <w:tcW w:w="512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consumer banking</w:t>
            </w: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854</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jc w:val="right"/>
              <w:ind w:right="87"/>
              <w:spacing w:after="0" w:line="122" w:lineRule="exact"/>
              <w:rPr>
                <w:sz w:val="20"/>
                <w:szCs w:val="20"/>
                <w:color w:val="auto"/>
              </w:rPr>
            </w:pPr>
            <w:r>
              <w:rPr>
                <w:rFonts w:ascii="Times New Roman" w:cs="Times New Roman" w:eastAsia="Times New Roman" w:hAnsi="Times New Roman"/>
                <w:sz w:val="11"/>
                <w:szCs w:val="11"/>
                <w:b w:val="1"/>
                <w:bCs w:val="1"/>
                <w:color w:val="auto"/>
              </w:rPr>
              <w:t>1.06</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jc w:val="right"/>
              <w:ind w:right="66"/>
              <w:spacing w:after="0" w:line="121" w:lineRule="exact"/>
              <w:rPr>
                <w:sz w:val="20"/>
                <w:szCs w:val="20"/>
                <w:color w:val="auto"/>
              </w:rPr>
            </w:pPr>
            <w:r>
              <w:rPr>
                <w:rFonts w:ascii="Times New Roman" w:cs="Times New Roman" w:eastAsia="Times New Roman" w:hAnsi="Times New Roman"/>
                <w:sz w:val="11"/>
                <w:szCs w:val="11"/>
                <w:color w:val="auto"/>
              </w:rPr>
              <w:t>0.37</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40" w:type="dxa"/>
            <w:vAlign w:val="bottom"/>
            <w:tcBorders>
              <w:top w:val="single" w:sz="8" w:color="auto"/>
              <w:bottom w:val="single" w:sz="8" w:color="auto"/>
            </w:tcBorders>
          </w:tcPr>
          <w:p>
            <w:pPr>
              <w:spacing w:after="0"/>
              <w:rPr>
                <w:sz w:val="11"/>
                <w:szCs w:val="11"/>
                <w:color w:val="auto"/>
              </w:rPr>
            </w:pPr>
          </w:p>
        </w:tc>
        <w:tc>
          <w:tcPr>
            <w:tcW w:w="1020" w:type="dxa"/>
            <w:vAlign w:val="bottom"/>
            <w:tcBorders>
              <w:bottom w:val="single" w:sz="8" w:color="CCEEFF"/>
            </w:tcBorders>
            <w:gridSpan w:val="2"/>
          </w:tcPr>
          <w:p>
            <w:pPr>
              <w:ind w:left="700"/>
              <w:spacing w:after="0" w:line="121" w:lineRule="exact"/>
              <w:rPr>
                <w:sz w:val="20"/>
                <w:szCs w:val="20"/>
                <w:color w:val="auto"/>
              </w:rPr>
            </w:pPr>
            <w:r>
              <w:rPr>
                <w:rFonts w:ascii="Times New Roman" w:cs="Times New Roman" w:eastAsia="Times New Roman" w:hAnsi="Times New Roman"/>
                <w:sz w:val="11"/>
                <w:szCs w:val="11"/>
                <w:color w:val="auto"/>
              </w:rPr>
              <w:t>0.87</w:t>
            </w:r>
          </w:p>
        </w:tc>
      </w:tr>
      <w:tr>
        <w:trPr>
          <w:trHeight w:val="125"/>
        </w:trPr>
        <w:tc>
          <w:tcPr>
            <w:tcW w:w="512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Commercial Banking:</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180" w:type="dxa"/>
            <w:vAlign w:val="bottom"/>
          </w:tcPr>
          <w:p>
            <w:pPr>
              <w:spacing w:after="0"/>
              <w:rPr>
                <w:sz w:val="12"/>
                <w:szCs w:val="12"/>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0.03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1"/>
                <w:szCs w:val="11"/>
                <w:color w:val="auto"/>
              </w:rPr>
              <w:t>0.13</w:t>
            </w:r>
          </w:p>
        </w:tc>
      </w:tr>
      <w:tr>
        <w:trPr>
          <w:trHeight w:val="145"/>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0.13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7"/>
              </w:rPr>
              <w:t>(0.01)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0.73</w:t>
            </w:r>
          </w:p>
        </w:tc>
      </w:tr>
      <w:tr>
        <w:trPr>
          <w:trHeight w:val="132"/>
        </w:trPr>
        <w:tc>
          <w:tcPr>
            <w:tcW w:w="512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commercial banking</w:t>
            </w: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71</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80" w:type="dxa"/>
            <w:vAlign w:val="bottom"/>
            <w:tcBorders>
              <w:bottom w:val="single" w:sz="8" w:color="CCEEFF"/>
            </w:tcBorders>
          </w:tcPr>
          <w:p>
            <w:pPr>
              <w:jc w:val="right"/>
              <w:ind w:right="87"/>
              <w:spacing w:after="0" w:line="122" w:lineRule="exact"/>
              <w:rPr>
                <w:sz w:val="20"/>
                <w:szCs w:val="20"/>
                <w:color w:val="auto"/>
              </w:rPr>
            </w:pPr>
            <w:r>
              <w:rPr>
                <w:rFonts w:ascii="Times New Roman" w:cs="Times New Roman" w:eastAsia="Times New Roman" w:hAnsi="Times New Roman"/>
                <w:sz w:val="11"/>
                <w:szCs w:val="11"/>
                <w:b w:val="1"/>
                <w:bCs w:val="1"/>
                <w:color w:val="auto"/>
              </w:rPr>
              <w:t>0.08</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gridSpan w:val="2"/>
          </w:tcPr>
          <w:p>
            <w:pPr>
              <w:jc w:val="right"/>
              <w:ind w:right="200"/>
              <w:spacing w:after="0" w:line="12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40" w:type="dxa"/>
            <w:vAlign w:val="bottom"/>
            <w:tcBorders>
              <w:top w:val="single" w:sz="8" w:color="auto"/>
              <w:bottom w:val="single" w:sz="8" w:color="auto"/>
            </w:tcBorders>
          </w:tcPr>
          <w:p>
            <w:pPr>
              <w:spacing w:after="0"/>
              <w:rPr>
                <w:sz w:val="11"/>
                <w:szCs w:val="11"/>
                <w:color w:val="auto"/>
              </w:rPr>
            </w:pPr>
          </w:p>
        </w:tc>
        <w:tc>
          <w:tcPr>
            <w:tcW w:w="1020" w:type="dxa"/>
            <w:vAlign w:val="bottom"/>
            <w:tcBorders>
              <w:bottom w:val="single" w:sz="8" w:color="CCEEFF"/>
            </w:tcBorders>
            <w:gridSpan w:val="2"/>
          </w:tcPr>
          <w:p>
            <w:pPr>
              <w:ind w:left="700"/>
              <w:spacing w:after="0" w:line="121" w:lineRule="exact"/>
              <w:rPr>
                <w:sz w:val="20"/>
                <w:szCs w:val="20"/>
                <w:color w:val="auto"/>
              </w:rPr>
            </w:pPr>
            <w:r>
              <w:rPr>
                <w:rFonts w:ascii="Times New Roman" w:cs="Times New Roman" w:eastAsia="Times New Roman" w:hAnsi="Times New Roman"/>
                <w:sz w:val="11"/>
                <w:szCs w:val="11"/>
                <w:color w:val="auto"/>
              </w:rPr>
              <w:t>0.49</w:t>
            </w:r>
          </w:p>
        </w:tc>
      </w:tr>
      <w:tr>
        <w:trPr>
          <w:trHeight w:val="153"/>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net charge-offs</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3,973</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1.36</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2,234</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0.88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5,225</w:t>
            </w:r>
          </w:p>
        </w:tc>
        <w:tc>
          <w:tcPr>
            <w:tcW w:w="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2.06</w:t>
            </w:r>
          </w:p>
        </w:tc>
      </w:tr>
      <w:tr>
        <w:trPr>
          <w:trHeight w:val="139"/>
        </w:trPr>
        <w:tc>
          <w:tcPr>
            <w:tcW w:w="5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Average loans held for investment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292,238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252,730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253,335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6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Net charge-off (recovery) rates are calculated by dividing net charge-offs (recoveries) by average loans held for investment for the period for each loan category.</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Troubled Debt Restructurings</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As part of our loss mitigation efforts, we may provide short-term (one to twelve months) or long-term (greater than twelve months) modifications to a borrower experiencing financial difficulty to improve long-term collectability of the loan and to avoid the need for repossession or foreclosure of collateral.</w:t>
      </w:r>
    </w:p>
    <w:p>
      <w:pPr>
        <w:spacing w:after="0" w:line="75"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We consider the impact of all loan modifications, whether or not that modification is classified as a TDR, when estimating the credit quality of our loan portfolio and establishing allowance levels. For our Commercial Banking customers, loan modifications are also considered in the assignment of an internal risk rating.</w:t>
      </w:r>
    </w:p>
    <w:p>
      <w:pPr>
        <w:spacing w:after="0" w:line="75"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In our Credit Card business, the majority of our credit card loans modified as TDRs involve reducing the interest rate on the account and placing the customer on a fixed payment plan not exceeding 60 months. The effective interest rate on the loan immediately prior to the loan modification is used as the effective interest rate for purposes of measuring impairment using the present value of expected cash flows.</w:t>
      </w:r>
    </w:p>
    <w:p>
      <w:pPr>
        <w:spacing w:after="0" w:line="200" w:lineRule="exact"/>
        <w:rPr>
          <w:sz w:val="20"/>
          <w:szCs w:val="20"/>
          <w:color w:val="auto"/>
        </w:rPr>
      </w:pPr>
    </w:p>
    <w:p>
      <w:pPr>
        <w:spacing w:after="0" w:line="340"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89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the customer does not comply with the modified payment terms, then the credit card loan agreement may revert to its original payment terms, generally resulting in any loan outstanding being reflected in the appropriate delinquency category and charged off in accordance with our standard charge-off policy.</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our Consumer Banking business, the majority of our loans modified as TDRs receive an extension, an interest rate reduction, principal reduction, or a combination of these modifications. In addition, TDRs also occur in connection with bankruptcy of the borrower. In certain bankruptcy discharges, the loan is written down to the collateral value and the charged off amount is reported as principal reduction. Impairment is determined using the present value of expected cash flows or a collateral evaluation for certain auto loans where the collateral value is lower than the amortized cost.</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our Commercial Banking business, the majority of loans modified as TDRs receive an extension, with a portion of these loans receiving an interest rate reduction or a gross balance reduction. The impairment on modified commercial loans is generally determined based on the underlying collateral value.</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part of our response to the COVID-19 pandemic, we offered programs to accommodate customer hardship across our lines of business beginning in the first quarter of 2020. Our COVID-19 programs were designed to be short-term accommodations so that we could provide our customers with prompt relief. Also in response to the COVID-19 pandemic, additional guidance was issued by the Federal Banking Agencies and contained in the Coronavirus Aid, Relief, and Economic Security Act (“CARES Act”) which provided banking organizations with TDR relief for loan modifications to certain qualifying borrowers impacted by the COVID-19 pandemic.</w:t>
      </w:r>
    </w:p>
    <w:p>
      <w:pPr>
        <w:spacing w:after="0" w:line="8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While the majority of enrollments in our COVID-19 programs were short-term and would generally not have resulted in TDR classification under our existing policies, some of these modification would have been designated as TDRs without the relief provided by the additional guidance issued by the Federal Banking Agencies and contained in the CARES Act. Therefore, the expiry of the guidance in the CARES Act on January 1, 2022, along with our concurrent cessation in applying the additional guidance issued by the Federal Banking Agencies, drove an increase in reported TDRs for periods ending after December 31, 2021.</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Table 27 presents our amortized cost of loans modified in TDRs as of December 31, 2022 and 2021, which excludes loan modifications that do not meet the definition of a TDR.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27: Troubled Debt Restructurings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80" w:type="dxa"/>
            <w:vAlign w:val="bottom"/>
            <w:gridSpan w:val="4"/>
          </w:tcPr>
          <w:p>
            <w:pPr>
              <w:ind w:left="6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60" w:type="dxa"/>
            <w:vAlign w:val="bottom"/>
          </w:tcPr>
          <w:p>
            <w:pPr>
              <w:spacing w:after="0"/>
              <w:rPr>
                <w:sz w:val="10"/>
                <w:szCs w:val="10"/>
                <w:color w:val="auto"/>
              </w:rPr>
            </w:pPr>
          </w:p>
        </w:tc>
        <w:tc>
          <w:tcPr>
            <w:tcW w:w="2280" w:type="dxa"/>
            <w:vAlign w:val="bottom"/>
            <w:gridSpan w:val="3"/>
          </w:tcPr>
          <w:p>
            <w:pPr>
              <w:jc w:val="right"/>
              <w:ind w:right="823"/>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26"/>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millions)</w:t>
            </w: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6120" w:type="dxa"/>
            <w:vAlign w:val="bottom"/>
            <w:gridSpan w:val="2"/>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3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 of Total Modifications</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 of Total Modifications</w:t>
            </w:r>
          </w:p>
        </w:tc>
        <w:tc>
          <w:tcPr>
            <w:tcW w:w="0" w:type="dxa"/>
            <w:vAlign w:val="bottom"/>
          </w:tcPr>
          <w:p>
            <w:pPr>
              <w:spacing w:after="0"/>
              <w:rPr>
                <w:sz w:val="1"/>
                <w:szCs w:val="1"/>
                <w:color w:val="auto"/>
              </w:rPr>
            </w:pPr>
          </w:p>
        </w:tc>
      </w:tr>
      <w:tr>
        <w:trPr>
          <w:trHeight w:val="144"/>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Credit Card:</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Domestic credit card</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455</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17.0 %</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390</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23.8 %</w:t>
            </w:r>
          </w:p>
        </w:tc>
        <w:tc>
          <w:tcPr>
            <w:tcW w:w="0" w:type="dxa"/>
            <w:vAlign w:val="bottom"/>
          </w:tcPr>
          <w:p>
            <w:pPr>
              <w:spacing w:after="0"/>
              <w:rPr>
                <w:sz w:val="1"/>
                <w:szCs w:val="1"/>
                <w:color w:val="auto"/>
              </w:rPr>
            </w:pPr>
          </w:p>
        </w:tc>
      </w:tr>
      <w:tr>
        <w:trPr>
          <w:trHeight w:val="153"/>
        </w:trPr>
        <w:tc>
          <w:tcPr>
            <w:tcW w:w="6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International card businesses</w:t>
            </w: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w:t>
            </w:r>
          </w:p>
        </w:tc>
        <w:tc>
          <w:tcPr>
            <w:tcW w:w="8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6.0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w:t>
            </w:r>
          </w:p>
        </w:tc>
        <w:tc>
          <w:tcPr>
            <w:tcW w:w="8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10.8</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Total credit card</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617</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23.0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567</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2"/>
                <w:szCs w:val="12"/>
                <w:color w:val="auto"/>
              </w:rPr>
              <w:t>34.6</w:t>
            </w:r>
          </w:p>
        </w:tc>
        <w:tc>
          <w:tcPr>
            <w:tcW w:w="0" w:type="dxa"/>
            <w:vAlign w:val="bottom"/>
          </w:tcPr>
          <w:p>
            <w:pPr>
              <w:spacing w:after="0"/>
              <w:rPr>
                <w:sz w:val="1"/>
                <w:szCs w:val="1"/>
                <w:color w:val="auto"/>
              </w:rPr>
            </w:pPr>
          </w:p>
        </w:tc>
      </w:tr>
      <w:tr>
        <w:trPr>
          <w:trHeight w:val="133"/>
        </w:trPr>
        <w:tc>
          <w:tcPr>
            <w:tcW w:w="61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Consumer banking:</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Auto</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1,093</w:t>
            </w:r>
          </w:p>
        </w:tc>
        <w:tc>
          <w:tcPr>
            <w:tcW w:w="80" w:type="dxa"/>
            <w:vAlign w:val="bottom"/>
          </w:tcPr>
          <w:p>
            <w:pPr>
              <w:spacing w:after="0"/>
              <w:rPr>
                <w:sz w:val="13"/>
                <w:szCs w:val="13"/>
                <w:color w:val="auto"/>
              </w:rPr>
            </w:pPr>
          </w:p>
        </w:tc>
        <w:tc>
          <w:tcPr>
            <w:tcW w:w="1300" w:type="dxa"/>
            <w:vAlign w:val="bottom"/>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40.7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603</w:t>
            </w:r>
          </w:p>
        </w:tc>
        <w:tc>
          <w:tcPr>
            <w:tcW w:w="80" w:type="dxa"/>
            <w:vAlign w:val="bottom"/>
          </w:tcPr>
          <w:p>
            <w:pPr>
              <w:spacing w:after="0"/>
              <w:rPr>
                <w:sz w:val="13"/>
                <w:szCs w:val="13"/>
                <w:color w:val="auto"/>
              </w:rPr>
            </w:pP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36.7</w:t>
            </w:r>
          </w:p>
        </w:tc>
        <w:tc>
          <w:tcPr>
            <w:tcW w:w="0" w:type="dxa"/>
            <w:vAlign w:val="bottom"/>
          </w:tcPr>
          <w:p>
            <w:pPr>
              <w:spacing w:after="0"/>
              <w:rPr>
                <w:sz w:val="1"/>
                <w:szCs w:val="1"/>
                <w:color w:val="auto"/>
              </w:rPr>
            </w:pPr>
          </w:p>
        </w:tc>
      </w:tr>
      <w:tr>
        <w:trPr>
          <w:trHeight w:val="153"/>
        </w:trPr>
        <w:tc>
          <w:tcPr>
            <w:tcW w:w="6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Retail banking</w:t>
            </w: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c>
          <w:tcPr>
            <w:tcW w:w="8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0.6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Total consumer banking</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1,109</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41.3</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616</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2"/>
                <w:szCs w:val="12"/>
                <w:color w:val="auto"/>
              </w:rPr>
              <w:t>37.5</w:t>
            </w:r>
          </w:p>
        </w:tc>
        <w:tc>
          <w:tcPr>
            <w:tcW w:w="0" w:type="dxa"/>
            <w:vAlign w:val="bottom"/>
          </w:tcPr>
          <w:p>
            <w:pPr>
              <w:spacing w:after="0"/>
              <w:rPr>
                <w:sz w:val="1"/>
                <w:szCs w:val="1"/>
                <w:color w:val="auto"/>
              </w:rPr>
            </w:pPr>
          </w:p>
        </w:tc>
      </w:tr>
      <w:tr>
        <w:trPr>
          <w:trHeight w:val="142"/>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Commercial banking</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959</w:t>
            </w:r>
          </w:p>
        </w:tc>
        <w:tc>
          <w:tcPr>
            <w:tcW w:w="80" w:type="dxa"/>
            <w:vAlign w:val="bottom"/>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35.7</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457</w:t>
            </w:r>
          </w:p>
        </w:tc>
        <w:tc>
          <w:tcPr>
            <w:tcW w:w="8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27.9</w:t>
            </w:r>
          </w:p>
        </w:tc>
        <w:tc>
          <w:tcPr>
            <w:tcW w:w="0" w:type="dxa"/>
            <w:vAlign w:val="bottom"/>
          </w:tcPr>
          <w:p>
            <w:pPr>
              <w:spacing w:after="0"/>
              <w:rPr>
                <w:sz w:val="1"/>
                <w:szCs w:val="1"/>
                <w:color w:val="auto"/>
              </w:rPr>
            </w:pPr>
          </w:p>
        </w:tc>
      </w:tr>
      <w:tr>
        <w:trPr>
          <w:trHeight w:val="158"/>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2,685</w:t>
            </w:r>
          </w:p>
        </w:tc>
        <w:tc>
          <w:tcPr>
            <w:tcW w:w="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1,640</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135"/>
        </w:trPr>
        <w:tc>
          <w:tcPr>
            <w:tcW w:w="6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Status of TDR:</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Performing</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2,109</w:t>
            </w:r>
          </w:p>
        </w:tc>
        <w:tc>
          <w:tcPr>
            <w:tcW w:w="80" w:type="dxa"/>
            <w:vAlign w:val="bottom"/>
          </w:tcPr>
          <w:p>
            <w:pPr>
              <w:spacing w:after="0"/>
              <w:rPr>
                <w:sz w:val="13"/>
                <w:szCs w:val="13"/>
                <w:color w:val="auto"/>
              </w:rPr>
            </w:pP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78.5%</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1,282</w:t>
            </w:r>
          </w:p>
        </w:tc>
        <w:tc>
          <w:tcPr>
            <w:tcW w:w="80" w:type="dxa"/>
            <w:vAlign w:val="bottom"/>
          </w:tcPr>
          <w:p>
            <w:pPr>
              <w:spacing w:after="0"/>
              <w:rPr>
                <w:sz w:val="13"/>
                <w:szCs w:val="13"/>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78.2%</w:t>
            </w:r>
          </w:p>
        </w:tc>
        <w:tc>
          <w:tcPr>
            <w:tcW w:w="0" w:type="dxa"/>
            <w:vAlign w:val="bottom"/>
          </w:tcPr>
          <w:p>
            <w:pPr>
              <w:spacing w:after="0"/>
              <w:rPr>
                <w:sz w:val="1"/>
                <w:szCs w:val="1"/>
                <w:color w:val="auto"/>
              </w:rPr>
            </w:pPr>
          </w:p>
        </w:tc>
      </w:tr>
      <w:tr>
        <w:trPr>
          <w:trHeight w:val="153"/>
        </w:trPr>
        <w:tc>
          <w:tcPr>
            <w:tcW w:w="6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Nonperforming</w:t>
            </w: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576</w:t>
            </w:r>
          </w:p>
        </w:tc>
        <w:tc>
          <w:tcPr>
            <w:tcW w:w="80" w:type="dxa"/>
            <w:vAlign w:val="bottom"/>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21.5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358</w:t>
            </w:r>
          </w:p>
        </w:tc>
        <w:tc>
          <w:tcPr>
            <w:tcW w:w="8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21.8</w:t>
            </w:r>
          </w:p>
        </w:tc>
        <w:tc>
          <w:tcPr>
            <w:tcW w:w="0" w:type="dxa"/>
            <w:vAlign w:val="bottom"/>
          </w:tcPr>
          <w:p>
            <w:pPr>
              <w:spacing w:after="0"/>
              <w:rPr>
                <w:sz w:val="1"/>
                <w:szCs w:val="1"/>
                <w:color w:val="auto"/>
              </w:rPr>
            </w:pPr>
          </w:p>
        </w:tc>
      </w:tr>
      <w:tr>
        <w:trPr>
          <w:trHeight w:val="142"/>
        </w:trPr>
        <w:tc>
          <w:tcPr>
            <w:tcW w:w="6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2,685</w:t>
            </w:r>
          </w:p>
        </w:tc>
        <w:tc>
          <w:tcPr>
            <w:tcW w:w="80" w:type="dxa"/>
            <w:vAlign w:val="bottom"/>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1,640</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provide additional information on modified loans accounted for as a TDR, including the performance of those loans subsequent to modification, in “Part II—Item 8. Financial Statements and Supplementary Data—Note 3—Loans.” We adopted Accounting Standard Update (“ASU”) No. 2022-02 as of January 1, 2023, which eliminates the accounting guidance for TDRs. See “Accounting Changes and Developments” for additional information on this accounting standard.</w:t>
      </w:r>
    </w:p>
    <w:p>
      <w:pPr>
        <w:spacing w:after="0" w:line="200" w:lineRule="exact"/>
        <w:rPr>
          <w:sz w:val="20"/>
          <w:szCs w:val="20"/>
          <w:color w:val="auto"/>
        </w:rPr>
      </w:pPr>
    </w:p>
    <w:p>
      <w:pPr>
        <w:spacing w:after="0" w:line="338"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90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91" w:name="page92"/>
    <w:bookmarkEnd w:id="91"/>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Allowance for Credit Losses and Reserve for Unfunded Lending Commitments</w:t>
      </w:r>
    </w:p>
    <w:p>
      <w:pPr>
        <w:spacing w:after="0" w:line="118"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Our allowance for credit losses represents management’s current estimate of expected credit losses over the contractual terms of our loans held for investment as of each balance sheet date. Expected recoveries of amounts previously charged off or expected to be charged off are recognized within the allowance. We also estimate expected credit losses related to unfunded lending commitments that are not unconditionally cancellable. The provision for losses on unfunded lending commitments is included in the provision for credit losses in our consolidated statements of income and the related reserve for unfunded lending commitments is included in other liabilities on our consolidated balance sheets. We provide additional information on the methodologies and key assumptions used in determining our allowance for credit losses in “Part II—Item 8. Financial Statements and Supplementary Data—Note 1—Summary of Significant Accounting Policies.”</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28 presents changes in our allowance for credit losses and reserve for unfunded lending commitments for 2022 and 2021, and details by portfolio segment for the provision for credit losses, charge-offs and recoveries.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28: Allowance for Credit Losses and Reserve for Unfunded Lending Commitments Activity</w:t>
      </w:r>
    </w:p>
    <w:p>
      <w:pPr>
        <w:spacing w:after="0" w:line="255" w:lineRule="exact"/>
        <w:rPr>
          <w:sz w:val="20"/>
          <w:szCs w:val="20"/>
          <w:color w:val="auto"/>
        </w:rPr>
      </w:pPr>
    </w:p>
    <w:tbl>
      <w:tblPr>
        <w:tblLayout w:type="fixed"/>
        <w:tblInd w:w="8" w:type="dxa"/>
        <w:tblCellMar>
          <w:top w:w="0" w:type="dxa"/>
          <w:left w:w="0" w:type="dxa"/>
          <w:bottom w:w="0" w:type="dxa"/>
          <w:right w:w="0" w:type="dxa"/>
        </w:tblCellMar>
      </w:tblPr>
      <w:tr>
        <w:trPr>
          <w:trHeight w:val="108"/>
        </w:trPr>
        <w:tc>
          <w:tcPr>
            <w:tcW w:w="4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5"/>
              </w:rPr>
              <w:t>Credit Card</w:t>
            </w: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w w:val="93"/>
              </w:rPr>
              <w:t>Consumer Banking</w:t>
            </w: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8"/>
                <w:szCs w:val="8"/>
                <w:i w:val="1"/>
                <w:iCs w:val="1"/>
                <w:color w:val="auto"/>
              </w:rPr>
              <w:t>(Dollars in millions)</w:t>
            </w:r>
          </w:p>
        </w:tc>
        <w:tc>
          <w:tcPr>
            <w:tcW w:w="80" w:type="dxa"/>
            <w:vAlign w:val="bottom"/>
          </w:tcPr>
          <w:p>
            <w:pPr>
              <w:spacing w:after="0"/>
              <w:rPr>
                <w:sz w:val="6"/>
                <w:szCs w:val="6"/>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Domestic Card</w:t>
            </w:r>
          </w:p>
        </w:tc>
        <w:tc>
          <w:tcPr>
            <w:tcW w:w="120" w:type="dxa"/>
            <w:vAlign w:val="bottom"/>
          </w:tcPr>
          <w:p>
            <w:pPr>
              <w:spacing w:after="0"/>
              <w:rPr>
                <w:sz w:val="6"/>
                <w:szCs w:val="6"/>
                <w:color w:val="auto"/>
              </w:rPr>
            </w:pPr>
          </w:p>
        </w:tc>
        <w:tc>
          <w:tcPr>
            <w:tcW w:w="920" w:type="dxa"/>
            <w:vAlign w:val="bottom"/>
            <w:gridSpan w:val="2"/>
          </w:tcPr>
          <w:p>
            <w:pPr>
              <w:jc w:val="center"/>
              <w:ind w:right="200"/>
              <w:spacing w:after="0" w:line="79" w:lineRule="exact"/>
              <w:rPr>
                <w:sz w:val="20"/>
                <w:szCs w:val="20"/>
                <w:color w:val="auto"/>
              </w:rPr>
            </w:pPr>
            <w:r>
              <w:rPr>
                <w:rFonts w:ascii="Times New Roman" w:cs="Times New Roman" w:eastAsia="Times New Roman" w:hAnsi="Times New Roman"/>
                <w:sz w:val="8"/>
                <w:szCs w:val="8"/>
                <w:b w:val="1"/>
                <w:bCs w:val="1"/>
                <w:color w:val="auto"/>
                <w:w w:val="98"/>
              </w:rPr>
              <w:t>International Card</w:t>
            </w:r>
          </w:p>
        </w:tc>
        <w:tc>
          <w:tcPr>
            <w:tcW w:w="60" w:type="dxa"/>
            <w:vAlign w:val="bottom"/>
          </w:tcPr>
          <w:p>
            <w:pPr>
              <w:spacing w:after="0"/>
              <w:rPr>
                <w:sz w:val="6"/>
                <w:szCs w:val="6"/>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Total Credit Card</w:t>
            </w:r>
          </w:p>
        </w:tc>
        <w:tc>
          <w:tcPr>
            <w:tcW w:w="140" w:type="dxa"/>
            <w:vAlign w:val="bottom"/>
          </w:tcPr>
          <w:p>
            <w:pPr>
              <w:spacing w:after="0"/>
              <w:rPr>
                <w:sz w:val="6"/>
                <w:szCs w:val="6"/>
                <w:color w:val="auto"/>
              </w:rPr>
            </w:pP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Auto</w:t>
            </w:r>
          </w:p>
        </w:tc>
        <w:tc>
          <w:tcPr>
            <w:tcW w:w="80" w:type="dxa"/>
            <w:vAlign w:val="bottom"/>
          </w:tcPr>
          <w:p>
            <w:pPr>
              <w:spacing w:after="0"/>
              <w:rPr>
                <w:sz w:val="6"/>
                <w:szCs w:val="6"/>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Retail Banking</w:t>
            </w:r>
          </w:p>
        </w:tc>
        <w:tc>
          <w:tcPr>
            <w:tcW w:w="100" w:type="dxa"/>
            <w:vAlign w:val="bottom"/>
          </w:tcPr>
          <w:p>
            <w:pPr>
              <w:spacing w:after="0"/>
              <w:rPr>
                <w:sz w:val="6"/>
                <w:szCs w:val="6"/>
                <w:color w:val="auto"/>
              </w:rPr>
            </w:pPr>
          </w:p>
        </w:tc>
        <w:tc>
          <w:tcPr>
            <w:tcW w:w="820" w:type="dxa"/>
            <w:vAlign w:val="bottom"/>
            <w:gridSpan w:val="2"/>
          </w:tcPr>
          <w:p>
            <w:pPr>
              <w:jc w:val="center"/>
              <w:ind w:right="200"/>
              <w:spacing w:after="0" w:line="79" w:lineRule="exact"/>
              <w:rPr>
                <w:sz w:val="20"/>
                <w:szCs w:val="20"/>
                <w:color w:val="auto"/>
              </w:rPr>
            </w:pPr>
            <w:r>
              <w:rPr>
                <w:rFonts w:ascii="Times New Roman" w:cs="Times New Roman" w:eastAsia="Times New Roman" w:hAnsi="Times New Roman"/>
                <w:sz w:val="8"/>
                <w:szCs w:val="8"/>
                <w:b w:val="1"/>
                <w:bCs w:val="1"/>
                <w:color w:val="auto"/>
                <w:w w:val="96"/>
              </w:rPr>
              <w:t>Total Consumer</w:t>
            </w:r>
          </w:p>
        </w:tc>
        <w:tc>
          <w:tcPr>
            <w:tcW w:w="80" w:type="dxa"/>
            <w:vAlign w:val="bottom"/>
          </w:tcPr>
          <w:p>
            <w:pPr>
              <w:spacing w:after="0"/>
              <w:rPr>
                <w:sz w:val="6"/>
                <w:szCs w:val="6"/>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Commercial Banking</w:t>
            </w:r>
          </w:p>
        </w:tc>
        <w:tc>
          <w:tcPr>
            <w:tcW w:w="160" w:type="dxa"/>
            <w:vAlign w:val="bottom"/>
          </w:tcPr>
          <w:p>
            <w:pPr>
              <w:spacing w:after="0"/>
              <w:rPr>
                <w:sz w:val="6"/>
                <w:szCs w:val="6"/>
                <w:color w:val="auto"/>
              </w:rPr>
            </w:pPr>
          </w:p>
        </w:tc>
        <w:tc>
          <w:tcPr>
            <w:tcW w:w="540" w:type="dxa"/>
            <w:vAlign w:val="bottom"/>
            <w:vMerge w:val="restart"/>
          </w:tcPr>
          <w:p>
            <w:pPr>
              <w:jc w:val="right"/>
              <w:ind w:right="212"/>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104"/>
        </w:trPr>
        <w:tc>
          <w:tcPr>
            <w:tcW w:w="46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9"/>
              </w:rPr>
              <w:t>Businesses</w:t>
            </w: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w w:val="96"/>
              </w:rPr>
              <w:t>Banking</w:t>
            </w: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Allowance for credit losses:</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Balance as of December 31, 2020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10,650</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541</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2,615</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1,658</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15,564</w:t>
            </w:r>
          </w:p>
        </w:tc>
        <w:tc>
          <w:tcPr>
            <w:tcW w:w="0" w:type="dxa"/>
            <w:vAlign w:val="bottom"/>
          </w:tcPr>
          <w:p>
            <w:pPr>
              <w:spacing w:after="0"/>
              <w:rPr>
                <w:sz w:val="1"/>
                <w:szCs w:val="1"/>
                <w:color w:val="auto"/>
              </w:rPr>
            </w:pPr>
          </w:p>
        </w:tc>
      </w:tr>
      <w:tr>
        <w:trPr>
          <w:trHeight w:val="141"/>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Charge-offs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(4,740)</w:t>
            </w:r>
          </w:p>
        </w:tc>
        <w:tc>
          <w:tcPr>
            <w:tcW w:w="0" w:type="dxa"/>
            <w:vAlign w:val="bottom"/>
          </w:tcPr>
          <w:p>
            <w:pPr>
              <w:spacing w:after="0"/>
              <w:rPr>
                <w:sz w:val="1"/>
                <w:szCs w:val="1"/>
                <w:color w:val="auto"/>
              </w:rPr>
            </w:pPr>
          </w:p>
        </w:tc>
      </w:tr>
      <w:tr>
        <w:trPr>
          <w:trHeight w:val="135"/>
        </w:trPr>
        <w:tc>
          <w:tcPr>
            <w:tcW w:w="460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0"/>
                <w:szCs w:val="10"/>
                <w:color w:val="auto"/>
              </w:rPr>
              <w:t>Recoveries</w:t>
            </w:r>
            <w:r>
              <w:rPr>
                <w:rFonts w:ascii="Times New Roman" w:cs="Times New Roman" w:eastAsia="Times New Roman" w:hAnsi="Times New Roman"/>
                <w:sz w:val="12"/>
                <w:szCs w:val="12"/>
                <w:color w:val="auto"/>
                <w:vertAlign w:val="superscript"/>
              </w:rPr>
              <w:t>(1)</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1,318</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207</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1,525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2,506</w:t>
            </w:r>
          </w:p>
        </w:tc>
        <w:tc>
          <w:tcPr>
            <w:tcW w:w="0" w:type="dxa"/>
            <w:vAlign w:val="bottom"/>
          </w:tcPr>
          <w:p>
            <w:pPr>
              <w:spacing w:after="0"/>
              <w:rPr>
                <w:sz w:val="1"/>
                <w:szCs w:val="1"/>
                <w:color w:val="auto"/>
              </w:rPr>
            </w:pPr>
          </w:p>
        </w:tc>
      </w:tr>
      <w:tr>
        <w:trPr>
          <w:trHeight w:val="124"/>
        </w:trPr>
        <w:tc>
          <w:tcPr>
            <w:tcW w:w="460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Net charge-offs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(2,234)</w:t>
            </w:r>
          </w:p>
        </w:tc>
        <w:tc>
          <w:tcPr>
            <w:tcW w:w="0" w:type="dxa"/>
            <w:vAlign w:val="bottom"/>
          </w:tcPr>
          <w:p>
            <w:pPr>
              <w:spacing w:after="0"/>
              <w:rPr>
                <w:sz w:val="1"/>
                <w:szCs w:val="1"/>
                <w:color w:val="auto"/>
              </w:rPr>
            </w:pPr>
          </w:p>
        </w:tc>
      </w:tr>
      <w:tr>
        <w:trPr>
          <w:trHeight w:val="129"/>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color w:val="auto"/>
              </w:rPr>
              <w:t>Provision (benefit) for credit losses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(868)</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(902)</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(563)</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(1,912)</w:t>
            </w:r>
          </w:p>
        </w:tc>
        <w:tc>
          <w:tcPr>
            <w:tcW w:w="0" w:type="dxa"/>
            <w:vAlign w:val="bottom"/>
          </w:tcPr>
          <w:p>
            <w:pPr>
              <w:spacing w:after="0"/>
              <w:rPr>
                <w:sz w:val="1"/>
                <w:szCs w:val="1"/>
                <w:color w:val="auto"/>
              </w:rPr>
            </w:pPr>
          </w:p>
        </w:tc>
      </w:tr>
      <w:tr>
        <w:trPr>
          <w:trHeight w:val="130"/>
        </w:trPr>
        <w:tc>
          <w:tcPr>
            <w:tcW w:w="460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Allowance build (release) for credit losses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(4,146)</w:t>
            </w: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color w:val="auto"/>
              </w:rPr>
              <w:t>Other changes</w:t>
            </w:r>
            <w:r>
              <w:rPr>
                <w:rFonts w:ascii="Times New Roman" w:cs="Times New Roman" w:eastAsia="Times New Roman" w:hAnsi="Times New Roman"/>
                <w:sz w:val="12"/>
                <w:szCs w:val="12"/>
                <w:color w:val="auto"/>
                <w:vertAlign w:val="superscript"/>
              </w:rPr>
              <w:t>(2)</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24"/>
        </w:trPr>
        <w:tc>
          <w:tcPr>
            <w:tcW w:w="4600" w:type="dxa"/>
            <w:vAlign w:val="bottom"/>
            <w:tcBorders>
              <w:top w:val="single" w:sz="8" w:color="CCEEFF"/>
            </w:tcBorders>
            <w:gridSpan w:val="2"/>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Balance as of December 31, 2021</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7,968</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377</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8,345</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1,852</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1,167</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11,430</w:t>
            </w:r>
          </w:p>
        </w:tc>
        <w:tc>
          <w:tcPr>
            <w:tcW w:w="0" w:type="dxa"/>
            <w:vAlign w:val="bottom"/>
          </w:tcPr>
          <w:p>
            <w:pPr>
              <w:spacing w:after="0"/>
              <w:rPr>
                <w:sz w:val="1"/>
                <w:szCs w:val="1"/>
                <w:color w:val="auto"/>
              </w:rPr>
            </w:pPr>
          </w:p>
        </w:tc>
      </w:tr>
      <w:tr>
        <w:trPr>
          <w:trHeight w:val="110"/>
        </w:trPr>
        <w:tc>
          <w:tcPr>
            <w:tcW w:w="46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Reserve for unfunded lending commitments: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as of December 31, 2020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w:t>
            </w:r>
          </w:p>
        </w:tc>
        <w:tc>
          <w:tcPr>
            <w:tcW w:w="0" w:type="dxa"/>
            <w:vAlign w:val="bottom"/>
          </w:tcPr>
          <w:p>
            <w:pPr>
              <w:spacing w:after="0"/>
              <w:rPr>
                <w:sz w:val="1"/>
                <w:szCs w:val="1"/>
                <w:color w:val="auto"/>
              </w:rPr>
            </w:pPr>
          </w:p>
        </w:tc>
      </w:tr>
      <w:tr>
        <w:trPr>
          <w:trHeight w:val="129"/>
        </w:trPr>
        <w:tc>
          <w:tcPr>
            <w:tcW w:w="4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Provision (benefit) for losses on unfunded lending commitments</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0" w:type="dxa"/>
            <w:vAlign w:val="bottom"/>
          </w:tcPr>
          <w:p>
            <w:pPr>
              <w:spacing w:after="0"/>
              <w:rPr>
                <w:sz w:val="1"/>
                <w:szCs w:val="1"/>
                <w:color w:val="auto"/>
              </w:rPr>
            </w:pPr>
          </w:p>
        </w:tc>
      </w:tr>
      <w:tr>
        <w:trPr>
          <w:trHeight w:val="124"/>
        </w:trPr>
        <w:tc>
          <w:tcPr>
            <w:tcW w:w="46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Balance as of December 31, 2021</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0" w:type="dxa"/>
            <w:vAlign w:val="bottom"/>
          </w:tcPr>
          <w:p>
            <w:pPr>
              <w:spacing w:after="0"/>
              <w:rPr>
                <w:sz w:val="1"/>
                <w:szCs w:val="1"/>
                <w:color w:val="auto"/>
              </w:rPr>
            </w:pPr>
          </w:p>
        </w:tc>
      </w:tr>
      <w:tr>
        <w:trPr>
          <w:trHeight w:val="146"/>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Combined allowance and reserve as of December 31, 2021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7,968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377</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8,345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1,852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1,332</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11,595</w:t>
            </w:r>
          </w:p>
        </w:tc>
        <w:tc>
          <w:tcPr>
            <w:tcW w:w="0" w:type="dxa"/>
            <w:vAlign w:val="bottom"/>
          </w:tcPr>
          <w:p>
            <w:pPr>
              <w:spacing w:after="0"/>
              <w:rPr>
                <w:sz w:val="1"/>
                <w:szCs w:val="1"/>
                <w:color w:val="auto"/>
              </w:rPr>
            </w:pPr>
          </w:p>
        </w:tc>
      </w:tr>
      <w:tr>
        <w:trPr>
          <w:trHeight w:val="117"/>
        </w:trPr>
        <w:tc>
          <w:tcPr>
            <w:tcW w:w="46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Allowance for credit losses: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Balance as of December 31, 2021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7,968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8,345</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1,918</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1,167</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11,430</w:t>
            </w:r>
          </w:p>
        </w:tc>
        <w:tc>
          <w:tcPr>
            <w:tcW w:w="0" w:type="dxa"/>
            <w:vAlign w:val="bottom"/>
          </w:tcPr>
          <w:p>
            <w:pPr>
              <w:spacing w:after="0"/>
              <w:rPr>
                <w:sz w:val="1"/>
                <w:szCs w:val="1"/>
                <w:color w:val="auto"/>
              </w:rPr>
            </w:pPr>
          </w:p>
        </w:tc>
      </w:tr>
      <w:tr>
        <w:trPr>
          <w:trHeight w:val="141"/>
        </w:trPr>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Charge-offs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(4,004)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(4,362)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(6,064)</w:t>
            </w:r>
          </w:p>
        </w:tc>
        <w:tc>
          <w:tcPr>
            <w:tcW w:w="0" w:type="dxa"/>
            <w:vAlign w:val="bottom"/>
          </w:tcPr>
          <w:p>
            <w:pPr>
              <w:spacing w:after="0"/>
              <w:rPr>
                <w:sz w:val="1"/>
                <w:szCs w:val="1"/>
                <w:color w:val="auto"/>
              </w:rPr>
            </w:pPr>
          </w:p>
        </w:tc>
      </w:tr>
      <w:tr>
        <w:trPr>
          <w:trHeight w:val="135"/>
        </w:trPr>
        <w:tc>
          <w:tcPr>
            <w:tcW w:w="460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0"/>
                <w:szCs w:val="10"/>
                <w:color w:val="auto"/>
              </w:rPr>
              <w:t>Recoveries</w:t>
            </w:r>
            <w:r>
              <w:rPr>
                <w:rFonts w:ascii="Times New Roman" w:cs="Times New Roman" w:eastAsia="Times New Roman" w:hAnsi="Times New Roman"/>
                <w:sz w:val="12"/>
                <w:szCs w:val="12"/>
                <w:color w:val="auto"/>
                <w:vertAlign w:val="superscript"/>
              </w:rPr>
              <w:t>(1)</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1,171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143</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1,314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741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760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17</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2,091</w:t>
            </w:r>
          </w:p>
        </w:tc>
        <w:tc>
          <w:tcPr>
            <w:tcW w:w="0" w:type="dxa"/>
            <w:vAlign w:val="bottom"/>
          </w:tcPr>
          <w:p>
            <w:pPr>
              <w:spacing w:after="0"/>
              <w:rPr>
                <w:sz w:val="1"/>
                <w:szCs w:val="1"/>
                <w:color w:val="auto"/>
              </w:rPr>
            </w:pPr>
          </w:p>
        </w:tc>
      </w:tr>
      <w:tr>
        <w:trPr>
          <w:trHeight w:val="124"/>
        </w:trPr>
        <w:tc>
          <w:tcPr>
            <w:tcW w:w="460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Net charge-offs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(2,833)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(3,048)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(784)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(854)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(3,973)</w:t>
            </w:r>
          </w:p>
        </w:tc>
        <w:tc>
          <w:tcPr>
            <w:tcW w:w="0" w:type="dxa"/>
            <w:vAlign w:val="bottom"/>
          </w:tcPr>
          <w:p>
            <w:pPr>
              <w:spacing w:after="0"/>
              <w:rPr>
                <w:sz w:val="1"/>
                <w:szCs w:val="1"/>
                <w:color w:val="auto"/>
              </w:rPr>
            </w:pPr>
          </w:p>
        </w:tc>
      </w:tr>
      <w:tr>
        <w:trPr>
          <w:trHeight w:val="130"/>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4,020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245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4,265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1,119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54</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1,173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362</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5,800</w:t>
            </w:r>
          </w:p>
        </w:tc>
        <w:tc>
          <w:tcPr>
            <w:tcW w:w="0" w:type="dxa"/>
            <w:vAlign w:val="bottom"/>
          </w:tcPr>
          <w:p>
            <w:pPr>
              <w:spacing w:after="0"/>
              <w:rPr>
                <w:sz w:val="1"/>
                <w:szCs w:val="1"/>
                <w:color w:val="auto"/>
              </w:rPr>
            </w:pPr>
          </w:p>
        </w:tc>
      </w:tr>
      <w:tr>
        <w:trPr>
          <w:trHeight w:val="129"/>
        </w:trPr>
        <w:tc>
          <w:tcPr>
            <w:tcW w:w="46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Allowance build (release) for credit losses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1,187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1,217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319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291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1,827</w:t>
            </w:r>
          </w:p>
        </w:tc>
        <w:tc>
          <w:tcPr>
            <w:tcW w:w="0" w:type="dxa"/>
            <w:vAlign w:val="bottom"/>
          </w:tcPr>
          <w:p>
            <w:pPr>
              <w:spacing w:after="0"/>
              <w:rPr>
                <w:sz w:val="1"/>
                <w:szCs w:val="1"/>
                <w:color w:val="auto"/>
              </w:rPr>
            </w:pPr>
          </w:p>
        </w:tc>
      </w:tr>
      <w:tr>
        <w:trPr>
          <w:trHeight w:val="135"/>
        </w:trPr>
        <w:tc>
          <w:tcPr>
            <w:tcW w:w="460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color w:val="auto"/>
              </w:rPr>
              <w:t>Other changes</w:t>
            </w:r>
            <w:r>
              <w:rPr>
                <w:rFonts w:ascii="Times New Roman" w:cs="Times New Roman" w:eastAsia="Times New Roman" w:hAnsi="Times New Roman"/>
                <w:sz w:val="12"/>
                <w:szCs w:val="12"/>
                <w:color w:val="auto"/>
                <w:vertAlign w:val="superscript"/>
              </w:rPr>
              <w:t>(2)</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(17)</w:t>
            </w:r>
          </w:p>
        </w:tc>
        <w:tc>
          <w:tcPr>
            <w:tcW w:w="0" w:type="dxa"/>
            <w:vAlign w:val="bottom"/>
          </w:tcPr>
          <w:p>
            <w:pPr>
              <w:spacing w:after="0"/>
              <w:rPr>
                <w:sz w:val="1"/>
                <w:szCs w:val="1"/>
                <w:color w:val="auto"/>
              </w:rPr>
            </w:pPr>
          </w:p>
        </w:tc>
      </w:tr>
      <w:tr>
        <w:trPr>
          <w:trHeight w:val="124"/>
        </w:trPr>
        <w:tc>
          <w:tcPr>
            <w:tcW w:w="4600" w:type="dxa"/>
            <w:vAlign w:val="bottom"/>
            <w:tcBorders>
              <w:top w:val="single" w:sz="8" w:color="CCEEFF"/>
            </w:tcBorders>
            <w:gridSpan w:val="2"/>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Balance as of December 31, 2022</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9,165</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380</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9,545</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2,187</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50</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2,237</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1,458</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13,240</w:t>
            </w:r>
          </w:p>
        </w:tc>
        <w:tc>
          <w:tcPr>
            <w:tcW w:w="0" w:type="dxa"/>
            <w:vAlign w:val="bottom"/>
          </w:tcPr>
          <w:p>
            <w:pPr>
              <w:spacing w:after="0"/>
              <w:rPr>
                <w:sz w:val="1"/>
                <w:szCs w:val="1"/>
                <w:color w:val="auto"/>
              </w:rPr>
            </w:pPr>
          </w:p>
        </w:tc>
      </w:tr>
      <w:tr>
        <w:trPr>
          <w:trHeight w:val="110"/>
        </w:trPr>
        <w:tc>
          <w:tcPr>
            <w:tcW w:w="46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Reserve for unfunded lending commitments: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as of December 31, 2021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0" w:type="dxa"/>
            <w:vAlign w:val="bottom"/>
          </w:tcPr>
          <w:p>
            <w:pPr>
              <w:spacing w:after="0"/>
              <w:rPr>
                <w:sz w:val="1"/>
                <w:szCs w:val="1"/>
                <w:color w:val="auto"/>
              </w:rPr>
            </w:pPr>
          </w:p>
        </w:tc>
      </w:tr>
      <w:tr>
        <w:trPr>
          <w:trHeight w:val="130"/>
        </w:trPr>
        <w:tc>
          <w:tcPr>
            <w:tcW w:w="4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Provision for losses on unfunded lending commitments</w:t>
            </w: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53</w:t>
            </w:r>
          </w:p>
        </w:tc>
        <w:tc>
          <w:tcPr>
            <w:tcW w:w="0" w:type="dxa"/>
            <w:vAlign w:val="bottom"/>
          </w:tcPr>
          <w:p>
            <w:pPr>
              <w:spacing w:after="0"/>
              <w:rPr>
                <w:sz w:val="1"/>
                <w:szCs w:val="1"/>
                <w:color w:val="auto"/>
              </w:rPr>
            </w:pPr>
          </w:p>
        </w:tc>
      </w:tr>
      <w:tr>
        <w:trPr>
          <w:trHeight w:val="124"/>
        </w:trPr>
        <w:tc>
          <w:tcPr>
            <w:tcW w:w="4600" w:type="dxa"/>
            <w:vAlign w:val="bottom"/>
            <w:tcBorders>
              <w:top w:val="single" w:sz="8" w:color="CCEEFF"/>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Balance as of December 31, 2022</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218</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218</w:t>
            </w:r>
          </w:p>
        </w:tc>
        <w:tc>
          <w:tcPr>
            <w:tcW w:w="0" w:type="dxa"/>
            <w:vAlign w:val="bottom"/>
          </w:tcPr>
          <w:p>
            <w:pPr>
              <w:spacing w:after="0"/>
              <w:rPr>
                <w:sz w:val="1"/>
                <w:szCs w:val="1"/>
                <w:color w:val="auto"/>
              </w:rPr>
            </w:pPr>
          </w:p>
        </w:tc>
      </w:tr>
      <w:tr>
        <w:trPr>
          <w:trHeight w:val="129"/>
        </w:trPr>
        <w:tc>
          <w:tcPr>
            <w:tcW w:w="4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Combined allowance and reserve as of December 31, 2022</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9,165</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380</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9,545</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2,187</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50</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2,237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1,676</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13,458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110" w:lineRule="exact"/>
        <w:rPr>
          <w:sz w:val="20"/>
          <w:szCs w:val="20"/>
          <w:color w:val="auto"/>
        </w:rPr>
      </w:pPr>
    </w:p>
    <w:p>
      <w:pPr>
        <w:ind w:left="208" w:right="20" w:hanging="208"/>
        <w:spacing w:after="0" w:line="228" w:lineRule="auto"/>
        <w:tabs>
          <w:tab w:leader="none" w:pos="200" w:val="left"/>
        </w:tabs>
        <w:numPr>
          <w:ilvl w:val="0"/>
          <w:numId w:val="6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 and timing of recoveries are impacted by our collection strategies, which are based on customer behavior and risk profile and include direct customer communications, repossession of collateral, the periodic sale of charged off loans as well as additional strategies, such as litigation.</w:t>
      </w:r>
    </w:p>
    <w:p>
      <w:pPr>
        <w:spacing w:after="0" w:line="20"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61"/>
        </w:numPr>
        <w:rPr>
          <w:rFonts w:ascii="Times New Roman" w:cs="Times New Roman" w:eastAsia="Times New Roman" w:hAnsi="Times New Roman"/>
          <w:sz w:val="5"/>
          <w:szCs w:val="5"/>
          <w:color w:val="auto"/>
        </w:rPr>
      </w:pPr>
      <w:r>
        <w:rPr>
          <w:rFonts w:ascii="Times New Roman" w:cs="Times New Roman" w:eastAsia="Times New Roman" w:hAnsi="Times New Roman"/>
          <w:sz w:val="8"/>
          <w:szCs w:val="8"/>
          <w:color w:val="auto"/>
        </w:rPr>
        <w:t>Primarily represents foreign currency translation adjustments and the initial allowance for purchased credit-deteriorated loans. The initial allowance for purchased credit-deteriorated loans was $10 million and $6 million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91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92" w:name="page93"/>
    <w:bookmarkEnd w:id="9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Allowance coverage ratios are calculated based on the allowance for credit losses for each specified portfolio segment divided by period-end loans held for investment within the specified loan category, as defined below. Table 29 presents the allowance coverage ratios as of December 31, 2022 and 2021.</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29: Allowance Coverage Ratios for Specified Loan Category</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980" w:type="dxa"/>
            <w:vAlign w:val="bottom"/>
            <w:gridSpan w:val="2"/>
          </w:tcPr>
          <w:p>
            <w:pPr>
              <w:jc w:val="right"/>
              <w:ind w:right="7"/>
              <w:spacing w:after="0" w:line="89" w:lineRule="exact"/>
              <w:rPr>
                <w:sz w:val="20"/>
                <w:szCs w:val="20"/>
                <w:color w:val="auto"/>
              </w:rPr>
            </w:pPr>
            <w:r>
              <w:rPr>
                <w:rFonts w:ascii="Times New Roman" w:cs="Times New Roman" w:eastAsia="Times New Roman" w:hAnsi="Times New Roman"/>
                <w:sz w:val="10"/>
                <w:szCs w:val="10"/>
                <w:b w:val="1"/>
                <w:bCs w:val="1"/>
                <w:color w:val="auto"/>
                <w:w w:val="99"/>
              </w:rPr>
              <w:t>Allowance for Credit</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Amount</w:t>
            </w:r>
            <w:r>
              <w:rPr>
                <w:rFonts w:ascii="Times New Roman" w:cs="Times New Roman" w:eastAsia="Times New Roman" w:hAnsi="Times New Roman"/>
                <w:sz w:val="6"/>
                <w:szCs w:val="6"/>
                <w:b w:val="1"/>
                <w:bCs w:val="1"/>
                <w:color w:val="auto"/>
              </w:rPr>
              <w:t>(1)</w:t>
            </w:r>
          </w:p>
        </w:tc>
        <w:tc>
          <w:tcPr>
            <w:tcW w:w="108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5"/>
              </w:rPr>
              <w:t>Allowance Coverage</w:t>
            </w:r>
          </w:p>
        </w:tc>
        <w:tc>
          <w:tcPr>
            <w:tcW w:w="80" w:type="dxa"/>
            <w:vAlign w:val="bottom"/>
          </w:tcPr>
          <w:p>
            <w:pPr>
              <w:spacing w:after="0"/>
              <w:rPr>
                <w:sz w:val="7"/>
                <w:szCs w:val="7"/>
                <w:color w:val="auto"/>
              </w:rPr>
            </w:pPr>
          </w:p>
        </w:tc>
        <w:tc>
          <w:tcPr>
            <w:tcW w:w="980" w:type="dxa"/>
            <w:vAlign w:val="bottom"/>
            <w:gridSpan w:val="2"/>
          </w:tcPr>
          <w:p>
            <w:pPr>
              <w:jc w:val="right"/>
              <w:ind w:right="7"/>
              <w:spacing w:after="0" w:line="89" w:lineRule="exact"/>
              <w:rPr>
                <w:sz w:val="20"/>
                <w:szCs w:val="20"/>
                <w:color w:val="auto"/>
              </w:rPr>
            </w:pPr>
            <w:r>
              <w:rPr>
                <w:rFonts w:ascii="Times New Roman" w:cs="Times New Roman" w:eastAsia="Times New Roman" w:hAnsi="Times New Roman"/>
                <w:sz w:val="10"/>
                <w:szCs w:val="10"/>
                <w:b w:val="1"/>
                <w:bCs w:val="1"/>
                <w:color w:val="auto"/>
                <w:w w:val="99"/>
              </w:rPr>
              <w:t>Allowance for Credit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Amount</w:t>
            </w:r>
            <w:r>
              <w:rPr>
                <w:rFonts w:ascii="Times New Roman" w:cs="Times New Roman" w:eastAsia="Times New Roman" w:hAnsi="Times New Roman"/>
                <w:sz w:val="6"/>
                <w:szCs w:val="6"/>
                <w:b w:val="1"/>
                <w:bCs w:val="1"/>
                <w:color w:val="auto"/>
              </w:rPr>
              <w:t>(1)</w:t>
            </w:r>
          </w:p>
        </w:tc>
        <w:tc>
          <w:tcPr>
            <w:tcW w:w="1120" w:type="dxa"/>
            <w:vAlign w:val="bottom"/>
          </w:tcPr>
          <w:p>
            <w:pPr>
              <w:jc w:val="right"/>
              <w:ind w:right="88"/>
              <w:spacing w:after="0" w:line="89" w:lineRule="exact"/>
              <w:rPr>
                <w:sz w:val="20"/>
                <w:szCs w:val="20"/>
                <w:color w:val="auto"/>
              </w:rPr>
            </w:pPr>
            <w:r>
              <w:rPr>
                <w:rFonts w:ascii="Times New Roman" w:cs="Times New Roman" w:eastAsia="Times New Roman" w:hAnsi="Times New Roman"/>
                <w:sz w:val="10"/>
                <w:szCs w:val="10"/>
                <w:b w:val="1"/>
                <w:bCs w:val="1"/>
                <w:color w:val="auto"/>
              </w:rPr>
              <w:t>Allowance Coverage</w:t>
            </w:r>
          </w:p>
        </w:tc>
        <w:tc>
          <w:tcPr>
            <w:tcW w:w="0" w:type="dxa"/>
            <w:vAlign w:val="bottom"/>
          </w:tcPr>
          <w:p>
            <w:pPr>
              <w:spacing w:after="0"/>
              <w:rPr>
                <w:sz w:val="1"/>
                <w:szCs w:val="1"/>
                <w:color w:val="auto"/>
              </w:rPr>
            </w:pPr>
          </w:p>
        </w:tc>
      </w:tr>
      <w:tr>
        <w:trPr>
          <w:trHeight w:val="129"/>
        </w:trPr>
        <w:tc>
          <w:tcPr>
            <w:tcW w:w="47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Ratio</w:t>
            </w:r>
          </w:p>
        </w:tc>
        <w:tc>
          <w:tcPr>
            <w:tcW w:w="220" w:type="dxa"/>
            <w:vAlign w:val="bottom"/>
          </w:tcPr>
          <w:p>
            <w:pPr>
              <w:spacing w:after="0"/>
              <w:rPr>
                <w:sz w:val="11"/>
                <w:szCs w:val="11"/>
                <w:color w:val="auto"/>
              </w:rPr>
            </w:pPr>
          </w:p>
        </w:tc>
        <w:tc>
          <w:tcPr>
            <w:tcW w:w="76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20" w:type="dxa"/>
            <w:vAlign w:val="bottom"/>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Ratio</w:t>
            </w:r>
          </w:p>
        </w:tc>
        <w:tc>
          <w:tcPr>
            <w:tcW w:w="0" w:type="dxa"/>
            <w:vAlign w:val="bottom"/>
          </w:tcPr>
          <w:p>
            <w:pPr>
              <w:spacing w:after="0"/>
              <w:rPr>
                <w:sz w:val="1"/>
                <w:szCs w:val="1"/>
                <w:color w:val="auto"/>
              </w:rPr>
            </w:pPr>
          </w:p>
        </w:tc>
      </w:tr>
      <w:tr>
        <w:trPr>
          <w:trHeight w:val="137"/>
        </w:trPr>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Credit Card</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9,545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4,769</w:t>
            </w:r>
          </w:p>
        </w:tc>
        <w:tc>
          <w:tcPr>
            <w:tcW w:w="10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200.16 %</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2,624</w:t>
            </w:r>
          </w:p>
        </w:tc>
        <w:tc>
          <w:tcPr>
            <w:tcW w:w="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318.08 %</w:t>
            </w:r>
          </w:p>
        </w:tc>
        <w:tc>
          <w:tcPr>
            <w:tcW w:w="0" w:type="dxa"/>
            <w:vAlign w:val="bottom"/>
          </w:tcPr>
          <w:p>
            <w:pPr>
              <w:spacing w:after="0"/>
              <w:rPr>
                <w:sz w:val="1"/>
                <w:szCs w:val="1"/>
                <w:color w:val="auto"/>
              </w:rPr>
            </w:pPr>
          </w:p>
        </w:tc>
      </w:tr>
      <w:tr>
        <w:trPr>
          <w:trHeight w:val="143"/>
        </w:trPr>
        <w:tc>
          <w:tcPr>
            <w:tcW w:w="4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Consumer Banking</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4,940</w:t>
            </w:r>
          </w:p>
        </w:tc>
        <w:tc>
          <w:tcPr>
            <w:tcW w:w="100" w:type="dxa"/>
            <w:vAlign w:val="bottom"/>
          </w:tcPr>
          <w:p>
            <w:pPr>
              <w:spacing w:after="0"/>
              <w:rPr>
                <w:sz w:val="12"/>
                <w:szCs w:val="12"/>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45.27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3,618</w:t>
            </w:r>
          </w:p>
        </w:tc>
        <w:tc>
          <w:tcPr>
            <w:tcW w:w="80" w:type="dxa"/>
            <w:vAlign w:val="bottom"/>
          </w:tcPr>
          <w:p>
            <w:pPr>
              <w:spacing w:after="0"/>
              <w:rPr>
                <w:sz w:val="12"/>
                <w:szCs w:val="12"/>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53.01</w:t>
            </w:r>
          </w:p>
        </w:tc>
        <w:tc>
          <w:tcPr>
            <w:tcW w:w="0" w:type="dxa"/>
            <w:vAlign w:val="bottom"/>
          </w:tcPr>
          <w:p>
            <w:pPr>
              <w:spacing w:after="0"/>
              <w:rPr>
                <w:sz w:val="1"/>
                <w:szCs w:val="1"/>
                <w:color w:val="auto"/>
              </w:rPr>
            </w:pPr>
          </w:p>
        </w:tc>
      </w:tr>
      <w:tr>
        <w:trPr>
          <w:trHeight w:val="145"/>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 Banking</w:t>
            </w: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701</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207.73</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166.93</w:t>
            </w:r>
          </w:p>
        </w:tc>
        <w:tc>
          <w:tcPr>
            <w:tcW w:w="0" w:type="dxa"/>
            <w:vAlign w:val="bottom"/>
          </w:tcPr>
          <w:p>
            <w:pPr>
              <w:spacing w:after="0"/>
              <w:rPr>
                <w:sz w:val="1"/>
                <w:szCs w:val="1"/>
                <w:color w:val="auto"/>
              </w:rPr>
            </w:pPr>
          </w:p>
        </w:tc>
      </w:tr>
      <w:tr>
        <w:trPr>
          <w:trHeight w:val="132"/>
        </w:trPr>
        <w:tc>
          <w:tcPr>
            <w:tcW w:w="4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13,240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312,331</w:t>
            </w:r>
          </w:p>
        </w:tc>
        <w:tc>
          <w:tcPr>
            <w:tcW w:w="100" w:type="dxa"/>
            <w:vAlign w:val="bottom"/>
          </w:tcPr>
          <w:p>
            <w:pPr>
              <w:spacing w:after="0"/>
              <w:rPr>
                <w:sz w:val="11"/>
                <w:szCs w:val="1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4.24</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277,340</w:t>
            </w:r>
          </w:p>
        </w:tc>
        <w:tc>
          <w:tcPr>
            <w:tcW w:w="80" w:type="dxa"/>
            <w:vAlign w:val="bottom"/>
          </w:tcPr>
          <w:p>
            <w:pPr>
              <w:spacing w:after="0"/>
              <w:rPr>
                <w:sz w:val="11"/>
                <w:szCs w:val="1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4.12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6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Represents period-end 30+ day delinquent loans for our credit card and consumer banking loan portfolios, nonperforming loans for our commercial banking loan portfolio and total loans held for investment for the total ratio.</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allowance for credit losses increased by $1.8 billion to $13.2 billion as of December 31, 2022 compared to 2021 and our allowance coverage ratio increased by 12 basis points to 4.24% as of December 31, 2022 compared to 2021.</w:t>
      </w:r>
    </w:p>
    <w:p>
      <w:pPr>
        <w:spacing w:after="0" w:line="11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ratio of the allowance for credit losses divided by total nonperforming loans held for investment of $1.3 billion and $1.1 billion as of December 31, 2022 and 2021, respectively, decreased by 54% to 985% as of December 31, 2022 from 1,039% as of December 31, 2021. Excluding the impact of the allowance for credit losses related to Domestic Card of $9.2 billion and $8.0 billion as of December 31, 2022 and 2021, respectively, this ratio decreased by 12% to 303% as of December 31, 2022 from 315% as of December 31, 2021. The decrease in the ratio in both scenarios was driven by an increase in our nonperforming loans partially offset by an increase in our allowance for credit losses driven by credit normalization and loan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178040"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LIQUIDITY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78040" cy="11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We have established liquidity practices that are intended to ensure that we have sufficient asset-based liquidity to cover our funding requirements and maintain adequate reserves to withstand the potential impact of deposit attrition or diminished liquidity in the funding markets. In addition to our cash and cash equivalents, we maintain reserves in the form of investment securities and certain loans that are either readily-marketable or pledgeable.</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30 below presents the composition of our liquidity reserves as of December 31, 2022 and 2021.</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30: Liquidity Reserves</w:t>
            </w: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29"/>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280" w:type="dxa"/>
            <w:vAlign w:val="bottom"/>
          </w:tcPr>
          <w:p>
            <w:pPr>
              <w:spacing w:after="0"/>
              <w:rPr>
                <w:sz w:val="19"/>
                <w:szCs w:val="19"/>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80" w:type="dxa"/>
            <w:vAlign w:val="bottom"/>
          </w:tcPr>
          <w:p>
            <w:pPr>
              <w:spacing w:after="0"/>
              <w:rPr>
                <w:sz w:val="19"/>
                <w:szCs w:val="19"/>
                <w:color w:val="auto"/>
              </w:rPr>
            </w:pPr>
          </w:p>
        </w:tc>
        <w:tc>
          <w:tcPr>
            <w:tcW w:w="16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30,856</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21,746</w:t>
            </w:r>
          </w:p>
        </w:tc>
      </w:tr>
      <w:tr>
        <w:trPr>
          <w:trHeight w:val="153"/>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Investment securities available for sale, at fair value</w:t>
            </w: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76,919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95,261</w:t>
            </w:r>
          </w:p>
        </w:tc>
      </w:tr>
      <w:tr>
        <w:trPr>
          <w:trHeight w:val="153"/>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 borrowing capacity secured by loans</w:t>
            </w: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6,436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7,109</w:t>
            </w:r>
          </w:p>
        </w:tc>
      </w:tr>
      <w:tr>
        <w:trPr>
          <w:trHeight w:val="153"/>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Outstanding FHLB advances and letters of credit secured by loans and investment securities</w:t>
            </w: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53"/>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encumbrances of investment securities</w:t>
            </w:r>
          </w:p>
        </w:tc>
        <w:tc>
          <w:tcPr>
            <w:tcW w:w="2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(7,583)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(7,874)</w:t>
            </w:r>
          </w:p>
        </w:tc>
      </w:tr>
      <w:tr>
        <w:trPr>
          <w:trHeight w:val="142"/>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liquidity reserves</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106,577</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116,234</w:t>
            </w:r>
          </w:p>
        </w:tc>
      </w:tr>
      <w:tr>
        <w:trPr>
          <w:trHeight w:val="20"/>
        </w:trPr>
        <w:tc>
          <w:tcPr>
            <w:tcW w:w="7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8"/>
        <w:spacing w:after="0" w:line="241" w:lineRule="auto"/>
        <w:rPr>
          <w:sz w:val="20"/>
          <w:szCs w:val="20"/>
          <w:color w:val="auto"/>
        </w:rPr>
      </w:pPr>
      <w:r>
        <w:rPr>
          <w:rFonts w:ascii="Times New Roman" w:cs="Times New Roman" w:eastAsia="Times New Roman" w:hAnsi="Times New Roman"/>
          <w:sz w:val="12"/>
          <w:szCs w:val="12"/>
          <w:color w:val="auto"/>
        </w:rPr>
        <w:t>Our liquidity reserves decreased by $9.7 billion to $106.6 billion as of December 31, 2022 from December 31, 2021 primarily due to a decline in our investment securities that more than offset an increase in cash and cash equivalents. In addition to these liquidity reserves, we maintain access to a diversified mix of funding sources as discussed in the “Borrowing Capacity” and “Funding” sections below. See “Risk Management” for additional information on our management of liquidity risk.</w:t>
      </w:r>
    </w:p>
    <w:p>
      <w:pPr>
        <w:spacing w:after="0" w:line="200" w:lineRule="exact"/>
        <w:rPr>
          <w:sz w:val="20"/>
          <w:szCs w:val="20"/>
          <w:color w:val="auto"/>
        </w:rPr>
      </w:pPr>
    </w:p>
    <w:p>
      <w:pPr>
        <w:spacing w:after="0" w:line="236"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92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Coverage Ratio</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are subject to the LCR Rule as implemented by the Federal Reserve and OCC. The LCR Rule requires each of the Company and the Bank to calculate its respective LCR daily. It also requires the Company to publicly disclose, on a quarterly basis, its LCR, certain related quantitative liquidity metrics, and a qualitative discussion of its LCR. Our average LCR during fourth quarter 2022 was 143%, which exceeded the LCR Rule requirement of 100%. The calculation and the underlying components are based on our interpretations, expectations and assumptions of relevant regulations, as well as interpretations provided by our regulators, and are subject to change based on changes to future regulations and interpretations. See “Part I—Item 1. Business—Supervision and Regulation”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Stable Funding Ratio</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NSFR rule requires the Company and the Bank to maintain an amount of available stable funding, which is a weighted measure of a company’s funding sources over a one-year time horizon, calculated by applying standardized weightings to equity and liabilities based on their expected stability, that is no less than a specified percentage of its required stable funding, which is calculated by applying standardized weightings to assets, derivatives exposures and certain other items based on their liquidity characteristics. As a Category III institution, the Company and the Bank are each required to maintain available stable funding in an amount at least equal to 85% of its required stable funding. The NSFR rule includes a semi-annual public disclosure requirement, with the first disclosure due 45 days after the end of the second quarter of 2023. The Company and the Bank exceeded the NSFR rule requirement as of December 31, 2022.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Borrowing Capacity</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maintain a shelf registration with the SEC so that we may periodically offer and sell an indeterminate aggregate amount of senior or subordinated debt securities, preferred stock, depositary shares, common stock, purchase contracts, warrants and units. There is no limit under this shelf registration to the amount or number of such securities that we may offer and sell, subject to market conditions. In addition, we also maintain a shelf registration associated with our credit card securitization trust that allows us to periodically offer and sell up to $30 billion of securitized debt obligations and a shelf registration associated with our auto loan securitization trusts that allows us to periodically offer and sell up to $25 billion of securitized debt obligations. The registered amounts under these shelf registration statements are subject to continuing review and change in the future, including as part of the routine renewal process.</w:t>
      </w:r>
    </w:p>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addition to our issuance capacity under the shelf registration statements, we also have access to FHLB advances, the Federal Reserve Discount Window and the Fixed Income Clearing Corporation’s general collateral financing repurchase agreement service. The ability to borrow utilizing these sources is based on membership status and the amount is dependent upon the Bank’s ability to post collateral. As of December 31, 2022, we pledged both loans and securities to the FHLB to secure a maximum borrowing capacity of $19.9 billion, of which $51 million was used. Our FHLB membership is supported by our investment in FHLB stock of $15 million and $32 million as of December 31, 2022 and 2021, respectively, which was determined in part based on our outstanding advances. As of December 31, 2022, we pledged loans to secure a borrowing capacity of $19.7 billion under the Federal Reserve Discount Window. Our membership with the Federal Reserve is supported by our investment in Federal Reserve stock, which totaled $1.3 billion as of both December 31, 2022 and 2021.</w:t>
      </w:r>
    </w:p>
    <w:p>
      <w:pPr>
        <w:spacing w:after="0" w:line="200" w:lineRule="exact"/>
        <w:rPr>
          <w:sz w:val="20"/>
          <w:szCs w:val="20"/>
          <w:color w:val="auto"/>
        </w:rPr>
      </w:pPr>
    </w:p>
    <w:p>
      <w:pPr>
        <w:spacing w:after="0" w:line="345"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93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94" w:name="page95"/>
    <w:bookmarkEnd w:id="94"/>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Deposits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Table 31 provides a comparison of average balances, interest expense and average deposits interest rates for December 31, 2022, 2021 and 2020.</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Table 31: Deposits Composition and Average Deposits Interest Rates</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9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8"/>
                <w:szCs w:val="8"/>
                <w:color w:val="auto"/>
              </w:rPr>
            </w:pPr>
          </w:p>
        </w:tc>
        <w:tc>
          <w:tcPr>
            <w:tcW w:w="68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60" w:type="dxa"/>
            <w:vAlign w:val="bottom"/>
          </w:tcPr>
          <w:p>
            <w:pPr>
              <w:spacing w:after="0"/>
              <w:rPr>
                <w:sz w:val="8"/>
                <w:szCs w:val="8"/>
                <w:color w:val="auto"/>
              </w:rPr>
            </w:pPr>
          </w:p>
        </w:tc>
        <w:tc>
          <w:tcPr>
            <w:tcW w:w="94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8"/>
                <w:szCs w:val="8"/>
                <w:color w:val="auto"/>
              </w:rPr>
            </w:pPr>
          </w:p>
        </w:tc>
        <w:tc>
          <w:tcPr>
            <w:tcW w:w="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8"/>
                <w:szCs w:val="8"/>
                <w:color w:val="auto"/>
              </w:rPr>
            </w:pPr>
          </w:p>
        </w:tc>
        <w:tc>
          <w:tcPr>
            <w:tcW w:w="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8"/>
                <w:szCs w:val="8"/>
                <w:color w:val="auto"/>
              </w:rPr>
            </w:pPr>
          </w:p>
        </w:tc>
        <w:tc>
          <w:tcPr>
            <w:tcW w:w="920" w:type="dxa"/>
            <w:vAlign w:val="bottom"/>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0" w:type="dxa"/>
            <w:vAlign w:val="bottom"/>
          </w:tcPr>
          <w:p>
            <w:pPr>
              <w:spacing w:after="0"/>
              <w:rPr>
                <w:sz w:val="1"/>
                <w:szCs w:val="1"/>
                <w:color w:val="auto"/>
              </w:rPr>
            </w:pPr>
          </w:p>
        </w:tc>
      </w:tr>
      <w:tr>
        <w:trPr>
          <w:trHeight w:val="108"/>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(Dollars in millions)</w:t>
            </w: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w w:val="95"/>
              </w:rPr>
              <w:t>Deposits</w:t>
            </w:r>
          </w:p>
        </w:tc>
        <w:tc>
          <w:tcPr>
            <w:tcW w:w="1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Deposits</w:t>
            </w: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Deposit</w:t>
            </w:r>
          </w:p>
        </w:tc>
        <w:tc>
          <w:tcPr>
            <w:tcW w:w="0" w:type="dxa"/>
            <w:vAlign w:val="bottom"/>
          </w:tcPr>
          <w:p>
            <w:pPr>
              <w:spacing w:after="0"/>
              <w:rPr>
                <w:sz w:val="1"/>
                <w:szCs w:val="1"/>
                <w:color w:val="auto"/>
              </w:rPr>
            </w:pPr>
          </w:p>
        </w:tc>
      </w:tr>
      <w:tr>
        <w:trPr>
          <w:trHeight w:val="143"/>
        </w:trPr>
        <w:tc>
          <w:tcPr>
            <w:tcW w:w="3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40" w:type="dxa"/>
            <w:vAlign w:val="bottom"/>
          </w:tcPr>
          <w:p>
            <w:pPr>
              <w:spacing w:after="0"/>
              <w:rPr>
                <w:sz w:val="12"/>
                <w:szCs w:val="12"/>
                <w:color w:val="auto"/>
              </w:rPr>
            </w:pPr>
          </w:p>
        </w:tc>
        <w:tc>
          <w:tcPr>
            <w:tcW w:w="6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60" w:type="dxa"/>
            <w:vAlign w:val="bottom"/>
          </w:tcPr>
          <w:p>
            <w:pPr>
              <w:spacing w:after="0"/>
              <w:rPr>
                <w:sz w:val="12"/>
                <w:szCs w:val="12"/>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16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40" w:type="dxa"/>
            <w:vAlign w:val="bottom"/>
          </w:tcPr>
          <w:p>
            <w:pPr>
              <w:spacing w:after="0"/>
              <w:rPr>
                <w:sz w:val="12"/>
                <w:szCs w:val="12"/>
                <w:color w:val="auto"/>
              </w:rPr>
            </w:pPr>
          </w:p>
        </w:tc>
        <w:tc>
          <w:tcPr>
            <w:tcW w:w="6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80" w:type="dxa"/>
            <w:vAlign w:val="bottom"/>
          </w:tcPr>
          <w:p>
            <w:pPr>
              <w:spacing w:after="0"/>
              <w:rPr>
                <w:sz w:val="12"/>
                <w:szCs w:val="12"/>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140" w:type="dxa"/>
            <w:vAlign w:val="bottom"/>
          </w:tcPr>
          <w:p>
            <w:pPr>
              <w:spacing w:after="0"/>
              <w:rPr>
                <w:sz w:val="12"/>
                <w:szCs w:val="12"/>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40" w:type="dxa"/>
            <w:vAlign w:val="bottom"/>
          </w:tcPr>
          <w:p>
            <w:pPr>
              <w:spacing w:after="0"/>
              <w:rPr>
                <w:sz w:val="12"/>
                <w:szCs w:val="12"/>
                <w:color w:val="auto"/>
              </w:rPr>
            </w:pPr>
          </w:p>
        </w:tc>
        <w:tc>
          <w:tcPr>
            <w:tcW w:w="6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8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0" w:type="dxa"/>
            <w:vAlign w:val="bottom"/>
          </w:tcPr>
          <w:p>
            <w:pPr>
              <w:spacing w:after="0"/>
              <w:rPr>
                <w:sz w:val="1"/>
                <w:szCs w:val="1"/>
                <w:color w:val="auto"/>
              </w:rPr>
            </w:pPr>
          </w:p>
        </w:tc>
      </w:tr>
      <w:tr>
        <w:trPr>
          <w:trHeight w:val="134"/>
        </w:trPr>
        <w:tc>
          <w:tcPr>
            <w:tcW w:w="294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1"/>
                <w:szCs w:val="11"/>
                <w:color w:val="auto"/>
              </w:rPr>
              <w:t>Interest-bearing checking accounts</w:t>
            </w:r>
            <w:r>
              <w:rPr>
                <w:rFonts w:ascii="Times New Roman" w:cs="Times New Roman" w:eastAsia="Times New Roman" w:hAnsi="Times New Roman"/>
                <w:sz w:val="14"/>
                <w:szCs w:val="14"/>
                <w:color w:val="auto"/>
                <w:vertAlign w:val="superscript"/>
              </w:rPr>
              <w:t>(1)</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48,291</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312</w:t>
            </w:r>
          </w:p>
        </w:tc>
        <w:tc>
          <w:tcPr>
            <w:tcW w:w="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1"/>
                <w:szCs w:val="11"/>
                <w:b w:val="1"/>
                <w:bCs w:val="1"/>
                <w:color w:val="auto"/>
                <w:w w:val="96"/>
              </w:rPr>
              <w:t>0.65 %</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45,055</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w w:val="96"/>
              </w:rPr>
              <w:t>0.17 %</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37,136</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w w:val="96"/>
              </w:rPr>
              <w:t>0.35 %</w:t>
            </w:r>
          </w:p>
        </w:tc>
        <w:tc>
          <w:tcPr>
            <w:tcW w:w="0" w:type="dxa"/>
            <w:vAlign w:val="bottom"/>
          </w:tcPr>
          <w:p>
            <w:pPr>
              <w:spacing w:after="0"/>
              <w:rPr>
                <w:sz w:val="1"/>
                <w:szCs w:val="1"/>
                <w:color w:val="auto"/>
              </w:rPr>
            </w:pPr>
          </w:p>
        </w:tc>
      </w:tr>
      <w:tr>
        <w:trPr>
          <w:trHeight w:val="144"/>
        </w:trPr>
        <w:tc>
          <w:tcPr>
            <w:tcW w:w="300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Saving deposits</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1,628</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0.80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203,293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0.31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184,466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0.69</w:t>
            </w:r>
          </w:p>
        </w:tc>
        <w:tc>
          <w:tcPr>
            <w:tcW w:w="0" w:type="dxa"/>
            <w:vAlign w:val="bottom"/>
          </w:tcPr>
          <w:p>
            <w:pPr>
              <w:spacing w:after="0"/>
              <w:rPr>
                <w:sz w:val="1"/>
                <w:szCs w:val="1"/>
                <w:color w:val="auto"/>
              </w:rPr>
            </w:pPr>
          </w:p>
        </w:tc>
      </w:tr>
      <w:tr>
        <w:trPr>
          <w:trHeight w:val="144"/>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Time deposits</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26,463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595</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b w:val="1"/>
                <w:bCs w:val="1"/>
                <w:color w:val="auto"/>
              </w:rPr>
              <w:t>2.25</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23,152</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41,677</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1.82</w:t>
            </w:r>
          </w:p>
        </w:tc>
        <w:tc>
          <w:tcPr>
            <w:tcW w:w="0" w:type="dxa"/>
            <w:vAlign w:val="bottom"/>
          </w:tcPr>
          <w:p>
            <w:pPr>
              <w:spacing w:after="0"/>
              <w:rPr>
                <w:sz w:val="1"/>
                <w:szCs w:val="1"/>
                <w:color w:val="auto"/>
              </w:rPr>
            </w:pPr>
          </w:p>
        </w:tc>
      </w:tr>
      <w:tr>
        <w:trPr>
          <w:trHeight w:val="132"/>
        </w:trPr>
        <w:tc>
          <w:tcPr>
            <w:tcW w:w="30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277,208</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2,535</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0.91</w:t>
            </w:r>
          </w:p>
        </w:tc>
        <w:tc>
          <w:tcPr>
            <w:tcW w:w="6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271,500</w:t>
            </w:r>
          </w:p>
        </w:tc>
        <w:tc>
          <w:tcPr>
            <w:tcW w:w="60" w:type="dxa"/>
            <w:vAlign w:val="bottom"/>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0.35</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263,279</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2,165</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0.82</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96" w:lineRule="exact"/>
        <w:rPr>
          <w:sz w:val="20"/>
          <w:szCs w:val="20"/>
          <w:color w:val="auto"/>
        </w:rPr>
      </w:pPr>
    </w:p>
    <w:p>
      <w:pPr>
        <w:ind w:left="208" w:hanging="208"/>
        <w:spacing w:after="0"/>
        <w:tabs>
          <w:tab w:leader="none" w:pos="208" w:val="left"/>
        </w:tabs>
        <w:numPr>
          <w:ilvl w:val="0"/>
          <w:numId w:val="6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negotiable order of withdrawal accounts.</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36" w:lineRule="auto"/>
        <w:tabs>
          <w:tab w:leader="none" w:pos="208" w:val="left"/>
        </w:tabs>
        <w:numPr>
          <w:ilvl w:val="0"/>
          <w:numId w:val="6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money market deposit accounts.</w:t>
      </w:r>
    </w:p>
    <w:p>
      <w:pPr>
        <w:spacing w:after="0" w:line="10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FDIC limits the acceptance of brokered deposits to well-capitalized insured depository institutions and, with a waiver from the FDIC, to adequately-capitalized institutions. The Bank was well-capitalized, as defined under the federal banking regulatory guidelines, as of December 31, 2022 and 2021. See “Part I—Item 1. Business—Supervision and Regulation” for additional information. We provide additional information on the composition of deposits in “Consolidated Balance Sheets Analysis—Funding Sources Composition” and in “Part II—Item 8. Financial Statements and Supplementary Data—Note 8—Deposits and Borrowings.”</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Funding</w:t>
      </w:r>
    </w:p>
    <w:p>
      <w:pPr>
        <w:spacing w:after="0" w:line="11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Our primary source of funding comes from deposits, as they are a stable and relatively low cost source of funding. In addition to deposits, we raise funding through the issuance of senior and subordinated notes and securitized debt obligations, federal funds purchased, securities loaned or sold under agreements to repurchase and FHLB advances secured by certain portions of our loan and securities portfolios. A key objective in our use of these markets is to maintain access to a diversified mix of wholesale funding sources. See “Consolidated Balance Sheets Analysis—Funding Sources Composition” for additional information on our primary sources of funding.</w:t>
      </w:r>
    </w:p>
    <w:p>
      <w:pPr>
        <w:spacing w:after="0" w:line="8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 the normal course of business, we enter into various contractual obligations that may require future cash payments that affect our short-term and long-term liquidity and capital resource needs. Our future cash outflows primarily relate to deposits, borrowings and operating leases. The actual timing and amounts of future cash payments may vary over time due to a number of factors, such as early debt redemptions and changes in deposit balances.</w:t>
      </w:r>
    </w:p>
    <w:p>
      <w:pPr>
        <w:spacing w:after="0" w:line="200" w:lineRule="exact"/>
        <w:rPr>
          <w:sz w:val="20"/>
          <w:szCs w:val="20"/>
          <w:color w:val="auto"/>
        </w:rPr>
      </w:pPr>
    </w:p>
    <w:p>
      <w:pPr>
        <w:spacing w:after="0" w:line="340" w:lineRule="exact"/>
        <w:rPr>
          <w:sz w:val="20"/>
          <w:szCs w:val="20"/>
          <w:color w:val="auto"/>
        </w:rPr>
      </w:pPr>
    </w:p>
    <w:p>
      <w:pPr>
        <w:ind w:left="5588"/>
        <w:spacing w:after="0"/>
        <w:tabs>
          <w:tab w:leader="none" w:pos="9668" w:val="left"/>
        </w:tabs>
        <w:rPr>
          <w:sz w:val="20"/>
          <w:szCs w:val="20"/>
          <w:color w:val="auto"/>
        </w:rPr>
      </w:pPr>
      <w:r>
        <w:rPr>
          <w:rFonts w:ascii="Times New Roman" w:cs="Times New Roman" w:eastAsia="Times New Roman" w:hAnsi="Times New Roman"/>
          <w:sz w:val="8"/>
          <w:szCs w:val="8"/>
          <w:color w:val="auto"/>
        </w:rPr>
        <w:t>94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of December 31, 2022 and 2021, excluding intercompany balances, we held approximately $80.7 billion and $91.7 billion, respectively, of uninsured deposits primarily comprised of checking accounts and savings deposits. We estimate our uninsured amounts at the account level based on the same methodologies and assumptions used for our “Consolidated Reports of Condition and Income” (FFIEC 031) filed with the Federal Banking Agencies. Table 32 presents, by contractual maturity, the amount of time deposits in excess of the FDIC insurance limit of $250,000 as of December 31, 2022 and 2021. Our funding and liquidity management activities factor into the expected maturities of these deposits.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32: Amount of Time Deposits in Excess of $250,000 by Contractual Maturity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gridSpan w:val="4"/>
          </w:tcPr>
          <w:p>
            <w:pPr>
              <w:ind w:left="46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80" w:type="dxa"/>
            <w:vAlign w:val="bottom"/>
          </w:tcPr>
          <w:p>
            <w:pPr>
              <w:spacing w:after="0"/>
              <w:rPr>
                <w:sz w:val="11"/>
                <w:szCs w:val="11"/>
                <w:color w:val="auto"/>
              </w:rPr>
            </w:pPr>
          </w:p>
        </w:tc>
        <w:tc>
          <w:tcPr>
            <w:tcW w:w="1860" w:type="dxa"/>
            <w:vAlign w:val="bottom"/>
            <w:gridSpan w:val="3"/>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30"/>
        </w:trPr>
        <w:tc>
          <w:tcPr>
            <w:tcW w:w="70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40" w:type="dxa"/>
            <w:vAlign w:val="bottom"/>
            <w:tcBorders>
              <w:top w:val="single" w:sz="8" w:color="auto"/>
            </w:tcBorders>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 of Total</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2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0"/>
                <w:szCs w:val="10"/>
                <w:b w:val="1"/>
                <w:bCs w:val="1"/>
                <w:color w:val="auto"/>
              </w:rPr>
              <w:t>% of Total</w:t>
            </w:r>
          </w:p>
        </w:tc>
      </w:tr>
      <w:tr>
        <w:trPr>
          <w:trHeight w:val="138"/>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Up to three months</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4.3 %</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20.7 %</w:t>
            </w:r>
          </w:p>
        </w:tc>
      </w:tr>
      <w:tr>
        <w:trPr>
          <w:trHeight w:val="143"/>
        </w:trPr>
        <w:tc>
          <w:tcPr>
            <w:tcW w:w="7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&gt; 3 months to 6 months</w:t>
            </w:r>
          </w:p>
        </w:tc>
        <w:tc>
          <w:tcPr>
            <w:tcW w:w="180" w:type="dxa"/>
            <w:vAlign w:val="bottom"/>
          </w:tcPr>
          <w:p>
            <w:pPr>
              <w:spacing w:after="0"/>
              <w:rPr>
                <w:sz w:val="12"/>
                <w:szCs w:val="12"/>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139</w:t>
            </w:r>
          </w:p>
        </w:tc>
        <w:tc>
          <w:tcPr>
            <w:tcW w:w="80" w:type="dxa"/>
            <w:vAlign w:val="bottom"/>
          </w:tcPr>
          <w:p>
            <w:pPr>
              <w:spacing w:after="0"/>
              <w:rPr>
                <w:sz w:val="12"/>
                <w:szCs w:val="12"/>
                <w:color w:val="auto"/>
              </w:rPr>
            </w:pP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Pr>
          <w:p>
            <w:pPr>
              <w:spacing w:after="0"/>
              <w:rPr>
                <w:sz w:val="12"/>
                <w:szCs w:val="12"/>
                <w:color w:val="auto"/>
              </w:rPr>
            </w:pP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27.3</w:t>
            </w:r>
          </w:p>
        </w:tc>
      </w:tr>
      <w:tr>
        <w:trPr>
          <w:trHeight w:val="145"/>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&gt; 6 months to 12 months</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1,098</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54.0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22.8</w:t>
            </w:r>
          </w:p>
        </w:tc>
      </w:tr>
      <w:tr>
        <w:trPr>
          <w:trHeight w:val="143"/>
        </w:trPr>
        <w:tc>
          <w:tcPr>
            <w:tcW w:w="7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&gt; 12 months</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708</w:t>
            </w:r>
          </w:p>
        </w:tc>
        <w:tc>
          <w:tcPr>
            <w:tcW w:w="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34.9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29.2</w:t>
            </w:r>
          </w:p>
        </w:tc>
      </w:tr>
      <w:tr>
        <w:trPr>
          <w:trHeight w:val="150"/>
        </w:trPr>
        <w:tc>
          <w:tcPr>
            <w:tcW w:w="7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2,032</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Short-Term Borrowings and Long-Term Debt</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access the capital markets to meet our funding needs through the issuance of senior and subordinated notes, securitized debt obligations and federal funds purchased and securities loaned or sold under agreements to repurchase. In addition, we have access to short-term and long-term FHLB advances secured by certain investment securities, multifamily real estate loans and commercial real estate loans.</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short-term borrowings, which include those borrowings with an original contractual maturity of one year or less, consisting of federal funds purchased, securities loaned or sold under agreements to repurchase and short-term FHLB advances, and do not include the current portion of long-term debt, increased by $63 million to $883 million as of December 31, 2022 from December 31, 2021 driven by an increase in repurchase agreements.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long-term funding, which primarily consists of securitized debt obligations and senior and subordinated notes, increased by $5.6 billion to $47.8 billion as of December 31, 2022 from December 31, 2021 primarily driven by net issuances of senior unsecured debt and net issuances in our auto and credit card securitization programs. We provide more information on our securitization activity in “Part II—Item 8. Financial Statements and Supplementary Data— Note 5—Variable Interest Entities and Securitizations” and on our borrowings in “Part II—Item 8. Financial Statements and Supplementary Data—Note 8—Deposits and Borrowings.”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issuances of securitized debt obligations, senior and subordinated notes and their respective maturities or redemptions for the years ended December 31, 2022, 2021 and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Table 33: Long-Term Debt Funding Activities</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79"/>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Issuances</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Maturities/Redemptions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2"/>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6"/>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860" w:type="dxa"/>
            <w:vAlign w:val="bottom"/>
            <w:tcBorders>
              <w:bottom w:val="single" w:sz="8" w:color="auto"/>
            </w:tcBorders>
          </w:tcPr>
          <w:p>
            <w:pPr>
              <w:spacing w:after="0"/>
              <w:rPr>
                <w:sz w:val="12"/>
                <w:szCs w:val="12"/>
                <w:color w:val="auto"/>
              </w:rPr>
            </w:pPr>
          </w:p>
        </w:tc>
      </w:tr>
      <w:tr>
        <w:trPr>
          <w:trHeight w:val="142"/>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260" w:type="dxa"/>
            <w:vAlign w:val="bottom"/>
          </w:tcPr>
          <w:p>
            <w:pPr>
              <w:spacing w:after="0"/>
              <w:rPr>
                <w:sz w:val="12"/>
                <w:szCs w:val="12"/>
                <w:color w:val="auto"/>
              </w:rPr>
            </w:pPr>
          </w:p>
        </w:tc>
        <w:tc>
          <w:tcPr>
            <w:tcW w:w="80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right="202"/>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42"/>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Securitized debt obligations</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9,750</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6,250</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7,060</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3,442</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6,868</w:t>
            </w:r>
          </w:p>
        </w:tc>
      </w:tr>
      <w:tr>
        <w:trPr>
          <w:trHeight w:val="153"/>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Senior and subordinated notes</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9,300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3,561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8,092</w:t>
            </w:r>
          </w:p>
        </w:tc>
      </w:tr>
      <w:tr>
        <w:trPr>
          <w:trHeight w:val="153"/>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 advances</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12,000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12,000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31,050</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10,750</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5,250</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22,621</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7,293</w:t>
            </w:r>
          </w:p>
        </w:tc>
        <w:tc>
          <w:tcPr>
            <w:tcW w:w="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14,960</w:t>
            </w: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715"/>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802"/>
              <w:spacing w:after="0"/>
              <w:rPr>
                <w:sz w:val="20"/>
                <w:szCs w:val="20"/>
                <w:color w:val="auto"/>
              </w:rPr>
            </w:pPr>
            <w:r>
              <w:rPr>
                <w:rFonts w:ascii="Times New Roman" w:cs="Times New Roman" w:eastAsia="Times New Roman" w:hAnsi="Times New Roman"/>
                <w:sz w:val="10"/>
                <w:szCs w:val="10"/>
                <w:color w:val="auto"/>
              </w:rPr>
              <w:t>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r>
      <w:tr>
        <w:trPr>
          <w:trHeight w:val="251"/>
        </w:trPr>
        <w:tc>
          <w:tcPr>
            <w:tcW w:w="41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6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2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60" w:type="dxa"/>
            <w:vAlign w:val="bottom"/>
            <w:tcBorders>
              <w:bottom w:val="single" w:sz="8" w:color="9A9A9A"/>
            </w:tcBorders>
          </w:tcPr>
          <w:p>
            <w:pPr>
              <w:spacing w:after="0"/>
              <w:rPr>
                <w:sz w:val="21"/>
                <w:szCs w:val="21"/>
                <w:color w:val="auto"/>
              </w:rPr>
            </w:pPr>
          </w:p>
        </w:tc>
        <w:tc>
          <w:tcPr>
            <w:tcW w:w="6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6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Ratings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credit ratings impact our ability to access capital markets and our borrowing costs. Rating agencies assign their ratings based on numerous factors, including liquidity, capital adequacy, asset quality, quality of earnings and the probability of systemic support. Significant changes in these factors could result in different ratings.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Table 34 provides a summary of the credit ratings for the senior unsecured long-term debt of Capital One Financial Corporation and CONA as of December 31, 2022 and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Table 34: Senior Unsecured Long-Term Debt Credit Ratings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2"/>
                <w:szCs w:val="12"/>
                <w:b w:val="1"/>
                <w:bCs w:val="1"/>
                <w:color w:val="auto"/>
                <w:w w:val="98"/>
              </w:rPr>
              <w:t>December 31, 2022</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3"/>
          </w:tcPr>
          <w:p>
            <w:pPr>
              <w:jc w:val="center"/>
              <w:ind w:right="540"/>
              <w:spacing w:after="0" w:line="106" w:lineRule="exact"/>
              <w:rPr>
                <w:sz w:val="20"/>
                <w:szCs w:val="20"/>
                <w:color w:val="auto"/>
              </w:rPr>
            </w:pPr>
            <w:r>
              <w:rPr>
                <w:rFonts w:ascii="Times New Roman" w:cs="Times New Roman" w:eastAsia="Times New Roman" w:hAnsi="Times New Roman"/>
                <w:sz w:val="12"/>
                <w:szCs w:val="12"/>
                <w:b w:val="1"/>
                <w:bCs w:val="1"/>
                <w:color w:val="auto"/>
                <w:w w:val="99"/>
              </w:rPr>
              <w:t>Capital One</w:t>
            </w: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3"/>
          </w:tcPr>
          <w:p>
            <w:pPr>
              <w:jc w:val="center"/>
              <w:ind w:right="540"/>
              <w:spacing w:after="0" w:line="106" w:lineRule="exact"/>
              <w:rPr>
                <w:sz w:val="20"/>
                <w:szCs w:val="20"/>
                <w:color w:val="auto"/>
              </w:rPr>
            </w:pPr>
            <w:r>
              <w:rPr>
                <w:rFonts w:ascii="Times New Roman" w:cs="Times New Roman" w:eastAsia="Times New Roman" w:hAnsi="Times New Roman"/>
                <w:sz w:val="12"/>
                <w:szCs w:val="12"/>
                <w:b w:val="1"/>
                <w:bCs w:val="1"/>
                <w:color w:val="auto"/>
                <w:w w:val="99"/>
              </w:rPr>
              <w:t>Capital One</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5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gridSpan w:val="3"/>
          </w:tcPr>
          <w:p>
            <w:pPr>
              <w:jc w:val="center"/>
              <w:ind w:right="520"/>
              <w:spacing w:after="0" w:line="120" w:lineRule="exact"/>
              <w:rPr>
                <w:sz w:val="20"/>
                <w:szCs w:val="20"/>
                <w:color w:val="auto"/>
              </w:rPr>
            </w:pPr>
            <w:r>
              <w:rPr>
                <w:rFonts w:ascii="Times New Roman" w:cs="Times New Roman" w:eastAsia="Times New Roman" w:hAnsi="Times New Roman"/>
                <w:sz w:val="12"/>
                <w:szCs w:val="12"/>
                <w:b w:val="1"/>
                <w:bCs w:val="1"/>
                <w:color w:val="auto"/>
                <w:w w:val="99"/>
              </w:rPr>
              <w:t>Financial</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CONA</w:t>
            </w:r>
          </w:p>
        </w:tc>
        <w:tc>
          <w:tcPr>
            <w:tcW w:w="1840" w:type="dxa"/>
            <w:vAlign w:val="bottom"/>
            <w:gridSpan w:val="3"/>
          </w:tcPr>
          <w:p>
            <w:pPr>
              <w:jc w:val="center"/>
              <w:ind w:right="560"/>
              <w:spacing w:after="0" w:line="120" w:lineRule="exact"/>
              <w:rPr>
                <w:sz w:val="20"/>
                <w:szCs w:val="20"/>
                <w:color w:val="auto"/>
              </w:rPr>
            </w:pPr>
            <w:r>
              <w:rPr>
                <w:rFonts w:ascii="Times New Roman" w:cs="Times New Roman" w:eastAsia="Times New Roman" w:hAnsi="Times New Roman"/>
                <w:sz w:val="12"/>
                <w:szCs w:val="12"/>
                <w:b w:val="1"/>
                <w:bCs w:val="1"/>
                <w:color w:val="auto"/>
                <w:w w:val="99"/>
              </w:rPr>
              <w:t>Financial</w:t>
            </w:r>
          </w:p>
        </w:tc>
        <w:tc>
          <w:tcPr>
            <w:tcW w:w="860" w:type="dxa"/>
            <w:vAlign w:val="bottom"/>
            <w:vMerge w:val="restart"/>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CONA</w:t>
            </w:r>
          </w:p>
        </w:tc>
        <w:tc>
          <w:tcPr>
            <w:tcW w:w="0" w:type="dxa"/>
            <w:vAlign w:val="bottom"/>
          </w:tcPr>
          <w:p>
            <w:pPr>
              <w:spacing w:after="0"/>
              <w:rPr>
                <w:sz w:val="1"/>
                <w:szCs w:val="1"/>
                <w:color w:val="auto"/>
              </w:rPr>
            </w:pPr>
          </w:p>
        </w:tc>
      </w:tr>
      <w:tr>
        <w:trPr>
          <w:trHeight w:val="159"/>
        </w:trPr>
        <w:tc>
          <w:tcPr>
            <w:tcW w:w="5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3"/>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Corporation</w:t>
            </w:r>
          </w:p>
        </w:tc>
        <w:tc>
          <w:tcPr>
            <w:tcW w:w="940" w:type="dxa"/>
            <w:vAlign w:val="bottom"/>
            <w:gridSpan w:val="2"/>
            <w:vMerge w:val="continue"/>
          </w:tcPr>
          <w:p>
            <w:pPr>
              <w:spacing w:after="0"/>
              <w:rPr>
                <w:sz w:val="13"/>
                <w:szCs w:val="13"/>
                <w:color w:val="auto"/>
              </w:rPr>
            </w:pPr>
          </w:p>
        </w:tc>
        <w:tc>
          <w:tcPr>
            <w:tcW w:w="18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w w:val="99"/>
              </w:rPr>
              <w:t>Corporation</w:t>
            </w: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Moody’s</w:t>
            </w:r>
          </w:p>
        </w:tc>
        <w:tc>
          <w:tcPr>
            <w:tcW w:w="8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Baa1</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A3</w:t>
            </w:r>
          </w:p>
        </w:tc>
        <w:tc>
          <w:tcPr>
            <w:tcW w:w="10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Baa1</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A3</w:t>
            </w:r>
          </w:p>
        </w:tc>
        <w:tc>
          <w:tcPr>
            <w:tcW w:w="0" w:type="dxa"/>
            <w:vAlign w:val="bottom"/>
          </w:tcPr>
          <w:p>
            <w:pPr>
              <w:spacing w:after="0"/>
              <w:rPr>
                <w:sz w:val="1"/>
                <w:szCs w:val="1"/>
                <w:color w:val="auto"/>
              </w:rPr>
            </w:pPr>
          </w:p>
        </w:tc>
      </w:tr>
      <w:tr>
        <w:trPr>
          <w:trHeight w:val="153"/>
        </w:trPr>
        <w:tc>
          <w:tcPr>
            <w:tcW w:w="5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S&amp;P</w:t>
            </w: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BBB</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BBB+</w:t>
            </w: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BBB</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BBB+</w:t>
            </w:r>
          </w:p>
        </w:tc>
        <w:tc>
          <w:tcPr>
            <w:tcW w:w="0" w:type="dxa"/>
            <w:vAlign w:val="bottom"/>
          </w:tcPr>
          <w:p>
            <w:pPr>
              <w:spacing w:after="0"/>
              <w:rPr>
                <w:sz w:val="1"/>
                <w:szCs w:val="1"/>
                <w:color w:val="auto"/>
              </w:rPr>
            </w:pPr>
          </w:p>
        </w:tc>
      </w:tr>
      <w:tr>
        <w:trPr>
          <w:trHeight w:val="153"/>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Fitch</w:t>
            </w:r>
          </w:p>
        </w:tc>
        <w:tc>
          <w:tcPr>
            <w:tcW w:w="18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A-</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w:t>
            </w:r>
          </w:p>
        </w:tc>
        <w:tc>
          <w:tcPr>
            <w:tcW w:w="18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February 16, 2023, Moody’s Investors Service (“Moody’s”), Standard &amp; Poor’s (“S&amp;P”) and Fitch Ratings (“Fitch”) have our credit ratings on a stable outlook.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Commitments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primary involvement with leases is in the capacity as a lessee where we lease premises to support our business. The majority of our leases are operating leases of office space, retail bank branches and cafés. Our operating leases expire at various dates through 2071, although some have extension or termination options. As of both December 31, 2022 and 2021, we had $1.7 billion in aggregate operating lease liabilities, of which $259 million will be due in the following 12 months. We provide more information on our lease activity in “Part II—Item 8. Financial Statements and Supplementary Data—Note 7—Premises, Equipment and Leases.”</w:t>
      </w:r>
    </w:p>
    <w:p>
      <w:pPr>
        <w:spacing w:after="0" w:line="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purchase obligations that represent substantial agreements to purchase goods or receive services such as data management, media and other software and third-party services that are enforceable and legally binding and specify significant terms. As of December 31, 2022 and 2021, we had $1.1 billion and $1.5 billion, respectively, in aggregate purchase obligation liabilities.</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of December 31, 2022 and 2021, our total unfunded lending commitments were $409.3 billion and $414.5 billion, respectively, primarily consisting of credit card lines and loan commitments to customers of both our Commercial Banking and Consumer Banking businesses, as well as standby and commercial letters of credit. We generally manage the potential risk of unfunded lending commitments by limiting the total amount of arrangements, monitoring the size and maturity structure of these portfolios and applying the same credit standards for all of our credit activities. For additional information, refer to “Part II—Item 8. Financial Statements and Supplementary Data—Note 18— Commitments, Contingencies, Guarantees and Others.”</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also enter into various contractual arrangements that may require future cash payments, including short-term obligations such as trade payables, commitments to fund certain equity investments, obligations for pension and post-retirement benefit plans, and representation and warranty reserves. These arrangements are discussed in more detail in “Part II—Item 8. Financial Statements and Supplementary Data—Note 5—Variable Interest Entities and Securitizations,” “Part II—Item 8. Financial Statements and Supplementary Data—Note 14—Employee Benefit Plans” and “Part II—Item 8. Financial Statements and Supplementary Data—Note 18—Commitments, Contingencies, Guarantees and Others.”</w:t>
      </w:r>
    </w:p>
    <w:p>
      <w:pPr>
        <w:spacing w:after="0" w:line="200" w:lineRule="exact"/>
        <w:rPr>
          <w:sz w:val="20"/>
          <w:szCs w:val="20"/>
          <w:color w:val="auto"/>
        </w:rPr>
      </w:pPr>
    </w:p>
    <w:p>
      <w:pPr>
        <w:spacing w:after="0" w:line="34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96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primary market risk exposures include interest rate risk, foreign exchange risk and commodity pricing risk. We are exposed to market risk primarily from the following operations and activities:</w:t>
      </w:r>
    </w:p>
    <w:p>
      <w:pPr>
        <w:spacing w:after="0" w:line="114" w:lineRule="exact"/>
        <w:rPr>
          <w:sz w:val="20"/>
          <w:szCs w:val="20"/>
          <w:color w:val="auto"/>
        </w:rPr>
      </w:pPr>
    </w:p>
    <w:p>
      <w:pPr>
        <w:ind w:left="320" w:hanging="220"/>
        <w:spacing w:after="0"/>
        <w:tabs>
          <w:tab w:leader="none" w:pos="3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Traditional banking activities of deposit gathering and lending;</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Asset/liability management activities including the management of investment securities, short-term and long-term borrowings and derivatives;</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operations in the U.K. and Canada within our Credit Card business; and</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Customer accommodation activities within our Commercial Banking business.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have enterprise-wide risk management policies and limits, approved by our Board of Directors, which govern our market risk management activities. Our objective is to manage our exposure to market risk in accordance with these policies and limits based on prevailing market conditions and long-term expectations. We provide additional information below about our primary sources of market risk, our market risk management strategies and the measures that we use to evaluate these exposures.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Rate Risk</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Interest rate risk represents exposure to financial instruments whose values vary with the level or volatility of interest rates. We are exposed to interest rate risk primarily from the differences in the timing between the maturities or re-pricing of assets and liabilities. We manage our interest rate risk primarily by entering into interest rate swaps and other derivative instruments which could include caps, floors, options, futures and forward contracts.</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use various industry standard market risk measurement techniques and analyses to measure, assess and manage the impact of changes in interest rates on our net interest income and our economic value of equity and changes in foreign exchange rates on our non-dollar-denominated funding and non-dollar equity investments in foreign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Interest Income Sensitivity</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net interest income sensitivity measure estimates the impact on our projected 12-month baseline net interest income resulting from movements in interest rates. In addition to our existing assets and liabilities, we incorporate expected future business growth assumptions, such as loan and deposit growth and pricing, and plans for projected changes in our funding mix in our baseline forecast. In measuring the sensitivity of interest rate movements on our projected net interest income, we assume a hypothetical instantaneous parallel shift in the level of interest rates detailed in Table 35 below. At the current level of interest rates, our net interest income is expected to increase in higher rate scenarios and decrease in lower rate scenarios. Our current sensitivity to upward shocks has decreased as compared to December 31, 2021, mainly due to the increase in market interest rates.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Economic Value of Equity Sensitivity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Our economic value of equity sensitivity measure estimates the impact on the net present value of our assets and liabilities, including derivative exposures, resulting from movements in interest rates. Our economic value of equity sensitivity measure is calculated based on our existing assets and liabilities, including derivatives, and does not incorporate business growth assumptions or projected balance sheet changes. Key assumptions used in the calculation include projecting rate sensitive prepayments for mortgage securities, loans and other assets, term structure modeling of interest rates, discount spreads, and deposit volume and pricing assumptions. In measuring the sensitivity of interest rate movements on our economic value of equity, we assume a hypothetical instantaneous parallel shift in the level of interest rates detailed in Table 35 below. Our current economic value of equity sensitivity profile demonstrates that our economic value of equity decreases in higher interest rate scenarios and increases in most lower interest rate scenarios. Our current economic value of equity sensitivity to upward shocks in higher rate scenarios became more negative as compared to December 31, 2021, mainly due to the increase in long-term interest rates.</w:t>
      </w:r>
    </w:p>
    <w:p>
      <w:pPr>
        <w:spacing w:after="0" w:line="200" w:lineRule="exact"/>
        <w:rPr>
          <w:sz w:val="20"/>
          <w:szCs w:val="20"/>
          <w:color w:val="auto"/>
        </w:rPr>
      </w:pPr>
    </w:p>
    <w:p>
      <w:pPr>
        <w:spacing w:after="0" w:line="344"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97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Table 35 shows the estimated percentage impact on our projected baseline net interest income and economic value of equity calculated under the methodology described above as of December 31, 2022 and 2021. In instances where an interest rate scenario would result in a rate less than 0%, we assume a rate of 0% for that scenario. This assumption applies only to jurisdictions that do not have negative policy rates. In jurisdictions that have negative policy rates, we do not floor interest rates at 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Table 35: Interest Rate Sensitivity Analysis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229"/>
        </w:trPr>
        <w:tc>
          <w:tcPr>
            <w:tcW w:w="6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Estimated impact on projected baseline net interest income:</w:t>
            </w: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r>
      <w:tr>
        <w:trPr>
          <w:trHeight w:val="153"/>
        </w:trPr>
        <w:tc>
          <w:tcPr>
            <w:tcW w:w="86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+200 basis points</w:t>
            </w:r>
          </w:p>
        </w:tc>
        <w:tc>
          <w:tcPr>
            <w:tcW w:w="50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w w:val="99"/>
              </w:rPr>
              <w:t>0.4 %</w:t>
            </w:r>
          </w:p>
        </w:tc>
        <w:tc>
          <w:tcPr>
            <w:tcW w:w="100" w:type="dxa"/>
            <w:vAlign w:val="bottom"/>
          </w:tcPr>
          <w:p>
            <w:pPr>
              <w:spacing w:after="0"/>
              <w:rPr>
                <w:sz w:val="13"/>
                <w:szCs w:val="13"/>
                <w:color w:val="auto"/>
              </w:rPr>
            </w:pPr>
          </w:p>
        </w:tc>
        <w:tc>
          <w:tcPr>
            <w:tcW w:w="1960" w:type="dxa"/>
            <w:vAlign w:val="bottom"/>
          </w:tcPr>
          <w:p>
            <w:pPr>
              <w:ind w:left="1660"/>
              <w:spacing w:after="0"/>
              <w:rPr>
                <w:sz w:val="20"/>
                <w:szCs w:val="20"/>
                <w:color w:val="auto"/>
              </w:rPr>
            </w:pPr>
            <w:r>
              <w:rPr>
                <w:rFonts w:ascii="Times New Roman" w:cs="Times New Roman" w:eastAsia="Times New Roman" w:hAnsi="Times New Roman"/>
                <w:sz w:val="12"/>
                <w:szCs w:val="12"/>
                <w:color w:val="auto"/>
                <w:w w:val="99"/>
              </w:rPr>
              <w:t>3.4 %</w:t>
            </w:r>
          </w:p>
        </w:tc>
      </w:tr>
      <w:tr>
        <w:trPr>
          <w:trHeight w:val="153"/>
        </w:trPr>
        <w:tc>
          <w:tcPr>
            <w:tcW w:w="8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+100 basis points</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0.8</w:t>
            </w: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2"/>
                <w:szCs w:val="12"/>
                <w:color w:val="auto"/>
              </w:rPr>
              <w:t>2.5</w:t>
            </w:r>
          </w:p>
        </w:tc>
      </w:tr>
      <w:tr>
        <w:trPr>
          <w:trHeight w:val="153"/>
        </w:trPr>
        <w:tc>
          <w:tcPr>
            <w:tcW w:w="86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+50 basis points</w:t>
            </w:r>
          </w:p>
        </w:tc>
        <w:tc>
          <w:tcPr>
            <w:tcW w:w="50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0.4</w:t>
            </w:r>
          </w:p>
        </w:tc>
        <w:tc>
          <w:tcPr>
            <w:tcW w:w="100" w:type="dxa"/>
            <w:vAlign w:val="bottom"/>
          </w:tcPr>
          <w:p>
            <w:pPr>
              <w:spacing w:after="0"/>
              <w:rPr>
                <w:sz w:val="13"/>
                <w:szCs w:val="13"/>
                <w:color w:val="auto"/>
              </w:rPr>
            </w:pPr>
          </w:p>
        </w:tc>
        <w:tc>
          <w:tcPr>
            <w:tcW w:w="1960" w:type="dxa"/>
            <w:vAlign w:val="bottom"/>
          </w:tcPr>
          <w:p>
            <w:pPr>
              <w:ind w:left="1660"/>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8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–50 basis points</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(0.7)</w:t>
            </w: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2"/>
                <w:szCs w:val="12"/>
                <w:color w:val="auto"/>
              </w:rPr>
              <w:t>(1.8)</w:t>
            </w:r>
          </w:p>
        </w:tc>
      </w:tr>
      <w:tr>
        <w:trPr>
          <w:trHeight w:val="153"/>
        </w:trPr>
        <w:tc>
          <w:tcPr>
            <w:tcW w:w="86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–100 basis points</w:t>
            </w: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(1.3)</w:t>
            </w:r>
          </w:p>
        </w:tc>
        <w:tc>
          <w:tcPr>
            <w:tcW w:w="100" w:type="dxa"/>
            <w:vAlign w:val="bottom"/>
          </w:tcPr>
          <w:p>
            <w:pPr>
              <w:spacing w:after="0"/>
              <w:rPr>
                <w:sz w:val="13"/>
                <w:szCs w:val="13"/>
                <w:color w:val="auto"/>
              </w:rPr>
            </w:pPr>
          </w:p>
        </w:tc>
        <w:tc>
          <w:tcPr>
            <w:tcW w:w="196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N/A</w:t>
            </w:r>
          </w:p>
        </w:tc>
      </w:tr>
      <w:tr>
        <w:trPr>
          <w:trHeight w:val="153"/>
        </w:trPr>
        <w:tc>
          <w:tcPr>
            <w:tcW w:w="8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 basis points</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(2.6)</w:t>
            </w: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2"/>
                <w:szCs w:val="12"/>
                <w:color w:val="auto"/>
              </w:rPr>
              <w:t>N/A</w:t>
            </w:r>
          </w:p>
        </w:tc>
      </w:tr>
      <w:tr>
        <w:trPr>
          <w:trHeight w:val="153"/>
        </w:trPr>
        <w:tc>
          <w:tcPr>
            <w:tcW w:w="8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Estimated impact on economic value of equity:</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153"/>
        </w:trPr>
        <w:tc>
          <w:tcPr>
            <w:tcW w:w="8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 basis points</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(4.3)</w:t>
            </w: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2"/>
                <w:szCs w:val="12"/>
                <w:color w:val="auto"/>
              </w:rPr>
              <w:t>(0.7)</w:t>
            </w:r>
          </w:p>
        </w:tc>
      </w:tr>
      <w:tr>
        <w:trPr>
          <w:trHeight w:val="153"/>
        </w:trPr>
        <w:tc>
          <w:tcPr>
            <w:tcW w:w="86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+100 basis points</w:t>
            </w: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(1.5)</w:t>
            </w:r>
          </w:p>
        </w:tc>
        <w:tc>
          <w:tcPr>
            <w:tcW w:w="100" w:type="dxa"/>
            <w:vAlign w:val="bottom"/>
          </w:tcPr>
          <w:p>
            <w:pPr>
              <w:spacing w:after="0"/>
              <w:rPr>
                <w:sz w:val="13"/>
                <w:szCs w:val="13"/>
                <w:color w:val="auto"/>
              </w:rPr>
            </w:pPr>
          </w:p>
        </w:tc>
        <w:tc>
          <w:tcPr>
            <w:tcW w:w="1960" w:type="dxa"/>
            <w:vAlign w:val="bottom"/>
          </w:tcPr>
          <w:p>
            <w:pPr>
              <w:ind w:left="1660"/>
              <w:spacing w:after="0"/>
              <w:rPr>
                <w:sz w:val="20"/>
                <w:szCs w:val="20"/>
                <w:color w:val="auto"/>
              </w:rPr>
            </w:pPr>
            <w:r>
              <w:rPr>
                <w:rFonts w:ascii="Times New Roman" w:cs="Times New Roman" w:eastAsia="Times New Roman" w:hAnsi="Times New Roman"/>
                <w:sz w:val="12"/>
                <w:szCs w:val="12"/>
                <w:color w:val="auto"/>
              </w:rPr>
              <w:t>1.9</w:t>
            </w:r>
          </w:p>
        </w:tc>
      </w:tr>
      <w:tr>
        <w:trPr>
          <w:trHeight w:val="153"/>
        </w:trPr>
        <w:tc>
          <w:tcPr>
            <w:tcW w:w="8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+50 basis points</w:t>
            </w:r>
          </w:p>
        </w:tc>
        <w:tc>
          <w:tcPr>
            <w:tcW w:w="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(0.7)</w:t>
            </w: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86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–50 basis points</w:t>
            </w:r>
          </w:p>
        </w:tc>
        <w:tc>
          <w:tcPr>
            <w:tcW w:w="50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0.4</w:t>
            </w:r>
          </w:p>
        </w:tc>
        <w:tc>
          <w:tcPr>
            <w:tcW w:w="100" w:type="dxa"/>
            <w:vAlign w:val="bottom"/>
          </w:tcPr>
          <w:p>
            <w:pPr>
              <w:spacing w:after="0"/>
              <w:rPr>
                <w:sz w:val="13"/>
                <w:szCs w:val="13"/>
                <w:color w:val="auto"/>
              </w:rPr>
            </w:pPr>
          </w:p>
        </w:tc>
        <w:tc>
          <w:tcPr>
            <w:tcW w:w="1960" w:type="dxa"/>
            <w:vAlign w:val="bottom"/>
          </w:tcPr>
          <w:p>
            <w:pPr>
              <w:ind w:left="1620"/>
              <w:spacing w:after="0"/>
              <w:rPr>
                <w:sz w:val="20"/>
                <w:szCs w:val="20"/>
                <w:color w:val="auto"/>
              </w:rPr>
            </w:pPr>
            <w:r>
              <w:rPr>
                <w:rFonts w:ascii="Times New Roman" w:cs="Times New Roman" w:eastAsia="Times New Roman" w:hAnsi="Times New Roman"/>
                <w:sz w:val="12"/>
                <w:szCs w:val="12"/>
                <w:color w:val="auto"/>
              </w:rPr>
              <w:t>(2.6)</w:t>
            </w:r>
          </w:p>
        </w:tc>
      </w:tr>
      <w:tr>
        <w:trPr>
          <w:trHeight w:val="153"/>
        </w:trPr>
        <w:tc>
          <w:tcPr>
            <w:tcW w:w="8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–100 basis points</w:t>
            </w:r>
          </w:p>
        </w:tc>
        <w:tc>
          <w:tcPr>
            <w:tcW w:w="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0.6</w:t>
            </w:r>
          </w:p>
        </w:tc>
        <w:tc>
          <w:tcPr>
            <w:tcW w:w="100" w:type="dxa"/>
            <w:vAlign w:val="bottom"/>
            <w:shd w:val="clear" w:color="auto" w:fill="CCEEFF"/>
          </w:tcPr>
          <w:p>
            <w:pPr>
              <w:spacing w:after="0"/>
              <w:rPr>
                <w:sz w:val="13"/>
                <w:szCs w:val="13"/>
                <w:color w:val="auto"/>
              </w:rPr>
            </w:pPr>
          </w:p>
        </w:tc>
        <w:tc>
          <w:tcPr>
            <w:tcW w:w="19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2"/>
                <w:szCs w:val="12"/>
                <w:color w:val="auto"/>
              </w:rPr>
              <w:t>N/A</w:t>
            </w:r>
          </w:p>
        </w:tc>
      </w:tr>
      <w:tr>
        <w:trPr>
          <w:trHeight w:val="159"/>
        </w:trPr>
        <w:tc>
          <w:tcPr>
            <w:tcW w:w="86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–200 basis points</w:t>
            </w:r>
          </w:p>
        </w:tc>
        <w:tc>
          <w:tcPr>
            <w:tcW w:w="50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(0.2)</w:t>
            </w:r>
          </w:p>
        </w:tc>
        <w:tc>
          <w:tcPr>
            <w:tcW w:w="100" w:type="dxa"/>
            <w:vAlign w:val="bottom"/>
          </w:tcPr>
          <w:p>
            <w:pPr>
              <w:spacing w:after="0"/>
              <w:rPr>
                <w:sz w:val="13"/>
                <w:szCs w:val="13"/>
                <w:color w:val="auto"/>
              </w:rPr>
            </w:pPr>
          </w:p>
        </w:tc>
        <w:tc>
          <w:tcPr>
            <w:tcW w:w="196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N/A</w:t>
            </w:r>
          </w:p>
        </w:tc>
      </w:tr>
    </w:tbl>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to these industry standard measures, we also consider the potential impact of alternative interest rate scenarios, such as stressed rate shocks as well as steepening and flattening yield curve scenarios in our internal interest rate risk management decisions.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Limitations of Market Risk Measures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interest rate risk models that we use in deriving these measures incorporate contractual information, internally-developed assumptions and proprietary modeling methodologies, which project borrower and depositor behavior patterns in certain interest rate environments. Other market inputs, such as interest rates, market prices and interest rate volatility, are also critical components of our interest rate risk measures. We regularly evaluate, update and enhance these assumptions, models and analytical tools as we believe appropriate to reflect our best assessment of the market environment and the expected behavior patterns of our existing assets and liabilities.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There are inherent limitations in any methodology used to estimate the exposure to changes in market interest rates. The sensitivity analysis described above contemplates only certain movements in interest rates and is performed at a particular point in time based on our existing balance sheet and, in some cases, expected future business growth and funding mix assumptions. The strategic actions that management may take to manage our balance sheet may differ significantly from our projections, which could cause our actual earnings and economic value of equity sensitivities to differ substantially from the above sensitivity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further information on our interest rate exposures, see “Part II—Item 8. Financial Statements and Supplementary Data—Note 9—Derivative Instruments and Hedging Activities.”</w:t>
      </w:r>
    </w:p>
    <w:p>
      <w:pPr>
        <w:spacing w:after="0" w:line="200" w:lineRule="exact"/>
        <w:rPr>
          <w:sz w:val="20"/>
          <w:szCs w:val="20"/>
          <w:color w:val="auto"/>
        </w:rPr>
      </w:pPr>
    </w:p>
    <w:p>
      <w:pPr>
        <w:spacing w:after="0" w:line="369"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98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Foreign Exchange Risk</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Foreign exchange risk represents exposure to changes in the values of current holdings and future cash flows denominated in other currencies. We are exposed to foreign exchange risk primarily from the intercompany funding denominated in pound sterling (“GBP”) and the Canadian dollar (“CAD”) that we provide to our businesses in the U.K. and Canada and net equity investments in those businesses. We are also exposed to foreign exchange risk due to changes in the dollar-denominated value of future earnings and cash flows from our foreign operations and from our Euro (“EUR”)-denominated borrowings.</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non-dollar denominated intercompany funding and EUR-denominated borrowings expose our earnings to foreign exchange transaction risk. We manage these transaction risks by using forward foreign currency derivatives and cross-currency swaps to hedge our exposures. We measure our foreign exchange transaction risk exposures by applying a 1% U.S. dollar appreciation shock against the value of the non-dollar denominated intercompany funding and EUR-denominated borrowings and their related hedges, which shows the impact to our earnings from foreign exchange risk. Our nominal intercompany funding outstanding was 785 million GBP and 520 million GBP as of December 31, 2022 and 2021, respectively, and 1.7 billion CAD and 5.0 billion CAD as of December 31, 2022 and 2021, respectively. Our nominal EUR-denominated borrowings outstanding were 1.3 billion EUR and 1.2 billion EUR as of December 31, 2022 and 2021, respectively.</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non-dollar equity investments in foreign operations expose our balance sheet to translation risk in AOCI and our capital ratios. We manage our AOCI exposure by entering into foreign currency derivatives designated as net investment hedges. We measure these exposures by applying a 30% U.S. dollar appreciation shock, which we believe approximates a significant adverse shock over a one-year time horizon, against the value of the equity invested in our foreign operations net of related net investment hedges where applicable. Our gross equity exposures in our U.K. and Canadian operations were 1.9 billion GBP and 1.8 billion GBP as of December 31, 2022 and 2021, respectively and 2.2 billion CAD and 1.9 billion CAD as of December 31, 2022 and 2021,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a result of our derivative management activities, we believe our net exposure to foreign exchange risk is minimal.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related to Customer Accommodation Derivatives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offer interest rate, commodity and foreign currency derivatives as an accommodation to our customers within our Commercial Banking business. We offset the majority of the market risk of these customer accommodation derivatives by entering into offsetting derivatives transactions with other counterparties. We use value-at-risk (“VaR”) as the primary method to measure the market risk in our customer accommodation derivative activities on a daily basis. VaR is a statistical risk measure used to estimate the potential loss from movements observed in the recent market environment. We employ a historical simulation approach using the most recent 500 business days and use a 99 percent confidence level and a holding period of one business day. As a result of offsetting our customer exposures with other counterparties, we believe that our net exposure to market risk in our customer accommodation derivatives is minimal. For further information on our risk related to customer accommodation derivatives, see “Part II—Item 8. Financial Statements and Supplementary Data—Note 9—Derivative Instruments and Hedging Activities.”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London Interbank Offered Rate Transition</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July 27, 2017, the U.K. Financial Conduct Authority (“FCA”), the regulator for the administration of LIBOR, announced that LIBOR would be phased out as an interest rate benchmark and that it will no longer compel panel banks to contribute LIBOR data beyond December 31, 2021.</w:t>
      </w:r>
    </w:p>
    <w:p>
      <w:pPr>
        <w:spacing w:after="0" w:line="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On March 5, 2021, the ICE Benchmark Administration (“IBA”), the administrator of LIBOR, confirmed its intention to cease publication of the 1-week and 2-month U.S. dollar (“USD”) LIBOR settings immediately following the LIBOR publication on December 31, 2021, and the remaining USD LIBOR tenors (overnight; 1, 3, 6, and 12 months) immediately following the LIBOR publication on June 30, 2023. The continuation of USD LIBOR as a representative rate into mid-2023 will allow many legacy USD LIBOR contracts to mature prior to cessation. Following IBA’s announcement, the FCA formally announced the future permanent cessation and loss of representativeness of LIBOR benchmarks. The Federal Banking Agencies issued further guidance that banking organizations should cease using USD LIBOR as a reference rate in new contracts as soon as practicable and in any event by December 31, 2021. Consistent with the Federal Banking Agencies’ guidance, we ceased entering into new contracts referencing USD LIBOR as a reference rate as of January 1, 2022, subject to certain permissible exceptions.</w:t>
      </w:r>
    </w:p>
    <w:p>
      <w:pPr>
        <w:spacing w:after="0" w:line="14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On December 16, 2022, the Federal Reserve Board adopted the final rule that implemented the LIBOR Act. The LIBOR Act identified benchmark replacement rates based on SOFR for covered derivative transactions and cash transactions where a</w:t>
      </w:r>
    </w:p>
    <w:p>
      <w:pPr>
        <w:spacing w:after="0" w:line="200" w:lineRule="exact"/>
        <w:rPr>
          <w:sz w:val="20"/>
          <w:szCs w:val="20"/>
          <w:color w:val="auto"/>
        </w:rPr>
      </w:pPr>
    </w:p>
    <w:p>
      <w:pPr>
        <w:spacing w:after="0" w:line="231" w:lineRule="exact"/>
        <w:rPr>
          <w:sz w:val="20"/>
          <w:szCs w:val="20"/>
          <w:color w:val="auto"/>
        </w:rPr>
      </w:pPr>
    </w:p>
    <w:p>
      <w:pPr>
        <w:ind w:left="5580"/>
        <w:spacing w:after="0"/>
        <w:tabs>
          <w:tab w:leader="none" w:pos="9660" w:val="left"/>
        </w:tabs>
        <w:rPr>
          <w:sz w:val="20"/>
          <w:szCs w:val="20"/>
          <w:color w:val="auto"/>
        </w:rPr>
      </w:pPr>
      <w:r>
        <w:rPr>
          <w:rFonts w:ascii="Times New Roman" w:cs="Times New Roman" w:eastAsia="Times New Roman" w:hAnsi="Times New Roman"/>
          <w:sz w:val="8"/>
          <w:szCs w:val="8"/>
          <w:color w:val="auto"/>
        </w:rPr>
        <w:t>99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practicable interest rate fallback method has not been established by June 30, 2023, including those in which a government-sponsored enterprise is a party.</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Our LIBOR transition effort remains focused on proactively transitioning exposures to an alternative rate or incorporating transition language (“fallback language”) to provide a contractual mechanism for transitioning upon the LIBOR cessation. Our fallback language aligns with the language recommended by the Alternative Reference Rates Committee (“ARRC”) in our lending contracts and the International Swaps and Derivatives Association (“ISDA”) in our derivative contracts and agreements to the greatest extent possible.</w:t>
      </w:r>
    </w:p>
    <w:p>
      <w:pPr>
        <w:spacing w:after="0" w:line="1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Our enterprise LIBOR transition program team, which has been working on this effort since 2018 and includes senior management representatives from across the enterprise, provides monthly reporting to senior management and quarterly reporting to our Board of Directors. The information provided to senior management and the Board of Directors includes exposure reporting, updates on progress toward our goals to reduce our LIBOR exposure and relevant regulatory or industry developments.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continue to focus our LIBOR transition efforts on:</w:t>
      </w:r>
    </w:p>
    <w:p>
      <w:pPr>
        <w:spacing w:after="0" w:line="114" w:lineRule="exact"/>
        <w:rPr>
          <w:sz w:val="20"/>
          <w:szCs w:val="20"/>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monitoring established controls to prevent the origination of impermissible LIBOR indexed instruments</w:t>
      </w:r>
    </w:p>
    <w:p>
      <w:pPr>
        <w:spacing w:after="0" w:line="114"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working with impacted customers and counterparties to remediate remaining LIBOR contracts and our central counterparty clearinghouses and derivative clearinghouses for conversion of centrally cleared USD LIBOR products</w:t>
      </w:r>
    </w:p>
    <w:p>
      <w:pPr>
        <w:spacing w:after="0" w:line="75"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engaging with our clients, industry working groups, and regulators</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preparing to transition remaining contracts, including those with hardwired fallback language, operable legacy fallback language and those covered under the scope of the LIBOR Act.</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majority of LIBOR contracts that we have transitioned to alternative rates have employed SOFR. In the U.S., SOFR has been selected as the preferred alternative rate by the ARRC for certain U.S. dollar derivative and cash instruments. We have proactively worked with customers and prepared our systems, models, valuation tools and processes to focus originations on SOFR and other non-LIBOR rates and will continue to do so as needed. While the majority of our non-LIBOR transactions have utilized SOFR, we have also employed credit sensitive alternative rates to LIBOR, to a limited extent, in response to customer demand.</w:t>
      </w:r>
    </w:p>
    <w:p>
      <w:pPr>
        <w:spacing w:after="0" w:line="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To track transition status, instruments are categorized based on whether they have fallback language (which may or may not adhere to the ISDA and ARRC standards) or have no fallback language. The majority of the instruments maturing after June 30, 2023 are derivatives and commercial loans, which are summarized in the table below. Of these instruments, the majority contain fallback language which adheres to the ISDA and ARRC standards. The LIBOR Act provides a means for transitioning certain contracts that lack fallback language and which we are not able to otherwise remediate prior to LIBOR cessation. We will continue to focus on reducing our LIBOR exposures through our transition efforts, normal operations and customer interactions.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36: LIBOR Exposures on Derivatives and Commercial Loans</w:t>
            </w:r>
          </w:p>
        </w:tc>
        <w:tc>
          <w:tcPr>
            <w:tcW w:w="3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32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2"/>
                <w:szCs w:val="12"/>
                <w:b w:val="1"/>
                <w:bCs w:val="1"/>
                <w:color w:val="auto"/>
              </w:rPr>
              <w:t>Exposure Type</w:t>
            </w:r>
            <w:r>
              <w:rPr>
                <w:rFonts w:ascii="Times New Roman" w:cs="Times New Roman" w:eastAsia="Times New Roman" w:hAnsi="Times New Roman"/>
                <w:sz w:val="15"/>
                <w:szCs w:val="15"/>
                <w:b w:val="1"/>
                <w:bCs w:val="1"/>
                <w:color w:val="auto"/>
                <w:vertAlign w:val="superscript"/>
              </w:rPr>
              <w:t>(1)</w:t>
            </w:r>
          </w:p>
        </w:tc>
        <w:tc>
          <w:tcPr>
            <w:tcW w:w="340" w:type="dxa"/>
            <w:vAlign w:val="bottom"/>
          </w:tcPr>
          <w:p>
            <w:pPr>
              <w:spacing w:after="0"/>
              <w:rPr>
                <w:sz w:val="9"/>
                <w:szCs w:val="9"/>
                <w:color w:val="auto"/>
              </w:rPr>
            </w:pPr>
          </w:p>
        </w:tc>
        <w:tc>
          <w:tcPr>
            <w:tcW w:w="2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Total LIBOR Commitments</w:t>
            </w:r>
          </w:p>
        </w:tc>
        <w:tc>
          <w:tcPr>
            <w:tcW w:w="272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w w:val="99"/>
              </w:rPr>
              <w:t>Total LIBOR Commitments Maturing after June</w:t>
            </w:r>
          </w:p>
        </w:tc>
        <w:tc>
          <w:tcPr>
            <w:tcW w:w="2660" w:type="dxa"/>
            <w:vAlign w:val="bottom"/>
            <w:gridSpan w:val="2"/>
          </w:tcPr>
          <w:p>
            <w:pPr>
              <w:jc w:val="right"/>
              <w:ind w:right="22"/>
              <w:spacing w:after="0" w:line="109" w:lineRule="exact"/>
              <w:rPr>
                <w:sz w:val="20"/>
                <w:szCs w:val="20"/>
                <w:color w:val="auto"/>
              </w:rPr>
            </w:pPr>
            <w:r>
              <w:rPr>
                <w:rFonts w:ascii="Times New Roman" w:cs="Times New Roman" w:eastAsia="Times New Roman" w:hAnsi="Times New Roman"/>
                <w:sz w:val="12"/>
                <w:szCs w:val="12"/>
                <w:b w:val="1"/>
                <w:bCs w:val="1"/>
                <w:color w:val="auto"/>
              </w:rPr>
              <w:t>Total LIBOR Commitments Maturing after June</w:t>
            </w:r>
          </w:p>
        </w:tc>
        <w:tc>
          <w:tcPr>
            <w:tcW w:w="0" w:type="dxa"/>
            <w:vAlign w:val="bottom"/>
          </w:tcPr>
          <w:p>
            <w:pPr>
              <w:spacing w:after="0"/>
              <w:rPr>
                <w:sz w:val="1"/>
                <w:szCs w:val="1"/>
                <w:color w:val="auto"/>
              </w:rPr>
            </w:pPr>
          </w:p>
        </w:tc>
      </w:tr>
      <w:tr>
        <w:trPr>
          <w:trHeight w:val="159"/>
        </w:trPr>
        <w:tc>
          <w:tcPr>
            <w:tcW w:w="32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18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30, 2023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30, 2023 Without Fallback Language</w:t>
            </w: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Derivatives</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300" w:type="dxa"/>
            <w:vAlign w:val="bottom"/>
            <w:tcBorders>
              <w:top w:val="single" w:sz="8" w:color="auto"/>
            </w:tcBorders>
            <w:shd w:val="clear" w:color="auto" w:fill="CCEEFF"/>
          </w:tcPr>
          <w:p>
            <w:pPr>
              <w:jc w:val="center"/>
              <w:ind w:left="1802"/>
              <w:spacing w:after="0"/>
              <w:rPr>
                <w:sz w:val="20"/>
                <w:szCs w:val="20"/>
                <w:color w:val="auto"/>
              </w:rPr>
            </w:pPr>
            <w:r>
              <w:rPr>
                <w:rFonts w:ascii="Times New Roman" w:cs="Times New Roman" w:eastAsia="Times New Roman" w:hAnsi="Times New Roman"/>
                <w:sz w:val="12"/>
                <w:szCs w:val="12"/>
                <w:b w:val="1"/>
                <w:bCs w:val="1"/>
                <w:color w:val="auto"/>
                <w:w w:val="96"/>
              </w:rPr>
              <w:t>38,257</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34,606</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7,211</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Commercial loans</w:t>
            </w:r>
          </w:p>
        </w:tc>
        <w:tc>
          <w:tcPr>
            <w:tcW w:w="3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jc w:val="center"/>
              <w:ind w:left="1802"/>
              <w:spacing w:after="0"/>
              <w:rPr>
                <w:sz w:val="20"/>
                <w:szCs w:val="20"/>
                <w:color w:val="auto"/>
              </w:rPr>
            </w:pPr>
            <w:r>
              <w:rPr>
                <w:rFonts w:ascii="Times New Roman" w:cs="Times New Roman" w:eastAsia="Times New Roman" w:hAnsi="Times New Roman"/>
                <w:sz w:val="12"/>
                <w:szCs w:val="12"/>
                <w:b w:val="1"/>
                <w:bCs w:val="1"/>
                <w:color w:val="auto"/>
                <w:w w:val="96"/>
              </w:rPr>
              <w:t>33,099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28,994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887</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300" w:type="dxa"/>
            <w:vAlign w:val="bottom"/>
            <w:tcBorders>
              <w:bottom w:val="single" w:sz="8" w:color="auto"/>
            </w:tcBorders>
            <w:shd w:val="clear" w:color="auto" w:fill="CCEEFF"/>
          </w:tcPr>
          <w:p>
            <w:pPr>
              <w:jc w:val="center"/>
              <w:ind w:left="1802"/>
              <w:spacing w:after="0"/>
              <w:rPr>
                <w:sz w:val="20"/>
                <w:szCs w:val="20"/>
                <w:color w:val="auto"/>
              </w:rPr>
            </w:pPr>
            <w:r>
              <w:rPr>
                <w:rFonts w:ascii="Times New Roman" w:cs="Times New Roman" w:eastAsia="Times New Roman" w:hAnsi="Times New Roman"/>
                <w:sz w:val="12"/>
                <w:szCs w:val="12"/>
                <w:b w:val="1"/>
                <w:bCs w:val="1"/>
                <w:color w:val="auto"/>
                <w:w w:val="96"/>
              </w:rPr>
              <w:t>71,356</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63,600</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8,098</w:t>
            </w:r>
          </w:p>
        </w:tc>
        <w:tc>
          <w:tcPr>
            <w:tcW w:w="0" w:type="dxa"/>
            <w:vAlign w:val="bottom"/>
          </w:tcPr>
          <w:p>
            <w:pPr>
              <w:spacing w:after="0"/>
              <w:rPr>
                <w:sz w:val="1"/>
                <w:szCs w:val="1"/>
                <w:color w:val="auto"/>
              </w:rPr>
            </w:pPr>
          </w:p>
        </w:tc>
      </w:tr>
      <w:tr>
        <w:trPr>
          <w:trHeight w:val="66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jc w:val="center"/>
              <w:ind w:left="1822"/>
              <w:spacing w:after="0"/>
              <w:rPr>
                <w:sz w:val="20"/>
                <w:szCs w:val="20"/>
                <w:color w:val="auto"/>
              </w:rPr>
            </w:pPr>
            <w:r>
              <w:rPr>
                <w:rFonts w:ascii="Times New Roman" w:cs="Times New Roman" w:eastAsia="Times New Roman" w:hAnsi="Times New Roman"/>
                <w:sz w:val="10"/>
                <w:szCs w:val="10"/>
                <w:color w:val="auto"/>
                <w:w w:val="93"/>
              </w:rPr>
              <w:t>100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c>
          <w:tcPr>
            <w:tcW w:w="0" w:type="dxa"/>
            <w:vAlign w:val="bottom"/>
          </w:tcPr>
          <w:p>
            <w:pPr>
              <w:spacing w:after="0"/>
              <w:rPr>
                <w:sz w:val="1"/>
                <w:szCs w:val="1"/>
                <w:color w:val="auto"/>
              </w:rPr>
            </w:pPr>
          </w:p>
        </w:tc>
      </w:tr>
      <w:tr>
        <w:trPr>
          <w:trHeight w:val="260"/>
        </w:trPr>
        <w:tc>
          <w:tcPr>
            <w:tcW w:w="31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230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21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24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101" w:name="page102"/>
    <w:bookmarkEnd w:id="101"/>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2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20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2"/>
                <w:szCs w:val="12"/>
                <w:b w:val="1"/>
                <w:bCs w:val="1"/>
                <w:color w:val="auto"/>
              </w:rPr>
              <w:t>Exposure Type</w:t>
            </w:r>
            <w:r>
              <w:rPr>
                <w:rFonts w:ascii="Times New Roman" w:cs="Times New Roman" w:eastAsia="Times New Roman" w:hAnsi="Times New Roman"/>
                <w:sz w:val="15"/>
                <w:szCs w:val="15"/>
                <w:b w:val="1"/>
                <w:bCs w:val="1"/>
                <w:color w:val="auto"/>
                <w:vertAlign w:val="superscript"/>
              </w:rPr>
              <w:t>(1)</w:t>
            </w:r>
          </w:p>
        </w:tc>
        <w:tc>
          <w:tcPr>
            <w:tcW w:w="340" w:type="dxa"/>
            <w:vAlign w:val="bottom"/>
          </w:tcPr>
          <w:p>
            <w:pPr>
              <w:spacing w:after="0"/>
              <w:rPr>
                <w:sz w:val="9"/>
                <w:szCs w:val="9"/>
                <w:color w:val="auto"/>
              </w:rPr>
            </w:pPr>
          </w:p>
        </w:tc>
        <w:tc>
          <w:tcPr>
            <w:tcW w:w="2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Total LIBOR Commitments</w:t>
            </w:r>
          </w:p>
        </w:tc>
        <w:tc>
          <w:tcPr>
            <w:tcW w:w="272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Total LIBOR Commitments Maturing after June</w:t>
            </w:r>
          </w:p>
        </w:tc>
        <w:tc>
          <w:tcPr>
            <w:tcW w:w="2660" w:type="dxa"/>
            <w:vAlign w:val="bottom"/>
            <w:gridSpan w:val="2"/>
          </w:tcPr>
          <w:p>
            <w:pPr>
              <w:jc w:val="right"/>
              <w:ind w:right="20"/>
              <w:spacing w:after="0" w:line="106" w:lineRule="exact"/>
              <w:rPr>
                <w:sz w:val="20"/>
                <w:szCs w:val="20"/>
                <w:color w:val="auto"/>
              </w:rPr>
            </w:pPr>
            <w:r>
              <w:rPr>
                <w:rFonts w:ascii="Times New Roman" w:cs="Times New Roman" w:eastAsia="Times New Roman" w:hAnsi="Times New Roman"/>
                <w:sz w:val="12"/>
                <w:szCs w:val="12"/>
                <w:b w:val="1"/>
                <w:bCs w:val="1"/>
                <w:color w:val="auto"/>
              </w:rPr>
              <w:t>Total LIBOR Commitments Maturing after June</w:t>
            </w:r>
          </w:p>
        </w:tc>
        <w:tc>
          <w:tcPr>
            <w:tcW w:w="0" w:type="dxa"/>
            <w:vAlign w:val="bottom"/>
          </w:tcPr>
          <w:p>
            <w:pPr>
              <w:spacing w:after="0"/>
              <w:rPr>
                <w:sz w:val="1"/>
                <w:szCs w:val="1"/>
                <w:color w:val="auto"/>
              </w:rPr>
            </w:pPr>
          </w:p>
        </w:tc>
      </w:tr>
      <w:tr>
        <w:trPr>
          <w:trHeight w:val="162"/>
        </w:trPr>
        <w:tc>
          <w:tcPr>
            <w:tcW w:w="3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180" w:type="dxa"/>
            <w:vAlign w:val="bottom"/>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30, 2023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30, 2023 Without Fallback Language</w:t>
            </w: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Derivatives</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103,562</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64,605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14,536</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Commercial loans</w:t>
            </w:r>
          </w:p>
        </w:tc>
        <w:tc>
          <w:tcPr>
            <w:tcW w:w="3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101,488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71,874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2,047</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205,050</w:t>
            </w: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136,479</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16,583</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w:t>
      </w:r>
    </w:p>
    <w:p>
      <w:pPr>
        <w:spacing w:after="0" w:line="24" w:lineRule="exact"/>
        <w:rPr>
          <w:sz w:val="20"/>
          <w:szCs w:val="20"/>
          <w:color w:val="auto"/>
        </w:rPr>
      </w:pPr>
    </w:p>
    <w:p>
      <w:pPr>
        <w:ind w:left="208" w:hanging="208"/>
        <w:spacing w:after="0"/>
        <w:tabs>
          <w:tab w:leader="none" w:pos="208" w:val="left"/>
        </w:tabs>
        <w:numPr>
          <w:ilvl w:val="0"/>
          <w:numId w:val="6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Commercial loan balances represent maximum potential exposures and derivatives represent notional exposure.</w:t>
      </w:r>
    </w:p>
    <w:p>
      <w:pPr>
        <w:spacing w:after="0" w:line="96"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These transition efforts have been implemented to remediate our remaining LIBOR contracts by June 30, 2023. For a further discussion of the various risks we face in connection with the expected replacement of LIBOR on our operations, see “Part I—Item 1A. Risk Factors—</w:t>
      </w:r>
      <w:r>
        <w:rPr>
          <w:rFonts w:ascii="Times New Roman" w:cs="Times New Roman" w:eastAsia="Times New Roman" w:hAnsi="Times New Roman"/>
          <w:sz w:val="12"/>
          <w:szCs w:val="12"/>
          <w:i w:val="1"/>
          <w:iCs w:val="1"/>
          <w:color w:val="auto"/>
        </w:rPr>
        <w:t>The transition away from LIBOR may adversely affect our business.</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340"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101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SUPPLEMENTAL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Table A—Net Charge-Offs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74"/>
        </w:trPr>
        <w:tc>
          <w:tcPr>
            <w:tcW w:w="7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142"/>
        </w:trPr>
        <w:tc>
          <w:tcPr>
            <w:tcW w:w="75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280" w:type="dxa"/>
            <w:vAlign w:val="bottom"/>
          </w:tcPr>
          <w:p>
            <w:pPr>
              <w:spacing w:after="0"/>
              <w:rPr>
                <w:sz w:val="12"/>
                <w:szCs w:val="12"/>
                <w:color w:val="auto"/>
              </w:rPr>
            </w:pPr>
          </w:p>
        </w:tc>
        <w:tc>
          <w:tcPr>
            <w:tcW w:w="92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42"/>
        </w:trPr>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loans held for investment</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292,238</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252,730</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253,335</w:t>
            </w:r>
          </w:p>
        </w:tc>
      </w:tr>
      <w:tr>
        <w:trPr>
          <w:trHeight w:val="153"/>
        </w:trPr>
        <w:tc>
          <w:tcPr>
            <w:tcW w:w="7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charge-offs</w:t>
            </w:r>
          </w:p>
        </w:tc>
        <w:tc>
          <w:tcPr>
            <w:tcW w:w="280" w:type="dxa"/>
            <w:vAlign w:val="bottom"/>
          </w:tcPr>
          <w:p>
            <w:pPr>
              <w:spacing w:after="0"/>
              <w:rPr>
                <w:sz w:val="13"/>
                <w:szCs w:val="13"/>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3,973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5,225</w:t>
            </w:r>
          </w:p>
        </w:tc>
      </w:tr>
      <w:tr>
        <w:trPr>
          <w:trHeight w:val="153"/>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charge-off rate</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1.36 %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0.88 %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2.06 %</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B—Reconciliation of Non-GAAP Measures</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following non-GAAP measure consists of our adjusted results that we believe helps investors and users of our financial information understand the effect of adjusting items on our selected reported results; however, it may not be comparable to similarly-titled measures reported by other companies. This adjusted result provides alternate measurements of our operating performance, both for the current period and trends across multiple periods. The following table presents reconciliations of the non-GAAP measure to the applicable amounts measured in accordance with GAAP. The non-GAAP measure below should not be viewed as a substitute for reported results determined in accordance with GAAP.</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6"/>
        </w:trPr>
        <w:tc>
          <w:tcPr>
            <w:tcW w:w="75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280" w:type="dxa"/>
            <w:vAlign w:val="bottom"/>
          </w:tcPr>
          <w:p>
            <w:pPr>
              <w:spacing w:after="0"/>
              <w:rPr>
                <w:sz w:val="11"/>
                <w:szCs w:val="11"/>
                <w:color w:val="auto"/>
              </w:rPr>
            </w:pPr>
          </w:p>
        </w:tc>
        <w:tc>
          <w:tcPr>
            <w:tcW w:w="92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34"/>
        </w:trPr>
        <w:tc>
          <w:tcPr>
            <w:tcW w:w="7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Adjusted operating efficiency ratio:</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43"/>
        </w:trPr>
        <w:tc>
          <w:tcPr>
            <w:tcW w:w="7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expense (GAAP)</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15,146</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13,699</w:t>
            </w:r>
          </w:p>
        </w:tc>
        <w:tc>
          <w:tcPr>
            <w:tcW w:w="10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13,446</w:t>
            </w:r>
          </w:p>
        </w:tc>
      </w:tr>
      <w:tr>
        <w:trPr>
          <w:trHeight w:val="145"/>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Insurance recoveries and legal reserve activity</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(313)</w:t>
            </w:r>
          </w:p>
        </w:tc>
      </w:tr>
      <w:tr>
        <w:trPr>
          <w:trHeight w:val="143"/>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Restructuring charges</w:t>
            </w: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r>
      <w:tr>
        <w:trPr>
          <w:trHeight w:val="145"/>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Cybersecurity Incident expenses, net of insurance</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(27)</w:t>
            </w:r>
          </w:p>
        </w:tc>
      </w:tr>
      <w:tr>
        <w:trPr>
          <w:trHeight w:val="149"/>
        </w:trPr>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Adjusted operating expense (non-GAAP)</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15,251</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13,599</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13,106</w:t>
            </w:r>
          </w:p>
        </w:tc>
      </w:tr>
      <w:tr>
        <w:trPr>
          <w:trHeight w:val="126"/>
        </w:trPr>
        <w:tc>
          <w:tcPr>
            <w:tcW w:w="7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43"/>
        </w:trPr>
        <w:tc>
          <w:tcPr>
            <w:tcW w:w="7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net revenue (GAAP)</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34,250</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30,435</w:t>
            </w:r>
          </w:p>
        </w:tc>
        <w:tc>
          <w:tcPr>
            <w:tcW w:w="10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28,523</w:t>
            </w:r>
          </w:p>
        </w:tc>
      </w:tr>
      <w:tr>
        <w:trPr>
          <w:trHeight w:val="145"/>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U.K. PPI Reserve</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w:t>
            </w:r>
          </w:p>
        </w:tc>
      </w:tr>
      <w:tr>
        <w:trPr>
          <w:trHeight w:val="149"/>
        </w:trPr>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Adjusted net revenue (non-GAAP)</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34,250</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30,435</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28,487</w:t>
            </w:r>
          </w:p>
        </w:tc>
      </w:tr>
      <w:tr>
        <w:trPr>
          <w:trHeight w:val="126"/>
        </w:trPr>
        <w:tc>
          <w:tcPr>
            <w:tcW w:w="7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43"/>
        </w:trPr>
        <w:tc>
          <w:tcPr>
            <w:tcW w:w="7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efficiency ratio (GAAP)</w:t>
            </w:r>
          </w:p>
        </w:tc>
        <w:tc>
          <w:tcPr>
            <w:tcW w:w="280" w:type="dxa"/>
            <w:vAlign w:val="bottom"/>
          </w:tcPr>
          <w:p>
            <w:pPr>
              <w:spacing w:after="0"/>
              <w:rPr>
                <w:sz w:val="12"/>
                <w:szCs w:val="12"/>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44.22%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45.01%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47.14%</w:t>
            </w:r>
          </w:p>
        </w:tc>
      </w:tr>
      <w:tr>
        <w:trPr>
          <w:trHeight w:val="145"/>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Impact of adjustments noted above</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31bps</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(33)bps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(113)bps</w:t>
            </w:r>
          </w:p>
        </w:tc>
      </w:tr>
      <w:tr>
        <w:trPr>
          <w:trHeight w:val="132"/>
        </w:trPr>
        <w:tc>
          <w:tcPr>
            <w:tcW w:w="7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Adjusted operating efficiency ratio (non-GAAP)</w:t>
            </w:r>
          </w:p>
        </w:tc>
        <w:tc>
          <w:tcPr>
            <w:tcW w:w="2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44.53%</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44.68%</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46.01%</w:t>
            </w:r>
          </w:p>
        </w:tc>
      </w:tr>
      <w:tr>
        <w:trPr>
          <w:trHeight w:val="20"/>
        </w:trPr>
        <w:tc>
          <w:tcPr>
            <w:tcW w:w="7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102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103" w:name="page104"/>
    <w:bookmarkEnd w:id="10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following non-GAAP measures consist of TCE, tangible assets and metrics computed using these amounts, which include tangible book value per common share, return on average tangible assets, return on average TCE and TCE ratio. We consider these metrics to be key financial performance measures that management uses in assessing capital adequacy and the level of returns generated. While these non-GAAP measures are widely used by investors, analysts and bank regulatory agencies to assess the capital position of financial services companies, they may not be comparable to similarly-titled measures reported by other companies. The following table presents reconciliations of these non-GAAP measures to the applicable amounts measured in accordance with GAAP. These non-GAAP measures should not be viewed as a substitute for reported results determined in accordance with GAAP.</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36"/>
        </w:trPr>
        <w:tc>
          <w:tcPr>
            <w:tcW w:w="75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(Dollars in millions, except as noted)</w:t>
            </w:r>
          </w:p>
        </w:tc>
        <w:tc>
          <w:tcPr>
            <w:tcW w:w="280" w:type="dxa"/>
            <w:vAlign w:val="bottom"/>
          </w:tcPr>
          <w:p>
            <w:pPr>
              <w:spacing w:after="0"/>
              <w:rPr>
                <w:sz w:val="11"/>
                <w:szCs w:val="11"/>
                <w:color w:val="auto"/>
              </w:rPr>
            </w:pPr>
          </w:p>
        </w:tc>
        <w:tc>
          <w:tcPr>
            <w:tcW w:w="92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34"/>
        </w:trPr>
        <w:tc>
          <w:tcPr>
            <w:tcW w:w="7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Tangible Common Equity (Period-End):</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r>
      <w:tr>
        <w:trPr>
          <w:trHeight w:val="143"/>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Stockholders’ equity</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52,582</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61,029</w:t>
            </w:r>
          </w:p>
        </w:tc>
        <w:tc>
          <w:tcPr>
            <w:tcW w:w="10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60,204</w:t>
            </w:r>
          </w:p>
        </w:tc>
      </w:tr>
      <w:tr>
        <w:trPr>
          <w:trHeight w:val="145"/>
        </w:trPr>
        <w:tc>
          <w:tcPr>
            <w:tcW w:w="75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1"/>
                <w:szCs w:val="11"/>
                <w:color w:val="auto"/>
              </w:rPr>
              <w:t>Goodwill and other intangible assets</w:t>
            </w:r>
            <w:r>
              <w:rPr>
                <w:rFonts w:ascii="Times New Roman" w:cs="Times New Roman" w:eastAsia="Times New Roman" w:hAnsi="Times New Roman"/>
                <w:sz w:val="14"/>
                <w:szCs w:val="14"/>
                <w:color w:val="auto"/>
                <w:vertAlign w:val="superscript"/>
              </w:rPr>
              <w:t>(1)</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(14,902)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(14,907)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(14,809)</w:t>
            </w:r>
          </w:p>
        </w:tc>
      </w:tr>
      <w:tr>
        <w:trPr>
          <w:trHeight w:val="143"/>
        </w:trPr>
        <w:tc>
          <w:tcPr>
            <w:tcW w:w="75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Noncumulative perpetual preferred stock</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(4,845)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(4,845)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(4,847)</w:t>
            </w:r>
          </w:p>
        </w:tc>
      </w:tr>
      <w:tr>
        <w:trPr>
          <w:trHeight w:val="153"/>
        </w:trPr>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Tangible common equity</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32,835</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41,277</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40,548</w:t>
            </w:r>
          </w:p>
        </w:tc>
      </w:tr>
      <w:tr>
        <w:trPr>
          <w:trHeight w:val="122"/>
        </w:trPr>
        <w:tc>
          <w:tcPr>
            <w:tcW w:w="75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Tangible Common Equity (Average):</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5"/>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Stockholders’ equity</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55,125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62,556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58,201</w:t>
            </w:r>
          </w:p>
        </w:tc>
      </w:tr>
      <w:tr>
        <w:trPr>
          <w:trHeight w:val="144"/>
        </w:trPr>
        <w:tc>
          <w:tcPr>
            <w:tcW w:w="75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Goodwill and other intangible assets</w:t>
            </w:r>
            <w:r>
              <w:rPr>
                <w:rFonts w:ascii="Times New Roman" w:cs="Times New Roman" w:eastAsia="Times New Roman" w:hAnsi="Times New Roman"/>
                <w:sz w:val="14"/>
                <w:szCs w:val="14"/>
                <w:color w:val="auto"/>
                <w:vertAlign w:val="superscript"/>
              </w:rPr>
              <w:t>(1)</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(14,905)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(14,805)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(14,875)</w:t>
            </w:r>
          </w:p>
        </w:tc>
      </w:tr>
      <w:tr>
        <w:trPr>
          <w:trHeight w:val="144"/>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Noncumulative perpetual preferred stock</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(4,845)</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(5,590)</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(5,247)</w:t>
            </w:r>
          </w:p>
        </w:tc>
      </w:tr>
      <w:tr>
        <w:trPr>
          <w:trHeight w:val="149"/>
        </w:trPr>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Tangible common equity</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35,375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42,161</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38,079</w:t>
            </w:r>
          </w:p>
        </w:tc>
      </w:tr>
      <w:tr>
        <w:trPr>
          <w:trHeight w:val="126"/>
        </w:trPr>
        <w:tc>
          <w:tcPr>
            <w:tcW w:w="75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Tangible Assets (Period-End):</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43"/>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Total assets</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455,249</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432,381</w:t>
            </w:r>
          </w:p>
        </w:tc>
        <w:tc>
          <w:tcPr>
            <w:tcW w:w="10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421,602</w:t>
            </w:r>
          </w:p>
        </w:tc>
      </w:tr>
      <w:tr>
        <w:trPr>
          <w:trHeight w:val="145"/>
        </w:trPr>
        <w:tc>
          <w:tcPr>
            <w:tcW w:w="75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1"/>
                <w:szCs w:val="11"/>
                <w:color w:val="auto"/>
              </w:rPr>
              <w:t>Goodwill and other intangible assets</w:t>
            </w:r>
            <w:r>
              <w:rPr>
                <w:rFonts w:ascii="Times New Roman" w:cs="Times New Roman" w:eastAsia="Times New Roman" w:hAnsi="Times New Roman"/>
                <w:sz w:val="14"/>
                <w:szCs w:val="14"/>
                <w:color w:val="auto"/>
                <w:vertAlign w:val="superscript"/>
              </w:rPr>
              <w:t>(1)</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(14,902)</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(14,907)</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(14,809)</w:t>
            </w:r>
          </w:p>
        </w:tc>
      </w:tr>
      <w:tr>
        <w:trPr>
          <w:trHeight w:val="149"/>
        </w:trPr>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Tangible assets</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440,347</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417,474</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406,793</w:t>
            </w:r>
          </w:p>
        </w:tc>
      </w:tr>
      <w:tr>
        <w:trPr>
          <w:trHeight w:val="126"/>
        </w:trPr>
        <w:tc>
          <w:tcPr>
            <w:tcW w:w="75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Tangible Assets (Average):</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43"/>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Total assets</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440,538</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424,521</w:t>
            </w:r>
          </w:p>
        </w:tc>
        <w:tc>
          <w:tcPr>
            <w:tcW w:w="10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411,187</w:t>
            </w:r>
          </w:p>
        </w:tc>
      </w:tr>
      <w:tr>
        <w:trPr>
          <w:trHeight w:val="145"/>
        </w:trPr>
        <w:tc>
          <w:tcPr>
            <w:tcW w:w="754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1"/>
                <w:szCs w:val="11"/>
                <w:color w:val="auto"/>
              </w:rPr>
              <w:t>Goodwill and other intangible assets</w:t>
            </w:r>
            <w:r>
              <w:rPr>
                <w:rFonts w:ascii="Times New Roman" w:cs="Times New Roman" w:eastAsia="Times New Roman" w:hAnsi="Times New Roman"/>
                <w:sz w:val="14"/>
                <w:szCs w:val="14"/>
                <w:color w:val="auto"/>
                <w:vertAlign w:val="superscript"/>
              </w:rPr>
              <w:t>(1)</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(14,905)</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(14,805)</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(14,875)</w:t>
            </w:r>
          </w:p>
        </w:tc>
      </w:tr>
      <w:tr>
        <w:trPr>
          <w:trHeight w:val="149"/>
        </w:trPr>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Tangible assets</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425,633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409,716</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396,312</w:t>
            </w:r>
          </w:p>
        </w:tc>
      </w:tr>
      <w:tr>
        <w:trPr>
          <w:trHeight w:val="126"/>
        </w:trPr>
        <w:tc>
          <w:tcPr>
            <w:tcW w:w="75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Non-GAAP Ratio:</w:t>
            </w: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186"/>
        </w:trPr>
        <w:tc>
          <w:tcPr>
            <w:tcW w:w="7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TCE</w:t>
            </w:r>
            <w:r>
              <w:rPr>
                <w:rFonts w:ascii="Times New Roman" w:cs="Times New Roman" w:eastAsia="Times New Roman" w:hAnsi="Times New Roman"/>
                <w:sz w:val="14"/>
                <w:szCs w:val="14"/>
                <w:color w:val="auto"/>
                <w:vertAlign w:val="superscript"/>
              </w:rPr>
              <w:t>(2)</w:t>
            </w:r>
          </w:p>
        </w:tc>
        <w:tc>
          <w:tcPr>
            <w:tcW w:w="280" w:type="dxa"/>
            <w:vAlign w:val="bottom"/>
          </w:tcPr>
          <w:p>
            <w:pPr>
              <w:spacing w:after="0"/>
              <w:rPr>
                <w:sz w:val="16"/>
                <w:szCs w:val="16"/>
                <w:color w:val="auto"/>
              </w:rPr>
            </w:pPr>
          </w:p>
        </w:tc>
        <w:tc>
          <w:tcPr>
            <w:tcW w:w="92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r>
    </w:tbl>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6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impact of related deferred taxes.</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36" w:lineRule="auto"/>
        <w:tabs>
          <w:tab w:leader="none" w:pos="208" w:val="left"/>
        </w:tabs>
        <w:numPr>
          <w:ilvl w:val="0"/>
          <w:numId w:val="6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TCE ratio is a non-GAAP measure calculated based on TCE divided by period-end tangible assets.</w:t>
      </w:r>
    </w:p>
    <w:p>
      <w:pPr>
        <w:spacing w:after="0" w:line="200" w:lineRule="exact"/>
        <w:rPr>
          <w:sz w:val="20"/>
          <w:szCs w:val="20"/>
          <w:color w:val="auto"/>
        </w:rPr>
      </w:pPr>
    </w:p>
    <w:p>
      <w:pPr>
        <w:spacing w:after="0" w:line="298"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103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61" w:right="2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Glossary and 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Alternative Reference Rates Committee (“ARRC”): </w:t>
      </w:r>
      <w:r>
        <w:rPr>
          <w:rFonts w:ascii="Times New Roman" w:cs="Times New Roman" w:eastAsia="Times New Roman" w:hAnsi="Times New Roman"/>
          <w:sz w:val="12"/>
          <w:szCs w:val="12"/>
          <w:color w:val="auto"/>
        </w:rPr>
        <w:t>A group of private-market participants convened by the Federal Reserve Board and the Federal Reserve Bank of New York that has recommended SOFR as the preferred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alternative to replace U.S. dollar (USD) LIBOR referenced instruments.</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Amortized cost: </w:t>
      </w:r>
      <w:r>
        <w:rPr>
          <w:rFonts w:ascii="Times New Roman" w:cs="Times New Roman" w:eastAsia="Times New Roman" w:hAnsi="Times New Roman"/>
          <w:sz w:val="12"/>
          <w:szCs w:val="12"/>
          <w:color w:val="auto"/>
        </w:rPr>
        <w:t>The amount at which a financing receivable or investment is originated or acquired, adjusted for applicable accrued interest, accretion, or amortization of premium, discount, and net deferred fees or costs, collection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cash, write-offs, foreign exchange and fair value hedge accounting adjustments.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Annual Report: </w:t>
      </w:r>
      <w:r>
        <w:rPr>
          <w:rFonts w:ascii="Times New Roman" w:cs="Times New Roman" w:eastAsia="Times New Roman" w:hAnsi="Times New Roman"/>
          <w:sz w:val="12"/>
          <w:szCs w:val="12"/>
          <w:color w:val="auto"/>
        </w:rPr>
        <w:t>References to “this Report” or our “2022 Form 10-K” or “2022 Annual Report” are to our Annual Report on Form 10-K for the fiscal year ended December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Bank: </w:t>
      </w:r>
      <w:r>
        <w:rPr>
          <w:rFonts w:ascii="Times New Roman" w:cs="Times New Roman" w:eastAsia="Times New Roman" w:hAnsi="Times New Roman"/>
          <w:sz w:val="12"/>
          <w:szCs w:val="12"/>
          <w:color w:val="auto"/>
        </w:rPr>
        <w:t>Refers to (i) CONA from and after the Bank Merger and (ii) CONA and COBNA collectively prior to the Bank Merger.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Bank Merger: </w:t>
      </w:r>
      <w:r>
        <w:rPr>
          <w:rFonts w:ascii="Times New Roman" w:cs="Times New Roman" w:eastAsia="Times New Roman" w:hAnsi="Times New Roman"/>
          <w:sz w:val="12"/>
          <w:szCs w:val="12"/>
          <w:color w:val="auto"/>
        </w:rPr>
        <w:t>The merger of Capital One Bank (USA), National Association (“COBNA”), with and into CONA, with CONA as the surviving entity, that occurred on October 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Basel Committee: </w:t>
      </w:r>
      <w:r>
        <w:rPr>
          <w:rFonts w:ascii="Times New Roman" w:cs="Times New Roman" w:eastAsia="Times New Roman" w:hAnsi="Times New Roman"/>
          <w:sz w:val="12"/>
          <w:szCs w:val="12"/>
          <w:color w:val="auto"/>
        </w:rPr>
        <w:t>The Basel Committee on Banking Supervision.</w:t>
      </w:r>
    </w:p>
    <w:p>
      <w:pPr>
        <w:spacing w:after="0" w:line="1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Basel III Capital Rules: </w:t>
      </w:r>
      <w:r>
        <w:rPr>
          <w:rFonts w:ascii="Times New Roman" w:cs="Times New Roman" w:eastAsia="Times New Roman" w:hAnsi="Times New Roman"/>
          <w:sz w:val="12"/>
          <w:szCs w:val="12"/>
          <w:color w:val="auto"/>
        </w:rPr>
        <w:t>The regulatory capital requirements established by the Federal Banking Agencies in July 2013 to implement the Basel III capital framework developed by the Basel Committee as well as certain Dodd-Frank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Act and other capital provisions.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Basel III standardized approach: </w:t>
      </w:r>
      <w:r>
        <w:rPr>
          <w:rFonts w:ascii="Times New Roman" w:cs="Times New Roman" w:eastAsia="Times New Roman" w:hAnsi="Times New Roman"/>
          <w:sz w:val="12"/>
          <w:szCs w:val="12"/>
          <w:color w:val="auto"/>
        </w:rPr>
        <w:t>The Basel III Capital Rules modified Basel I to create the Basel III standardized approach.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Capital One </w:t>
      </w:r>
      <w:r>
        <w:rPr>
          <w:rFonts w:ascii="Times New Roman" w:cs="Times New Roman" w:eastAsia="Times New Roman" w:hAnsi="Times New Roman"/>
          <w:sz w:val="12"/>
          <w:szCs w:val="12"/>
          <w:color w:val="auto"/>
        </w:rPr>
        <w:t>or the</w:t>
      </w:r>
      <w:r>
        <w:rPr>
          <w:rFonts w:ascii="Times New Roman" w:cs="Times New Roman" w:eastAsia="Times New Roman" w:hAnsi="Times New Roman"/>
          <w:sz w:val="12"/>
          <w:szCs w:val="12"/>
          <w:b w:val="1"/>
          <w:bCs w:val="1"/>
          <w:color w:val="auto"/>
        </w:rPr>
        <w:t xml:space="preserve"> Company: </w:t>
      </w:r>
      <w:r>
        <w:rPr>
          <w:rFonts w:ascii="Times New Roman" w:cs="Times New Roman" w:eastAsia="Times New Roman" w:hAnsi="Times New Roman"/>
          <w:sz w:val="12"/>
          <w:szCs w:val="12"/>
          <w:color w:val="auto"/>
        </w:rPr>
        <w:t>Capital One Financial Corporation and its subsidiaries.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The Coronavirus Aid, Relief, and Economic Security Act (“CARES Act”): </w:t>
      </w:r>
      <w:r>
        <w:rPr>
          <w:rFonts w:ascii="Times New Roman" w:cs="Times New Roman" w:eastAsia="Times New Roman" w:hAnsi="Times New Roman"/>
          <w:sz w:val="12"/>
          <w:szCs w:val="12"/>
          <w:color w:val="auto"/>
        </w:rPr>
        <w:t>Legislation signed into law on March 27, 2020, which expired on January 1, 2022. This law, while in effect, among other things, authorized a number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lending programs to support the flow of credit to consumers and businesses and gave the banking organizations an option to temporarily suspend the determination of certain qualified loans modified as a result of COVID-19 as being TDRs, which was extended by the Consolidated Appropriations Act 2021.</w:t>
      </w:r>
    </w:p>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color w:val="auto"/>
        </w:rPr>
        <w:t>Carrying value (with respect to loans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amount at which a loan is recorded on the consolidated balance sheets. For loans recorded at amortized cost, carrying value is the unpaid principal balance net of unamortized deferred loan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origination fees and costs, and unamortized purchase premium or discount. For loans that are or have been on nonaccrual status, the carrying value is also reduced by any net charge-offs that have been recorded and the amount of interest payments applied as a reduction of principal under the cost recovery method. For credit card loans, the carrying value also includes interest that has been billed to the customer, net of any related reserves. Loans held for sale are recorded at either fair value (if we elect the fair value option) or at the lower of cost or fair value.</w:t>
      </w:r>
    </w:p>
    <w:p>
      <w:pPr>
        <w:spacing w:after="0" w:line="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CECL: </w:t>
      </w:r>
      <w:r>
        <w:rPr>
          <w:rFonts w:ascii="Times New Roman" w:cs="Times New Roman" w:eastAsia="Times New Roman" w:hAnsi="Times New Roman"/>
          <w:sz w:val="12"/>
          <w:szCs w:val="12"/>
          <w:color w:val="auto"/>
        </w:rPr>
        <w:t>In June 2016, the Financial Accounting Standards Board (“FASB”) issued Accounting Standards Update (“ASU”) No. 2016-13, Financial Instruments—Credit Losses (Topic 326):</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Measurement of Credit Losses on Financial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Instruments</w:t>
      </w:r>
      <w:r>
        <w:rPr>
          <w:rFonts w:ascii="Times New Roman" w:cs="Times New Roman" w:eastAsia="Times New Roman" w:hAnsi="Times New Roman"/>
          <w:sz w:val="12"/>
          <w:szCs w:val="12"/>
          <w:color w:val="auto"/>
        </w:rPr>
        <w:t>. This ASU requires an impairment model (known as the CECL model) that is based on expected rather than incurred losses, with an anticipated result of more timely loss recognition. This guidance was effective for us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January 1, 2020.</w:t>
      </w:r>
    </w:p>
    <w:p>
      <w:pPr>
        <w:spacing w:after="0" w:line="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CECL Transition Rule: </w:t>
      </w:r>
      <w:r>
        <w:rPr>
          <w:rFonts w:ascii="Times New Roman" w:cs="Times New Roman" w:eastAsia="Times New Roman" w:hAnsi="Times New Roman"/>
          <w:sz w:val="12"/>
          <w:szCs w:val="12"/>
          <w:color w:val="auto"/>
        </w:rPr>
        <w:t>A rule adopted by the Federal Banking Agencies and effective in 2020 that provides banking institutions an optional five-year transition period to phase in the impact of the CECL standard on their regulatory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capital.</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COBNA: </w:t>
      </w:r>
      <w:r>
        <w:rPr>
          <w:rFonts w:ascii="Times New Roman" w:cs="Times New Roman" w:eastAsia="Times New Roman" w:hAnsi="Times New Roman"/>
          <w:sz w:val="12"/>
          <w:szCs w:val="12"/>
          <w:color w:val="auto"/>
        </w:rPr>
        <w:t>Capital One Bank (USA), National Association, one of our wholly-owned subsidiaries through September 30, 2022, offered credit card products along with other lending products and consumer services. On October 1, 2022,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Company completed the merger of COBNA with and into CONA, with CONA as the surviving entity.</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Common equity Tier 1 (“CET1”) capital: </w:t>
      </w:r>
      <w:r>
        <w:rPr>
          <w:rFonts w:ascii="Times New Roman" w:cs="Times New Roman" w:eastAsia="Times New Roman" w:hAnsi="Times New Roman"/>
          <w:sz w:val="12"/>
          <w:szCs w:val="12"/>
          <w:color w:val="auto"/>
        </w:rPr>
        <w:t>CET1 capital primarily includes qualifying common shareholders’ equity, retained earnings and certain AOCI amounts less certain deductions for goodwill, intangible assets, and certain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deferred tax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CONA: </w:t>
      </w:r>
      <w:r>
        <w:rPr>
          <w:rFonts w:ascii="Times New Roman" w:cs="Times New Roman" w:eastAsia="Times New Roman" w:hAnsi="Times New Roman"/>
          <w:sz w:val="12"/>
          <w:szCs w:val="12"/>
          <w:color w:val="auto"/>
        </w:rPr>
        <w:t>Capital One, National Association, one of our wholly-owned subsidiaries, which offers a broad spectrum of banking products and financial services to consumers, small businesses and commercial clients.</w:t>
      </w:r>
    </w:p>
    <w:p>
      <w:pPr>
        <w:spacing w:after="0" w:line="200" w:lineRule="exact"/>
        <w:rPr>
          <w:sz w:val="20"/>
          <w:szCs w:val="20"/>
          <w:color w:val="auto"/>
        </w:rPr>
      </w:pPr>
    </w:p>
    <w:p>
      <w:pPr>
        <w:spacing w:after="0" w:line="373"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104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Consolidated EEO-1 Report: </w:t>
      </w:r>
      <w:r>
        <w:rPr>
          <w:rFonts w:ascii="Times New Roman" w:cs="Times New Roman" w:eastAsia="Times New Roman" w:hAnsi="Times New Roman"/>
          <w:sz w:val="12"/>
          <w:szCs w:val="12"/>
          <w:color w:val="auto"/>
        </w:rPr>
        <w:t>Mandatory annual data collection requiring private sector employers with 100 or more employees or federal contractors with 50 or more employees meeting certain criteria to submit demographic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workforce data including race/ethnicity, gender and job category.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Credit risk: </w:t>
      </w:r>
      <w:r>
        <w:rPr>
          <w:rFonts w:ascii="Times New Roman" w:cs="Times New Roman" w:eastAsia="Times New Roman" w:hAnsi="Times New Roman"/>
          <w:sz w:val="12"/>
          <w:szCs w:val="12"/>
          <w:color w:val="auto"/>
        </w:rPr>
        <w:t>The risk to current or projected financial condition and resilience arising from an obligor’s failure to meet the terms of any contract with the Company or otherwise perform as agreed.</w:t>
      </w:r>
    </w:p>
    <w:p>
      <w:pPr>
        <w:spacing w:after="0" w:line="1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Cybersecurity Incident: </w:t>
      </w:r>
      <w:r>
        <w:rPr>
          <w:rFonts w:ascii="Times New Roman" w:cs="Times New Roman" w:eastAsia="Times New Roman" w:hAnsi="Times New Roman"/>
          <w:sz w:val="12"/>
          <w:szCs w:val="12"/>
          <w:color w:val="auto"/>
        </w:rPr>
        <w:t>The unauthorized access by an outside individual who obtained certain types of personal information relating to people who had applied for our credit card products and to our credit card customers that we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announced on July 29, 2019.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Deposit Insurance Fund (“DIF”): </w:t>
      </w:r>
      <w:r>
        <w:rPr>
          <w:rFonts w:ascii="Times New Roman" w:cs="Times New Roman" w:eastAsia="Times New Roman" w:hAnsi="Times New Roman"/>
          <w:sz w:val="12"/>
          <w:szCs w:val="12"/>
          <w:color w:val="auto"/>
        </w:rPr>
        <w:t>A fund maintained by the FDIC to provide insurance coverage for certain deposits. It is funded through assessments on banks.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Derivative: </w:t>
      </w:r>
      <w:r>
        <w:rPr>
          <w:rFonts w:ascii="Times New Roman" w:cs="Times New Roman" w:eastAsia="Times New Roman" w:hAnsi="Times New Roman"/>
          <w:sz w:val="12"/>
          <w:szCs w:val="12"/>
          <w:color w:val="auto"/>
        </w:rPr>
        <w:t>A contract or agreement whose value is derived from changes in interest rates, foreign exchange rates, prices of securities or commodities, credit worthiness for credit default swaps or financial or commodity indices.</w:t>
      </w:r>
    </w:p>
    <w:p>
      <w:pPr>
        <w:spacing w:after="0" w:line="1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Discontinued operations: </w:t>
      </w:r>
      <w:r>
        <w:rPr>
          <w:rFonts w:ascii="Times New Roman" w:cs="Times New Roman" w:eastAsia="Times New Roman" w:hAnsi="Times New Roman"/>
          <w:sz w:val="12"/>
          <w:szCs w:val="12"/>
          <w:color w:val="auto"/>
        </w:rPr>
        <w:t>The operating results of a component of an entity, as defined by Accounting Standards Codification (“ASC”) 205, that are removed from continuing operations when that component has been disposed of or 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 management’s intention to sell the component.</w:t>
      </w:r>
    </w:p>
    <w:p>
      <w:pPr>
        <w:spacing w:after="0" w:line="6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Dodd-Frank Wall Street Reform and Consumer Protection Act (“Dodd-Frank Act”): </w:t>
      </w:r>
      <w:r>
        <w:rPr>
          <w:rFonts w:ascii="Times New Roman" w:cs="Times New Roman" w:eastAsia="Times New Roman" w:hAnsi="Times New Roman"/>
          <w:sz w:val="12"/>
          <w:szCs w:val="12"/>
          <w:color w:val="auto"/>
        </w:rPr>
        <w:t>Regulatory reform legislation signed into law on July 21, 2010. This law broadly affects the financial services industry and contains numerous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provisions aimed at strengthening the sound operation of the financial services sector.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Exchange Act: </w:t>
      </w:r>
      <w:r>
        <w:rPr>
          <w:rFonts w:ascii="Times New Roman" w:cs="Times New Roman" w:eastAsia="Times New Roman" w:hAnsi="Times New Roman"/>
          <w:sz w:val="12"/>
          <w:szCs w:val="12"/>
          <w:color w:val="auto"/>
        </w:rPr>
        <w:t>The Securities Exchange Act of 1934, as amended.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eXtensible Business Reporting Language (“XBRL”): </w:t>
      </w:r>
      <w:r>
        <w:rPr>
          <w:rFonts w:ascii="Times New Roman" w:cs="Times New Roman" w:eastAsia="Times New Roman" w:hAnsi="Times New Roman"/>
          <w:sz w:val="12"/>
          <w:szCs w:val="12"/>
          <w:color w:val="auto"/>
        </w:rPr>
        <w:t>A language for the electronic communication of business and financial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Federal Banking Agencies: </w:t>
      </w:r>
      <w:r>
        <w:rPr>
          <w:rFonts w:ascii="Times New Roman" w:cs="Times New Roman" w:eastAsia="Times New Roman" w:hAnsi="Times New Roman"/>
          <w:sz w:val="12"/>
          <w:szCs w:val="12"/>
          <w:color w:val="auto"/>
        </w:rPr>
        <w:t>The Federal Reserve, Office of the Comptroller of the Currency and Federal Deposit Insurance Corporation.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Federal Deposit Insurance Corporation (“FDIC”): </w:t>
      </w:r>
      <w:r>
        <w:rPr>
          <w:rFonts w:ascii="Times New Roman" w:cs="Times New Roman" w:eastAsia="Times New Roman" w:hAnsi="Times New Roman"/>
          <w:sz w:val="12"/>
          <w:szCs w:val="12"/>
          <w:color w:val="auto"/>
        </w:rPr>
        <w:t>An independent U.S. governmental agency that administers the DIF.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Federal Reserve: </w:t>
      </w:r>
      <w:r>
        <w:rPr>
          <w:rFonts w:ascii="Times New Roman" w:cs="Times New Roman" w:eastAsia="Times New Roman" w:hAnsi="Times New Roman"/>
          <w:sz w:val="12"/>
          <w:szCs w:val="12"/>
          <w:color w:val="auto"/>
        </w:rPr>
        <w:t>The Board of Governors of the Federal Reserve System.</w:t>
      </w:r>
    </w:p>
    <w:p>
      <w:pPr>
        <w:spacing w:after="0" w:line="1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FICO score: </w:t>
      </w:r>
      <w:r>
        <w:rPr>
          <w:rFonts w:ascii="Times New Roman" w:cs="Times New Roman" w:eastAsia="Times New Roman" w:hAnsi="Times New Roman"/>
          <w:sz w:val="12"/>
          <w:szCs w:val="12"/>
          <w:color w:val="auto"/>
        </w:rPr>
        <w:t>A measure of consumer credit risk provided by credit bureaus, typically produced from statistical modeling software created by FICO (formerly known as “Fair Isaac Corporation”) utilizing data collected by the credit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bureaus.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Foreign exchange contracts: </w:t>
      </w:r>
      <w:r>
        <w:rPr>
          <w:rFonts w:ascii="Times New Roman" w:cs="Times New Roman" w:eastAsia="Times New Roman" w:hAnsi="Times New Roman"/>
          <w:sz w:val="12"/>
          <w:szCs w:val="12"/>
          <w:color w:val="auto"/>
        </w:rPr>
        <w:t>Contracts that provide for the future receipt or delivery of foreign currency at previously agreed-upon terms.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Framework: </w:t>
      </w:r>
      <w:r>
        <w:rPr>
          <w:rFonts w:ascii="Times New Roman" w:cs="Times New Roman" w:eastAsia="Times New Roman" w:hAnsi="Times New Roman"/>
          <w:sz w:val="12"/>
          <w:szCs w:val="12"/>
          <w:color w:val="auto"/>
        </w:rPr>
        <w:t>the Capital One enterprise-wide risk management framework.</w:t>
      </w:r>
    </w:p>
    <w:p>
      <w:pPr>
        <w:spacing w:after="0" w:line="1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GSE </w:t>
      </w:r>
      <w:r>
        <w:rPr>
          <w:rFonts w:ascii="Times New Roman" w:cs="Times New Roman" w:eastAsia="Times New Roman" w:hAnsi="Times New Roman"/>
          <w:sz w:val="12"/>
          <w:szCs w:val="12"/>
          <w:color w:val="auto"/>
        </w:rPr>
        <w:t>or</w:t>
      </w:r>
      <w:r>
        <w:rPr>
          <w:rFonts w:ascii="Times New Roman" w:cs="Times New Roman" w:eastAsia="Times New Roman" w:hAnsi="Times New Roman"/>
          <w:sz w:val="12"/>
          <w:szCs w:val="12"/>
          <w:b w:val="1"/>
          <w:bCs w:val="1"/>
          <w:color w:val="auto"/>
        </w:rPr>
        <w:t xml:space="preserve"> Agency: </w:t>
      </w:r>
      <w:r>
        <w:rPr>
          <w:rFonts w:ascii="Times New Roman" w:cs="Times New Roman" w:eastAsia="Times New Roman" w:hAnsi="Times New Roman"/>
          <w:sz w:val="12"/>
          <w:szCs w:val="12"/>
          <w:color w:val="auto"/>
        </w:rPr>
        <w:t>A government-sponsored enterprise or agency is a financial services corporation created by the United States Congress. Examples of U.S. government agencies include Federal National Mortgage Association (“Fannie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Mae”), Federal Home Loan Mortgage Corporation (“Freddie Mac”), Government National Mortgage Association (“Ginnie Mae”) and the Federal Home Loan Banks (“FHLB”).</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Interest method: </w:t>
      </w:r>
      <w:r>
        <w:rPr>
          <w:rFonts w:ascii="Times New Roman" w:cs="Times New Roman" w:eastAsia="Times New Roman" w:hAnsi="Times New Roman"/>
          <w:sz w:val="12"/>
          <w:szCs w:val="12"/>
          <w:color w:val="auto"/>
        </w:rPr>
        <w:t>Method of amortization used to arrive at periodic interest income at a constant effective yield on the net investment in a financial asset.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Interest rate sensitivity: </w:t>
      </w:r>
      <w:r>
        <w:rPr>
          <w:rFonts w:ascii="Times New Roman" w:cs="Times New Roman" w:eastAsia="Times New Roman" w:hAnsi="Times New Roman"/>
          <w:sz w:val="12"/>
          <w:szCs w:val="12"/>
          <w:color w:val="auto"/>
        </w:rPr>
        <w:t>The exposure to interest rate movements.</w:t>
      </w:r>
    </w:p>
    <w:p>
      <w:pPr>
        <w:spacing w:after="0" w:line="1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Interest rate swaps: </w:t>
      </w:r>
      <w:r>
        <w:rPr>
          <w:rFonts w:ascii="Times New Roman" w:cs="Times New Roman" w:eastAsia="Times New Roman" w:hAnsi="Times New Roman"/>
          <w:sz w:val="12"/>
          <w:szCs w:val="12"/>
          <w:color w:val="auto"/>
        </w:rPr>
        <w:t>Contracts in which a series of interest rate flows in a single currency are exchanged over a prescribed period. Interest rate swaps are the most common type of derivative contract that we use in our asset/liability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management activities.</w:t>
      </w:r>
    </w:p>
    <w:p>
      <w:pPr>
        <w:spacing w:after="0" w:line="200" w:lineRule="exact"/>
        <w:rPr>
          <w:sz w:val="20"/>
          <w:szCs w:val="20"/>
          <w:color w:val="auto"/>
        </w:rPr>
      </w:pPr>
    </w:p>
    <w:p>
      <w:pPr>
        <w:spacing w:after="0" w:line="32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105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Investment grade: </w:t>
      </w:r>
      <w:r>
        <w:rPr>
          <w:rFonts w:ascii="Times New Roman" w:cs="Times New Roman" w:eastAsia="Times New Roman" w:hAnsi="Times New Roman"/>
          <w:sz w:val="12"/>
          <w:szCs w:val="12"/>
          <w:color w:val="auto"/>
        </w:rPr>
        <w:t>Represents a Moody’s long-term rating of Baa3 or better; and/or a S&amp;P long-term rating of BBB- or better; and/or a Fitch long-term rating of BBB- or better; or if unrated, an equivalent rating using our internal risk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ratings. Instruments that fall below these levels are considered to be non-investment grade.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Investor entities: </w:t>
      </w:r>
      <w:r>
        <w:rPr>
          <w:rFonts w:ascii="Times New Roman" w:cs="Times New Roman" w:eastAsia="Times New Roman" w:hAnsi="Times New Roman"/>
          <w:sz w:val="12"/>
          <w:szCs w:val="12"/>
          <w:color w:val="auto"/>
        </w:rPr>
        <w:t>Entities that invest in community development entities (“CDE”) that provide debt financing to businesses and non-profit entities in low-income and rural communities.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LCR Rule: </w:t>
      </w:r>
      <w:r>
        <w:rPr>
          <w:rFonts w:ascii="Times New Roman" w:cs="Times New Roman" w:eastAsia="Times New Roman" w:hAnsi="Times New Roman"/>
          <w:sz w:val="12"/>
          <w:szCs w:val="12"/>
          <w:color w:val="auto"/>
        </w:rPr>
        <w:t>In September 2014, the Federal Banking Agencies issued final rules implementing the Basel III Liquidity Coverage Ratio (“LCR”) in the United States. The LCR is calculated by dividing the amount of an institution’s high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quality, unencumbered liquid assets by its estimated net cash outflow, as defined and calculated in accordance with the LCR Rule.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Leverage ratio: </w:t>
      </w:r>
      <w:r>
        <w:rPr>
          <w:rFonts w:ascii="Times New Roman" w:cs="Times New Roman" w:eastAsia="Times New Roman" w:hAnsi="Times New Roman"/>
          <w:sz w:val="12"/>
          <w:szCs w:val="12"/>
          <w:color w:val="auto"/>
        </w:rPr>
        <w:t>Tier 1 capital divided by average assets after certain adjustments, as defined by regulators.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Liquidity risk: </w:t>
      </w:r>
      <w:r>
        <w:rPr>
          <w:rFonts w:ascii="Times New Roman" w:cs="Times New Roman" w:eastAsia="Times New Roman" w:hAnsi="Times New Roman"/>
          <w:sz w:val="12"/>
          <w:szCs w:val="12"/>
          <w:color w:val="auto"/>
        </w:rPr>
        <w:t>The risk that the Company will not be able to meet its future financial obligations as they come due, or invest in future asset growth because of an inability to obtain funds at a reasonable price within a reasonable time.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Loan-to-value (“LTV”) ratio: </w:t>
      </w:r>
      <w:r>
        <w:rPr>
          <w:rFonts w:ascii="Times New Roman" w:cs="Times New Roman" w:eastAsia="Times New Roman" w:hAnsi="Times New Roman"/>
          <w:sz w:val="12"/>
          <w:szCs w:val="12"/>
          <w:color w:val="auto"/>
        </w:rPr>
        <w:t>The relationship, expressed as a percentage, between the principal amount of a loan and the appraised value of the collateral securing the loan.</w:t>
      </w:r>
    </w:p>
    <w:p>
      <w:pPr>
        <w:spacing w:after="0" w:line="11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Managed presentation: </w:t>
      </w:r>
      <w:r>
        <w:rPr>
          <w:rFonts w:ascii="Times New Roman" w:cs="Times New Roman" w:eastAsia="Times New Roman" w:hAnsi="Times New Roman"/>
          <w:sz w:val="12"/>
          <w:szCs w:val="12"/>
          <w:color w:val="auto"/>
        </w:rPr>
        <w:t>A non-GAAP presentation of business segment results derived from our internal management accounting and reporting process, which employs various allocation methodologies, including funds transfer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pricing, to assign certain balance sheet assets, deposits and other liabilities and their related revenues and expenses directly or indirectly attributable to each business segment. The results of our individual businesses reflect the manner in which management evaluates performance and makes decisions about funding our operations and allocating resources and are intended to reflect each segment as if it were a stand-alone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Market risk: </w:t>
      </w:r>
      <w:r>
        <w:rPr>
          <w:rFonts w:ascii="Times New Roman" w:cs="Times New Roman" w:eastAsia="Times New Roman" w:hAnsi="Times New Roman"/>
          <w:sz w:val="12"/>
          <w:szCs w:val="12"/>
          <w:color w:val="auto"/>
        </w:rPr>
        <w:t>The risk that an institution’s earnings or the economic value of equity could be adversely impacted by changes in interest rates, foreign exchange rates or other market factors.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Master netting agreement: </w:t>
      </w:r>
      <w:r>
        <w:rPr>
          <w:rFonts w:ascii="Times New Roman" w:cs="Times New Roman" w:eastAsia="Times New Roman" w:hAnsi="Times New Roman"/>
          <w:sz w:val="12"/>
          <w:szCs w:val="12"/>
          <w:color w:val="auto"/>
        </w:rPr>
        <w:t>An agreement between two counterparties that have multiple contracts with each other that provides for the net settlement of all contracts through a single payment in the event of default or termination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one contract.</w:t>
      </w:r>
    </w:p>
    <w:p>
      <w:pPr>
        <w:spacing w:after="0" w:line="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Mortgage servicing rights (“MSRs”): </w:t>
      </w:r>
      <w:r>
        <w:rPr>
          <w:rFonts w:ascii="Times New Roman" w:cs="Times New Roman" w:eastAsia="Times New Roman" w:hAnsi="Times New Roman"/>
          <w:sz w:val="12"/>
          <w:szCs w:val="12"/>
          <w:color w:val="auto"/>
        </w:rPr>
        <w:t>The right to service a mortgage loan when the underlying loan is sold or securitized. Servicing includes collections for principal, interest and escrow payments from borrowers and accounting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remitting principal and interest payments to investors.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charge-off rate</w:t>
      </w:r>
      <w:r>
        <w:rPr>
          <w:rFonts w:ascii="Times New Roman" w:cs="Times New Roman" w:eastAsia="Times New Roman" w:hAnsi="Times New Roman"/>
          <w:sz w:val="12"/>
          <w:szCs w:val="12"/>
          <w:color w:val="auto"/>
        </w:rPr>
        <w:t>: Represents (annualized) net charge-offs divided by average loans held for investment for the period. Negative net charge-offs and related rates are captioned as net recoveries.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Net interest margin: </w:t>
      </w:r>
      <w:r>
        <w:rPr>
          <w:rFonts w:ascii="Times New Roman" w:cs="Times New Roman" w:eastAsia="Times New Roman" w:hAnsi="Times New Roman"/>
          <w:sz w:val="12"/>
          <w:szCs w:val="12"/>
          <w:color w:val="auto"/>
        </w:rPr>
        <w:t>Represents (annualized) net interest income divided by average interest-earning assets for the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Nonperforming loans: </w:t>
      </w:r>
      <w:r>
        <w:rPr>
          <w:rFonts w:ascii="Times New Roman" w:cs="Times New Roman" w:eastAsia="Times New Roman" w:hAnsi="Times New Roman"/>
          <w:sz w:val="12"/>
          <w:szCs w:val="12"/>
          <w:color w:val="auto"/>
        </w:rPr>
        <w:t>Generally include loans that have been placed on nonaccrual status. We do not report loans classified as held for sale as nonperforming.</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NSFR rule: </w:t>
      </w:r>
      <w:r>
        <w:rPr>
          <w:rFonts w:ascii="Times New Roman" w:cs="Times New Roman" w:eastAsia="Times New Roman" w:hAnsi="Times New Roman"/>
          <w:sz w:val="12"/>
          <w:szCs w:val="12"/>
          <w:color w:val="auto"/>
        </w:rPr>
        <w:t>The Federal Banking Agencies issued a rule in October 2020 implementing the net stable funding ratio (“NSFR”). The NSFR measures the stability of our funding profile and requires us to maintain minimum amounts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stable funding to support our assets, commitments and derivatives exposures over a one-year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Public Fund Deposits: </w:t>
      </w:r>
      <w:r>
        <w:rPr>
          <w:rFonts w:ascii="Times New Roman" w:cs="Times New Roman" w:eastAsia="Times New Roman" w:hAnsi="Times New Roman"/>
          <w:sz w:val="12"/>
          <w:szCs w:val="12"/>
          <w:color w:val="auto"/>
        </w:rPr>
        <w:t>Deposits that are derived from a variety of political subdivisions such as school districts and municipalities.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Purchase volume: </w:t>
      </w:r>
      <w:r>
        <w:rPr>
          <w:rFonts w:ascii="Times New Roman" w:cs="Times New Roman" w:eastAsia="Times New Roman" w:hAnsi="Times New Roman"/>
          <w:sz w:val="12"/>
          <w:szCs w:val="12"/>
          <w:color w:val="auto"/>
        </w:rPr>
        <w:t>Consists of purchase transactions, net of returns, for the period, and excludes cash advance and balance transfer transactions.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Rating agency: </w:t>
      </w:r>
      <w:r>
        <w:rPr>
          <w:rFonts w:ascii="Times New Roman" w:cs="Times New Roman" w:eastAsia="Times New Roman" w:hAnsi="Times New Roman"/>
          <w:sz w:val="12"/>
          <w:szCs w:val="12"/>
          <w:color w:val="auto"/>
        </w:rPr>
        <w:t>An independent agency that assesses the credit quality and likelihood of default of an issue or issuer and assigns a rating to that issue or issuer.</w:t>
      </w:r>
    </w:p>
    <w:p>
      <w:pPr>
        <w:spacing w:after="0" w:line="200" w:lineRule="exact"/>
        <w:rPr>
          <w:sz w:val="20"/>
          <w:szCs w:val="20"/>
          <w:color w:val="auto"/>
        </w:rPr>
      </w:pPr>
    </w:p>
    <w:p>
      <w:pPr>
        <w:spacing w:after="0" w:line="373"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106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Repurchase agreement: </w:t>
      </w:r>
      <w:r>
        <w:rPr>
          <w:rFonts w:ascii="Times New Roman" w:cs="Times New Roman" w:eastAsia="Times New Roman" w:hAnsi="Times New Roman"/>
          <w:sz w:val="12"/>
          <w:szCs w:val="12"/>
          <w:color w:val="auto"/>
        </w:rPr>
        <w:t>An instrument used to raise short-term funds whereby securities are sold with an agreement for the seller to buy back the securities at a later date.</w:t>
      </w:r>
    </w:p>
    <w:p>
      <w:pPr>
        <w:spacing w:after="0" w:line="1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Restructuring charges: </w:t>
      </w:r>
      <w:r>
        <w:rPr>
          <w:rFonts w:ascii="Times New Roman" w:cs="Times New Roman" w:eastAsia="Times New Roman" w:hAnsi="Times New Roman"/>
          <w:sz w:val="12"/>
          <w:szCs w:val="12"/>
          <w:color w:val="auto"/>
        </w:rPr>
        <w:t>Charges associated with the realignment of resources supporting various businesses, primarily consisting of severance and related benefits pursuant to our ongoing benefit programs and impairment of certain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assets related to the business locations and/or activities being exited.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Risk-weighted assets: </w:t>
      </w:r>
      <w:r>
        <w:rPr>
          <w:rFonts w:ascii="Times New Roman" w:cs="Times New Roman" w:eastAsia="Times New Roman" w:hAnsi="Times New Roman"/>
          <w:sz w:val="12"/>
          <w:szCs w:val="12"/>
          <w:color w:val="auto"/>
        </w:rPr>
        <w:t>On- and off-balance sheet assets that are assigned to one of several broad risk categories and weighted by factors representing their risk and potential for default.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Securitized debt obligations: </w:t>
      </w:r>
      <w:r>
        <w:rPr>
          <w:rFonts w:ascii="Times New Roman" w:cs="Times New Roman" w:eastAsia="Times New Roman" w:hAnsi="Times New Roman"/>
          <w:sz w:val="12"/>
          <w:szCs w:val="12"/>
          <w:color w:val="auto"/>
        </w:rPr>
        <w:t>A type of asset-backed security and structured credit product constructed from a portfolio of fixed-income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Stress capital buffer requirement: </w:t>
      </w:r>
      <w:r>
        <w:rPr>
          <w:rFonts w:ascii="Times New Roman" w:cs="Times New Roman" w:eastAsia="Times New Roman" w:hAnsi="Times New Roman"/>
          <w:sz w:val="12"/>
          <w:szCs w:val="12"/>
          <w:color w:val="auto"/>
        </w:rPr>
        <w:t>A component of our standardized approach capital conservation buffer, which is recalibrated annually based on the results of our supervisory stress tests.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Stress Capital Buffer Rule: </w:t>
      </w:r>
      <w:r>
        <w:rPr>
          <w:rFonts w:ascii="Times New Roman" w:cs="Times New Roman" w:eastAsia="Times New Roman" w:hAnsi="Times New Roman"/>
          <w:sz w:val="12"/>
          <w:szCs w:val="12"/>
          <w:color w:val="auto"/>
        </w:rPr>
        <w:t>In March 2020, the Federal Reserve issued a final rule to implement the stress capital buffer requirement.</w:t>
      </w:r>
    </w:p>
    <w:p>
      <w:pPr>
        <w:spacing w:after="0" w:line="11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Subprime: </w:t>
      </w:r>
      <w:r>
        <w:rPr>
          <w:rFonts w:ascii="Times New Roman" w:cs="Times New Roman" w:eastAsia="Times New Roman" w:hAnsi="Times New Roman"/>
          <w:sz w:val="12"/>
          <w:szCs w:val="12"/>
          <w:color w:val="auto"/>
        </w:rPr>
        <w:t>For purposes of lending in our Credit Card business, we generally consider FICO scores of 660 or below, or other equivalent risk scores, to be subprime. For purposes of auto lending in our Consumer Banking business, we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generally consider FICO scores of 620 or below to be subprime.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Tangible common equity (“TCE”): </w:t>
      </w:r>
      <w:r>
        <w:rPr>
          <w:rFonts w:ascii="Times New Roman" w:cs="Times New Roman" w:eastAsia="Times New Roman" w:hAnsi="Times New Roman"/>
          <w:sz w:val="12"/>
          <w:szCs w:val="12"/>
          <w:color w:val="auto"/>
        </w:rPr>
        <w:t>A non-GAAP financial measure calculated as common equity less goodwill and other intangible assets inclusive of any related deferred tax liabilities.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Troubled debt restructuring (“TDR”): </w:t>
      </w:r>
      <w:r>
        <w:rPr>
          <w:rFonts w:ascii="Times New Roman" w:cs="Times New Roman" w:eastAsia="Times New Roman" w:hAnsi="Times New Roman"/>
          <w:sz w:val="12"/>
          <w:szCs w:val="12"/>
          <w:color w:val="auto"/>
        </w:rPr>
        <w:t>A TDR is deemed to occur when the contractual terms of a loan agreement are modified by granting a concession to a borrower that is experiencing financial difficulty.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Unfunded commitments: </w:t>
      </w:r>
      <w:r>
        <w:rPr>
          <w:rFonts w:ascii="Times New Roman" w:cs="Times New Roman" w:eastAsia="Times New Roman" w:hAnsi="Times New Roman"/>
          <w:sz w:val="12"/>
          <w:szCs w:val="12"/>
          <w:color w:val="auto"/>
        </w:rPr>
        <w:t>Legally binding agreements to provide a defined level of financing until a specified future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U.S. GAAP: </w:t>
      </w:r>
      <w:r>
        <w:rPr>
          <w:rFonts w:ascii="Times New Roman" w:cs="Times New Roman" w:eastAsia="Times New Roman" w:hAnsi="Times New Roman"/>
          <w:sz w:val="12"/>
          <w:szCs w:val="12"/>
          <w:color w:val="auto"/>
        </w:rPr>
        <w:t>Accounting principles generally accepted in the United States of America. Accounting rules and conventions defining acceptable practices in preparing financial statements in the 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 Real Gross Domestic Product (“GDP”) Rate</w:t>
      </w:r>
      <w:r>
        <w:rPr>
          <w:rFonts w:ascii="Times New Roman" w:cs="Times New Roman" w:eastAsia="Times New Roman" w:hAnsi="Times New Roman"/>
          <w:sz w:val="12"/>
          <w:szCs w:val="12"/>
          <w:color w:val="auto"/>
        </w:rPr>
        <w:t>: An inflation-adjusted measure that reflects the value of all goods and services produced by an economy in a given year.</w:t>
      </w:r>
    </w:p>
    <w:p>
      <w:pPr>
        <w:spacing w:after="0" w:line="1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Variable interest entity (“VIE”): </w:t>
      </w:r>
      <w:r>
        <w:rPr>
          <w:rFonts w:ascii="Times New Roman" w:cs="Times New Roman" w:eastAsia="Times New Roman" w:hAnsi="Times New Roman"/>
          <w:sz w:val="12"/>
          <w:szCs w:val="12"/>
          <w:color w:val="auto"/>
        </w:rPr>
        <w:t>An entity that, by design, either (i) lacks sufficient equity to permit the entity to finance its activities without additional subordinated financial support from other parties; or (ii) has equity investors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do not have (a) the ability to make significant decisions relating to the entity’s operations through voting rights, (b) the obligation to absorb the expected losses, and/or (c) the right to receive the residual returns of the entity.</w:t>
      </w:r>
    </w:p>
    <w:p>
      <w:pPr>
        <w:spacing w:after="0" w:line="200" w:lineRule="exact"/>
        <w:rPr>
          <w:sz w:val="20"/>
          <w:szCs w:val="20"/>
          <w:color w:val="auto"/>
        </w:rPr>
      </w:pPr>
    </w:p>
    <w:p>
      <w:pPr>
        <w:spacing w:after="0" w:line="32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107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61" w:right="2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495935</wp:posOffset>
            </wp:positionV>
            <wp:extent cx="717804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Acronyms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ABS: </w:t>
      </w:r>
      <w:r>
        <w:rPr>
          <w:rFonts w:ascii="Times New Roman" w:cs="Times New Roman" w:eastAsia="Times New Roman" w:hAnsi="Times New Roman"/>
          <w:sz w:val="12"/>
          <w:szCs w:val="12"/>
          <w:color w:val="auto"/>
        </w:rPr>
        <w:t>Asset-backed securities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ACH: </w:t>
      </w:r>
      <w:r>
        <w:rPr>
          <w:rFonts w:ascii="Times New Roman" w:cs="Times New Roman" w:eastAsia="Times New Roman" w:hAnsi="Times New Roman"/>
          <w:sz w:val="12"/>
          <w:szCs w:val="12"/>
          <w:color w:val="auto"/>
        </w:rPr>
        <w:t>Automated Clearing House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ACL: </w:t>
      </w:r>
      <w:r>
        <w:rPr>
          <w:rFonts w:ascii="Times New Roman" w:cs="Times New Roman" w:eastAsia="Times New Roman" w:hAnsi="Times New Roman"/>
          <w:sz w:val="12"/>
          <w:szCs w:val="12"/>
          <w:color w:val="auto"/>
        </w:rPr>
        <w:t>Allowance for credit losses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AML: </w:t>
      </w:r>
      <w:r>
        <w:rPr>
          <w:rFonts w:ascii="Times New Roman" w:cs="Times New Roman" w:eastAsia="Times New Roman" w:hAnsi="Times New Roman"/>
          <w:sz w:val="12"/>
          <w:szCs w:val="12"/>
          <w:color w:val="auto"/>
        </w:rPr>
        <w:t>Anti-money laundering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AOCI: </w:t>
      </w:r>
      <w:r>
        <w:rPr>
          <w:rFonts w:ascii="Times New Roman" w:cs="Times New Roman" w:eastAsia="Times New Roman" w:hAnsi="Times New Roman"/>
          <w:sz w:val="12"/>
          <w:szCs w:val="12"/>
          <w:color w:val="auto"/>
        </w:rPr>
        <w:t>Accumulated other comprehensive income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ARRC: </w:t>
      </w:r>
      <w:r>
        <w:rPr>
          <w:rFonts w:ascii="Times New Roman" w:cs="Times New Roman" w:eastAsia="Times New Roman" w:hAnsi="Times New Roman"/>
          <w:sz w:val="12"/>
          <w:szCs w:val="12"/>
          <w:color w:val="auto"/>
        </w:rPr>
        <w:t>Alternative Reference Rates Committee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ASU: </w:t>
      </w:r>
      <w:r>
        <w:rPr>
          <w:rFonts w:ascii="Times New Roman" w:cs="Times New Roman" w:eastAsia="Times New Roman" w:hAnsi="Times New Roman"/>
          <w:sz w:val="12"/>
          <w:szCs w:val="12"/>
          <w:color w:val="auto"/>
        </w:rPr>
        <w:t>Accounting Standards Update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ASC: </w:t>
      </w:r>
      <w:r>
        <w:rPr>
          <w:rFonts w:ascii="Times New Roman" w:cs="Times New Roman" w:eastAsia="Times New Roman" w:hAnsi="Times New Roman"/>
          <w:sz w:val="12"/>
          <w:szCs w:val="12"/>
          <w:color w:val="auto"/>
        </w:rPr>
        <w:t>Accounting Standards Codification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ATM: </w:t>
      </w:r>
      <w:r>
        <w:rPr>
          <w:rFonts w:ascii="Times New Roman" w:cs="Times New Roman" w:eastAsia="Times New Roman" w:hAnsi="Times New Roman"/>
          <w:sz w:val="12"/>
          <w:szCs w:val="12"/>
          <w:color w:val="auto"/>
        </w:rPr>
        <w:t>Automated teller machine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AWS: </w:t>
      </w:r>
      <w:r>
        <w:rPr>
          <w:rFonts w:ascii="Times New Roman" w:cs="Times New Roman" w:eastAsia="Times New Roman" w:hAnsi="Times New Roman"/>
          <w:sz w:val="12"/>
          <w:szCs w:val="12"/>
          <w:color w:val="auto"/>
        </w:rPr>
        <w:t>Amazon Web Services,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BHC: </w:t>
      </w:r>
      <w:r>
        <w:rPr>
          <w:rFonts w:ascii="Times New Roman" w:cs="Times New Roman" w:eastAsia="Times New Roman" w:hAnsi="Times New Roman"/>
          <w:sz w:val="12"/>
          <w:szCs w:val="12"/>
          <w:color w:val="auto"/>
        </w:rPr>
        <w:t>Bank holding company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bps: </w:t>
      </w:r>
      <w:r>
        <w:rPr>
          <w:rFonts w:ascii="Times New Roman" w:cs="Times New Roman" w:eastAsia="Times New Roman" w:hAnsi="Times New Roman"/>
          <w:sz w:val="12"/>
          <w:szCs w:val="12"/>
          <w:color w:val="auto"/>
        </w:rPr>
        <w:t>Basis points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CAD: </w:t>
      </w:r>
      <w:r>
        <w:rPr>
          <w:rFonts w:ascii="Times New Roman" w:cs="Times New Roman" w:eastAsia="Times New Roman" w:hAnsi="Times New Roman"/>
          <w:sz w:val="12"/>
          <w:szCs w:val="12"/>
          <w:color w:val="auto"/>
        </w:rPr>
        <w:t>Canadian dollar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CAP: </w:t>
      </w:r>
      <w:r>
        <w:rPr>
          <w:rFonts w:ascii="Times New Roman" w:cs="Times New Roman" w:eastAsia="Times New Roman" w:hAnsi="Times New Roman"/>
          <w:sz w:val="12"/>
          <w:szCs w:val="12"/>
          <w:color w:val="auto"/>
        </w:rPr>
        <w:t>Compliance Assurance Process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CARES: </w:t>
      </w:r>
      <w:r>
        <w:rPr>
          <w:rFonts w:ascii="Times New Roman" w:cs="Times New Roman" w:eastAsia="Times New Roman" w:hAnsi="Times New Roman"/>
          <w:sz w:val="12"/>
          <w:szCs w:val="12"/>
          <w:color w:val="auto"/>
        </w:rPr>
        <w:t>Coronavirus Aid, Relief, and Economic Security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CCAR: </w:t>
      </w:r>
      <w:r>
        <w:rPr>
          <w:rFonts w:ascii="Times New Roman" w:cs="Times New Roman" w:eastAsia="Times New Roman" w:hAnsi="Times New Roman"/>
          <w:sz w:val="12"/>
          <w:szCs w:val="12"/>
          <w:color w:val="auto"/>
        </w:rPr>
        <w:t>Comprehensive Capital Analysis and Review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CCP: </w:t>
      </w:r>
      <w:r>
        <w:rPr>
          <w:rFonts w:ascii="Times New Roman" w:cs="Times New Roman" w:eastAsia="Times New Roman" w:hAnsi="Times New Roman"/>
          <w:sz w:val="12"/>
          <w:szCs w:val="12"/>
          <w:color w:val="auto"/>
        </w:rPr>
        <w:t>Central Counterparty Clearinghouse, or Central Clearinghouse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CDE: </w:t>
      </w:r>
      <w:r>
        <w:rPr>
          <w:rFonts w:ascii="Times New Roman" w:cs="Times New Roman" w:eastAsia="Times New Roman" w:hAnsi="Times New Roman"/>
          <w:sz w:val="12"/>
          <w:szCs w:val="12"/>
          <w:color w:val="auto"/>
        </w:rPr>
        <w:t>Community development entities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CECL: </w:t>
      </w:r>
      <w:r>
        <w:rPr>
          <w:rFonts w:ascii="Times New Roman" w:cs="Times New Roman" w:eastAsia="Times New Roman" w:hAnsi="Times New Roman"/>
          <w:sz w:val="12"/>
          <w:szCs w:val="12"/>
          <w:color w:val="auto"/>
        </w:rPr>
        <w:t>Current expected credit loss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CET1: </w:t>
      </w:r>
      <w:r>
        <w:rPr>
          <w:rFonts w:ascii="Times New Roman" w:cs="Times New Roman" w:eastAsia="Times New Roman" w:hAnsi="Times New Roman"/>
          <w:sz w:val="12"/>
          <w:szCs w:val="12"/>
          <w:color w:val="auto"/>
        </w:rPr>
        <w:t>Common equity Tier 1 capital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CFPB: </w:t>
      </w:r>
      <w:r>
        <w:rPr>
          <w:rFonts w:ascii="Times New Roman" w:cs="Times New Roman" w:eastAsia="Times New Roman" w:hAnsi="Times New Roman"/>
          <w:sz w:val="12"/>
          <w:szCs w:val="12"/>
          <w:color w:val="auto"/>
        </w:rPr>
        <w:t>Consumer Financial Protection Bureau</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CFTC: </w:t>
      </w:r>
      <w:r>
        <w:rPr>
          <w:rFonts w:ascii="Times New Roman" w:cs="Times New Roman" w:eastAsia="Times New Roman" w:hAnsi="Times New Roman"/>
          <w:sz w:val="12"/>
          <w:szCs w:val="12"/>
          <w:color w:val="auto"/>
        </w:rPr>
        <w:t>Commodity Futures Trading Commission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CIBC: </w:t>
      </w:r>
      <w:r>
        <w:rPr>
          <w:rFonts w:ascii="Times New Roman" w:cs="Times New Roman" w:eastAsia="Times New Roman" w:hAnsi="Times New Roman"/>
          <w:sz w:val="12"/>
          <w:szCs w:val="12"/>
          <w:color w:val="auto"/>
        </w:rPr>
        <w:t>the Change in Bank Control 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CISA: </w:t>
      </w:r>
      <w:r>
        <w:rPr>
          <w:rFonts w:ascii="Times New Roman" w:cs="Times New Roman" w:eastAsia="Times New Roman" w:hAnsi="Times New Roman"/>
          <w:sz w:val="12"/>
          <w:szCs w:val="12"/>
          <w:color w:val="auto"/>
        </w:rPr>
        <w:t>Cybersecurity and Infrastructure Security Agency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CMBS: </w:t>
      </w:r>
      <w:r>
        <w:rPr>
          <w:rFonts w:ascii="Times New Roman" w:cs="Times New Roman" w:eastAsia="Times New Roman" w:hAnsi="Times New Roman"/>
          <w:sz w:val="12"/>
          <w:szCs w:val="12"/>
          <w:color w:val="auto"/>
        </w:rPr>
        <w:t>Commercial mortgage-backed securities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CME: </w:t>
      </w:r>
      <w:r>
        <w:rPr>
          <w:rFonts w:ascii="Times New Roman" w:cs="Times New Roman" w:eastAsia="Times New Roman" w:hAnsi="Times New Roman"/>
          <w:sz w:val="12"/>
          <w:szCs w:val="12"/>
          <w:color w:val="auto"/>
        </w:rPr>
        <w:t>Chicago Mercantile Exchange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CPRA: </w:t>
      </w:r>
      <w:r>
        <w:rPr>
          <w:rFonts w:ascii="Times New Roman" w:cs="Times New Roman" w:eastAsia="Times New Roman" w:hAnsi="Times New Roman"/>
          <w:sz w:val="12"/>
          <w:szCs w:val="12"/>
          <w:color w:val="auto"/>
        </w:rPr>
        <w:t>California Privacy Rights 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COBNA: </w:t>
      </w:r>
      <w:r>
        <w:rPr>
          <w:rFonts w:ascii="Times New Roman" w:cs="Times New Roman" w:eastAsia="Times New Roman" w:hAnsi="Times New Roman"/>
          <w:sz w:val="12"/>
          <w:szCs w:val="12"/>
          <w:color w:val="auto"/>
        </w:rPr>
        <w:t>Capital One Bank (USA), National Association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COEP: </w:t>
      </w:r>
      <w:r>
        <w:rPr>
          <w:rFonts w:ascii="Times New Roman" w:cs="Times New Roman" w:eastAsia="Times New Roman" w:hAnsi="Times New Roman"/>
          <w:sz w:val="12"/>
          <w:szCs w:val="12"/>
          <w:color w:val="auto"/>
        </w:rPr>
        <w:t>Capital One (Europe) plc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COF: </w:t>
      </w:r>
      <w:r>
        <w:rPr>
          <w:rFonts w:ascii="Times New Roman" w:cs="Times New Roman" w:eastAsia="Times New Roman" w:hAnsi="Times New Roman"/>
          <w:sz w:val="12"/>
          <w:szCs w:val="12"/>
          <w:color w:val="auto"/>
        </w:rPr>
        <w:t>Capital One Financial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CONA</w:t>
      </w:r>
      <w:r>
        <w:rPr>
          <w:rFonts w:ascii="Times New Roman" w:cs="Times New Roman" w:eastAsia="Times New Roman" w:hAnsi="Times New Roman"/>
          <w:sz w:val="12"/>
          <w:szCs w:val="12"/>
          <w:color w:val="auto"/>
        </w:rPr>
        <w:t>: Capital One, National Association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COSO: </w:t>
      </w:r>
      <w:r>
        <w:rPr>
          <w:rFonts w:ascii="Times New Roman" w:cs="Times New Roman" w:eastAsia="Times New Roman" w:hAnsi="Times New Roman"/>
          <w:sz w:val="12"/>
          <w:szCs w:val="12"/>
          <w:color w:val="auto"/>
        </w:rPr>
        <w:t>Committee of the Treadway Commission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COVID-19: </w:t>
      </w:r>
      <w:r>
        <w:rPr>
          <w:rFonts w:ascii="Times New Roman" w:cs="Times New Roman" w:eastAsia="Times New Roman" w:hAnsi="Times New Roman"/>
          <w:sz w:val="12"/>
          <w:szCs w:val="12"/>
          <w:color w:val="auto"/>
        </w:rPr>
        <w:t>Coronavirus disease of 2019</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CRA: </w:t>
      </w:r>
      <w:r>
        <w:rPr>
          <w:rFonts w:ascii="Times New Roman" w:cs="Times New Roman" w:eastAsia="Times New Roman" w:hAnsi="Times New Roman"/>
          <w:sz w:val="12"/>
          <w:szCs w:val="12"/>
          <w:color w:val="auto"/>
        </w:rPr>
        <w:t>Community Reinvestment 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CVA: </w:t>
      </w:r>
      <w:r>
        <w:rPr>
          <w:rFonts w:ascii="Times New Roman" w:cs="Times New Roman" w:eastAsia="Times New Roman" w:hAnsi="Times New Roman"/>
          <w:sz w:val="12"/>
          <w:szCs w:val="12"/>
          <w:color w:val="auto"/>
        </w:rPr>
        <w:t>Credit valuation adjustment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DCF: </w:t>
      </w:r>
      <w:r>
        <w:rPr>
          <w:rFonts w:ascii="Times New Roman" w:cs="Times New Roman" w:eastAsia="Times New Roman" w:hAnsi="Times New Roman"/>
          <w:sz w:val="12"/>
          <w:szCs w:val="12"/>
          <w:color w:val="auto"/>
        </w:rPr>
        <w:t>Discounted cash flow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DFAST: </w:t>
      </w:r>
      <w:r>
        <w:rPr>
          <w:rFonts w:ascii="Times New Roman" w:cs="Times New Roman" w:eastAsia="Times New Roman" w:hAnsi="Times New Roman"/>
          <w:sz w:val="12"/>
          <w:szCs w:val="12"/>
          <w:color w:val="auto"/>
        </w:rPr>
        <w:t>Dodd-Frank Act Stress Tests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DIB: </w:t>
      </w:r>
      <w:r>
        <w:rPr>
          <w:rFonts w:ascii="Times New Roman" w:cs="Times New Roman" w:eastAsia="Times New Roman" w:hAnsi="Times New Roman"/>
          <w:sz w:val="12"/>
          <w:szCs w:val="12"/>
          <w:color w:val="auto"/>
        </w:rPr>
        <w:t>Diversity Inclusion and Belonging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DIF</w:t>
      </w:r>
      <w:r>
        <w:rPr>
          <w:rFonts w:ascii="Times New Roman" w:cs="Times New Roman" w:eastAsia="Times New Roman" w:hAnsi="Times New Roman"/>
          <w:sz w:val="12"/>
          <w:szCs w:val="12"/>
          <w:color w:val="auto"/>
        </w:rPr>
        <w:t>: Deposit Insurance Fund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DRR: </w:t>
      </w:r>
      <w:r>
        <w:rPr>
          <w:rFonts w:ascii="Times New Roman" w:cs="Times New Roman" w:eastAsia="Times New Roman" w:hAnsi="Times New Roman"/>
          <w:sz w:val="12"/>
          <w:szCs w:val="12"/>
          <w:color w:val="auto"/>
        </w:rPr>
        <w:t>Designated Reserve Ratio</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DVA: </w:t>
      </w:r>
      <w:r>
        <w:rPr>
          <w:rFonts w:ascii="Times New Roman" w:cs="Times New Roman" w:eastAsia="Times New Roman" w:hAnsi="Times New Roman"/>
          <w:sz w:val="12"/>
          <w:szCs w:val="12"/>
          <w:color w:val="auto"/>
        </w:rPr>
        <w:t>Debit valuation adjustment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EGRRCPA: </w:t>
      </w:r>
      <w:r>
        <w:rPr>
          <w:rFonts w:ascii="Times New Roman" w:cs="Times New Roman" w:eastAsia="Times New Roman" w:hAnsi="Times New Roman"/>
          <w:sz w:val="12"/>
          <w:szCs w:val="12"/>
          <w:color w:val="auto"/>
        </w:rPr>
        <w:t>Economic Growth, Regulatory Relief, and Consumer Protection 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EU: </w:t>
      </w:r>
      <w:r>
        <w:rPr>
          <w:rFonts w:ascii="Times New Roman" w:cs="Times New Roman" w:eastAsia="Times New Roman" w:hAnsi="Times New Roman"/>
          <w:sz w:val="12"/>
          <w:szCs w:val="12"/>
          <w:color w:val="auto"/>
        </w:rPr>
        <w:t>European Union</w:t>
      </w:r>
    </w:p>
    <w:p>
      <w:pPr>
        <w:spacing w:after="0" w:line="200" w:lineRule="exact"/>
        <w:rPr>
          <w:sz w:val="20"/>
          <w:szCs w:val="20"/>
          <w:color w:val="auto"/>
        </w:rPr>
      </w:pPr>
    </w:p>
    <w:p>
      <w:pPr>
        <w:spacing w:after="0" w:line="301" w:lineRule="exact"/>
        <w:rPr>
          <w:sz w:val="20"/>
          <w:szCs w:val="20"/>
          <w:color w:val="auto"/>
        </w:rPr>
      </w:pPr>
    </w:p>
    <w:p>
      <w:pPr>
        <w:jc w:val="both"/>
        <w:ind w:left="5560"/>
        <w:spacing w:after="0"/>
        <w:tabs>
          <w:tab w:leader="none" w:pos="9660" w:val="left"/>
        </w:tabs>
        <w:rPr>
          <w:sz w:val="20"/>
          <w:szCs w:val="20"/>
          <w:color w:val="auto"/>
        </w:rPr>
      </w:pPr>
      <w:r>
        <w:rPr>
          <w:rFonts w:ascii="Times New Roman" w:cs="Times New Roman" w:eastAsia="Times New Roman" w:hAnsi="Times New Roman"/>
          <w:sz w:val="10"/>
          <w:szCs w:val="10"/>
          <w:color w:val="auto"/>
        </w:rPr>
        <w:t>108</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157480</wp:posOffset>
            </wp:positionV>
            <wp:extent cx="72034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1"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EU GDPR: </w:t>
      </w:r>
      <w:r>
        <w:rPr>
          <w:rFonts w:ascii="Times New Roman" w:cs="Times New Roman" w:eastAsia="Times New Roman" w:hAnsi="Times New Roman"/>
          <w:sz w:val="12"/>
          <w:szCs w:val="12"/>
          <w:color w:val="auto"/>
        </w:rPr>
        <w:t>EU General Data Protection Regulation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EUR: </w:t>
      </w:r>
      <w:r>
        <w:rPr>
          <w:rFonts w:ascii="Times New Roman" w:cs="Times New Roman" w:eastAsia="Times New Roman" w:hAnsi="Times New Roman"/>
          <w:sz w:val="12"/>
          <w:szCs w:val="12"/>
          <w:color w:val="auto"/>
        </w:rPr>
        <w:t>Euro</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Fannie Mae: </w:t>
      </w:r>
      <w:r>
        <w:rPr>
          <w:rFonts w:ascii="Times New Roman" w:cs="Times New Roman" w:eastAsia="Times New Roman" w:hAnsi="Times New Roman"/>
          <w:sz w:val="12"/>
          <w:szCs w:val="12"/>
          <w:color w:val="auto"/>
        </w:rPr>
        <w:t>Federal National Mortgage Association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FASB: </w:t>
      </w:r>
      <w:r>
        <w:rPr>
          <w:rFonts w:ascii="Times New Roman" w:cs="Times New Roman" w:eastAsia="Times New Roman" w:hAnsi="Times New Roman"/>
          <w:sz w:val="12"/>
          <w:szCs w:val="12"/>
          <w:color w:val="auto"/>
        </w:rPr>
        <w:t>Financial Accounting Standards Board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FCA: </w:t>
      </w:r>
      <w:r>
        <w:rPr>
          <w:rFonts w:ascii="Times New Roman" w:cs="Times New Roman" w:eastAsia="Times New Roman" w:hAnsi="Times New Roman"/>
          <w:sz w:val="12"/>
          <w:szCs w:val="12"/>
          <w:color w:val="auto"/>
        </w:rPr>
        <w:t>U.K. Financial Conduct Authority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FCM: </w:t>
      </w:r>
      <w:r>
        <w:rPr>
          <w:rFonts w:ascii="Times New Roman" w:cs="Times New Roman" w:eastAsia="Times New Roman" w:hAnsi="Times New Roman"/>
          <w:sz w:val="12"/>
          <w:szCs w:val="12"/>
          <w:color w:val="auto"/>
        </w:rPr>
        <w:t>Futures commission merchant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FDIC: </w:t>
      </w:r>
      <w:r>
        <w:rPr>
          <w:rFonts w:ascii="Times New Roman" w:cs="Times New Roman" w:eastAsia="Times New Roman" w:hAnsi="Times New Roman"/>
          <w:sz w:val="12"/>
          <w:szCs w:val="12"/>
          <w:color w:val="auto"/>
        </w:rPr>
        <w:t>Federal Deposit Insurance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FDICIA: </w:t>
      </w:r>
      <w:r>
        <w:rPr>
          <w:rFonts w:ascii="Times New Roman" w:cs="Times New Roman" w:eastAsia="Times New Roman" w:hAnsi="Times New Roman"/>
          <w:sz w:val="12"/>
          <w:szCs w:val="12"/>
          <w:color w:val="auto"/>
        </w:rPr>
        <w:t>Federal Deposit Insurance Corporation Improvement Act of 1991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FFIEC: </w:t>
      </w:r>
      <w:r>
        <w:rPr>
          <w:rFonts w:ascii="Times New Roman" w:cs="Times New Roman" w:eastAsia="Times New Roman" w:hAnsi="Times New Roman"/>
          <w:sz w:val="12"/>
          <w:szCs w:val="12"/>
          <w:color w:val="auto"/>
        </w:rPr>
        <w:t>Federal Financial Institutions Examination Council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FHC: </w:t>
      </w:r>
      <w:r>
        <w:rPr>
          <w:rFonts w:ascii="Times New Roman" w:cs="Times New Roman" w:eastAsia="Times New Roman" w:hAnsi="Times New Roman"/>
          <w:sz w:val="12"/>
          <w:szCs w:val="12"/>
          <w:color w:val="auto"/>
        </w:rPr>
        <w:t>Financial Holding Company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FHLB: </w:t>
      </w:r>
      <w:r>
        <w:rPr>
          <w:rFonts w:ascii="Times New Roman" w:cs="Times New Roman" w:eastAsia="Times New Roman" w:hAnsi="Times New Roman"/>
          <w:sz w:val="12"/>
          <w:szCs w:val="12"/>
          <w:color w:val="auto"/>
        </w:rPr>
        <w:t>Federal Home Loan Banks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FICO: </w:t>
      </w:r>
      <w:r>
        <w:rPr>
          <w:rFonts w:ascii="Times New Roman" w:cs="Times New Roman" w:eastAsia="Times New Roman" w:hAnsi="Times New Roman"/>
          <w:sz w:val="12"/>
          <w:szCs w:val="12"/>
          <w:color w:val="auto"/>
        </w:rPr>
        <w:t>Fair Isaac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FinCEN: </w:t>
      </w:r>
      <w:r>
        <w:rPr>
          <w:rFonts w:ascii="Times New Roman" w:cs="Times New Roman" w:eastAsia="Times New Roman" w:hAnsi="Times New Roman"/>
          <w:sz w:val="12"/>
          <w:szCs w:val="12"/>
          <w:color w:val="auto"/>
        </w:rPr>
        <w:t>Financial Crimes Enforcement Network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Fitch: </w:t>
      </w:r>
      <w:r>
        <w:rPr>
          <w:rFonts w:ascii="Times New Roman" w:cs="Times New Roman" w:eastAsia="Times New Roman" w:hAnsi="Times New Roman"/>
          <w:sz w:val="12"/>
          <w:szCs w:val="12"/>
          <w:color w:val="auto"/>
        </w:rPr>
        <w:t>Fitch Ratings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FSOC: </w:t>
      </w:r>
      <w:r>
        <w:rPr>
          <w:rFonts w:ascii="Times New Roman" w:cs="Times New Roman" w:eastAsia="Times New Roman" w:hAnsi="Times New Roman"/>
          <w:sz w:val="12"/>
          <w:szCs w:val="12"/>
          <w:color w:val="auto"/>
        </w:rPr>
        <w:t>The Financial Stability Oversight Council</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Freddie Mac: </w:t>
      </w:r>
      <w:r>
        <w:rPr>
          <w:rFonts w:ascii="Times New Roman" w:cs="Times New Roman" w:eastAsia="Times New Roman" w:hAnsi="Times New Roman"/>
          <w:sz w:val="12"/>
          <w:szCs w:val="12"/>
          <w:color w:val="auto"/>
        </w:rPr>
        <w:t>Federal Home Loan Mortgage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FVC: </w:t>
      </w:r>
      <w:r>
        <w:rPr>
          <w:rFonts w:ascii="Times New Roman" w:cs="Times New Roman" w:eastAsia="Times New Roman" w:hAnsi="Times New Roman"/>
          <w:sz w:val="12"/>
          <w:szCs w:val="12"/>
          <w:color w:val="auto"/>
        </w:rPr>
        <w:t>Fair Value Committee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GAAP: </w:t>
      </w:r>
      <w:r>
        <w:rPr>
          <w:rFonts w:ascii="Times New Roman" w:cs="Times New Roman" w:eastAsia="Times New Roman" w:hAnsi="Times New Roman"/>
          <w:sz w:val="12"/>
          <w:szCs w:val="12"/>
          <w:color w:val="auto"/>
        </w:rPr>
        <w:t>Generally accepted accounting principles in the U.S.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GBP: </w:t>
      </w:r>
      <w:r>
        <w:rPr>
          <w:rFonts w:ascii="Times New Roman" w:cs="Times New Roman" w:eastAsia="Times New Roman" w:hAnsi="Times New Roman"/>
          <w:sz w:val="12"/>
          <w:szCs w:val="12"/>
          <w:color w:val="auto"/>
        </w:rPr>
        <w:t>Pound sterling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GDP: </w:t>
      </w:r>
      <w:r>
        <w:rPr>
          <w:rFonts w:ascii="Times New Roman" w:cs="Times New Roman" w:eastAsia="Times New Roman" w:hAnsi="Times New Roman"/>
          <w:sz w:val="12"/>
          <w:szCs w:val="12"/>
          <w:color w:val="auto"/>
        </w:rPr>
        <w:t>U.S. Real Gross Domestic Product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GDPR: </w:t>
      </w:r>
      <w:r>
        <w:rPr>
          <w:rFonts w:ascii="Times New Roman" w:cs="Times New Roman" w:eastAsia="Times New Roman" w:hAnsi="Times New Roman"/>
          <w:sz w:val="12"/>
          <w:szCs w:val="12"/>
          <w:color w:val="auto"/>
        </w:rPr>
        <w:t>General Data Protection Regulation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Ginnie Mae: </w:t>
      </w:r>
      <w:r>
        <w:rPr>
          <w:rFonts w:ascii="Times New Roman" w:cs="Times New Roman" w:eastAsia="Times New Roman" w:hAnsi="Times New Roman"/>
          <w:sz w:val="12"/>
          <w:szCs w:val="12"/>
          <w:color w:val="auto"/>
        </w:rPr>
        <w:t>Government National Mortgage Association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GLBA: </w:t>
      </w:r>
      <w:r>
        <w:rPr>
          <w:rFonts w:ascii="Times New Roman" w:cs="Times New Roman" w:eastAsia="Times New Roman" w:hAnsi="Times New Roman"/>
          <w:sz w:val="12"/>
          <w:szCs w:val="12"/>
          <w:color w:val="auto"/>
        </w:rPr>
        <w:t>Gramm-Leach Bliley 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G-SIB: </w:t>
      </w:r>
      <w:r>
        <w:rPr>
          <w:rFonts w:ascii="Times New Roman" w:cs="Times New Roman" w:eastAsia="Times New Roman" w:hAnsi="Times New Roman"/>
          <w:sz w:val="12"/>
          <w:szCs w:val="12"/>
          <w:color w:val="auto"/>
        </w:rPr>
        <w:t>Global systemically important banks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GSE or Agency: </w:t>
      </w:r>
      <w:r>
        <w:rPr>
          <w:rFonts w:ascii="Times New Roman" w:cs="Times New Roman" w:eastAsia="Times New Roman" w:hAnsi="Times New Roman"/>
          <w:sz w:val="12"/>
          <w:szCs w:val="12"/>
          <w:color w:val="auto"/>
        </w:rPr>
        <w:t>Government-sponsored enterprise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HQLA: </w:t>
      </w:r>
      <w:r>
        <w:rPr>
          <w:rFonts w:ascii="Times New Roman" w:cs="Times New Roman" w:eastAsia="Times New Roman" w:hAnsi="Times New Roman"/>
          <w:sz w:val="12"/>
          <w:szCs w:val="12"/>
          <w:color w:val="auto"/>
        </w:rPr>
        <w:t>High-Quality Liquid Assets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IBA: </w:t>
      </w:r>
      <w:r>
        <w:rPr>
          <w:rFonts w:ascii="Times New Roman" w:cs="Times New Roman" w:eastAsia="Times New Roman" w:hAnsi="Times New Roman"/>
          <w:sz w:val="12"/>
          <w:szCs w:val="12"/>
          <w:color w:val="auto"/>
        </w:rPr>
        <w:t>ICE Benchmark Administration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ICE: </w:t>
      </w:r>
      <w:r>
        <w:rPr>
          <w:rFonts w:ascii="Times New Roman" w:cs="Times New Roman" w:eastAsia="Times New Roman" w:hAnsi="Times New Roman"/>
          <w:sz w:val="12"/>
          <w:szCs w:val="12"/>
          <w:color w:val="auto"/>
        </w:rPr>
        <w:t>Intercontinental Exchange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IRM: </w:t>
      </w:r>
      <w:r>
        <w:rPr>
          <w:rFonts w:ascii="Times New Roman" w:cs="Times New Roman" w:eastAsia="Times New Roman" w:hAnsi="Times New Roman"/>
          <w:sz w:val="12"/>
          <w:szCs w:val="12"/>
          <w:color w:val="auto"/>
        </w:rPr>
        <w:t>Independent Risk Management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IRS: </w:t>
      </w:r>
      <w:r>
        <w:rPr>
          <w:rFonts w:ascii="Times New Roman" w:cs="Times New Roman" w:eastAsia="Times New Roman" w:hAnsi="Times New Roman"/>
          <w:sz w:val="12"/>
          <w:szCs w:val="12"/>
          <w:color w:val="auto"/>
        </w:rPr>
        <w:t>Internal Revenue Service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ISDA: </w:t>
      </w:r>
      <w:r>
        <w:rPr>
          <w:rFonts w:ascii="Times New Roman" w:cs="Times New Roman" w:eastAsia="Times New Roman" w:hAnsi="Times New Roman"/>
          <w:sz w:val="12"/>
          <w:szCs w:val="12"/>
          <w:color w:val="auto"/>
        </w:rPr>
        <w:t>International Swaps and Derivatives Association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LCH: </w:t>
      </w:r>
      <w:r>
        <w:rPr>
          <w:rFonts w:ascii="Times New Roman" w:cs="Times New Roman" w:eastAsia="Times New Roman" w:hAnsi="Times New Roman"/>
          <w:sz w:val="12"/>
          <w:szCs w:val="12"/>
          <w:color w:val="auto"/>
        </w:rPr>
        <w:t>LCH Group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LCR: </w:t>
      </w:r>
      <w:r>
        <w:rPr>
          <w:rFonts w:ascii="Times New Roman" w:cs="Times New Roman" w:eastAsia="Times New Roman" w:hAnsi="Times New Roman"/>
          <w:sz w:val="12"/>
          <w:szCs w:val="12"/>
          <w:color w:val="auto"/>
        </w:rPr>
        <w:t>Liquidity coverage ratio</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LIBOR: </w:t>
      </w:r>
      <w:r>
        <w:rPr>
          <w:rFonts w:ascii="Times New Roman" w:cs="Times New Roman" w:eastAsia="Times New Roman" w:hAnsi="Times New Roman"/>
          <w:sz w:val="12"/>
          <w:szCs w:val="12"/>
          <w:color w:val="auto"/>
        </w:rPr>
        <w:t>London Interbank Offered Rate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LLC: </w:t>
      </w:r>
      <w:r>
        <w:rPr>
          <w:rFonts w:ascii="Times New Roman" w:cs="Times New Roman" w:eastAsia="Times New Roman" w:hAnsi="Times New Roman"/>
          <w:sz w:val="12"/>
          <w:szCs w:val="12"/>
          <w:color w:val="auto"/>
        </w:rPr>
        <w:t>Limited liability company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LTV: </w:t>
      </w:r>
      <w:r>
        <w:rPr>
          <w:rFonts w:ascii="Times New Roman" w:cs="Times New Roman" w:eastAsia="Times New Roman" w:hAnsi="Times New Roman"/>
          <w:sz w:val="12"/>
          <w:szCs w:val="12"/>
          <w:color w:val="auto"/>
        </w:rPr>
        <w:t>Loan-to-Value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MDL: </w:t>
      </w:r>
      <w:r>
        <w:rPr>
          <w:rFonts w:ascii="Times New Roman" w:cs="Times New Roman" w:eastAsia="Times New Roman" w:hAnsi="Times New Roman"/>
          <w:sz w:val="12"/>
          <w:szCs w:val="12"/>
          <w:color w:val="auto"/>
        </w:rPr>
        <w:t>Multi-district litigation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Moody’s: </w:t>
      </w:r>
      <w:r>
        <w:rPr>
          <w:rFonts w:ascii="Times New Roman" w:cs="Times New Roman" w:eastAsia="Times New Roman" w:hAnsi="Times New Roman"/>
          <w:sz w:val="12"/>
          <w:szCs w:val="12"/>
          <w:color w:val="auto"/>
        </w:rPr>
        <w:t>Moody’s Investors Service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MSRs: </w:t>
      </w:r>
      <w:r>
        <w:rPr>
          <w:rFonts w:ascii="Times New Roman" w:cs="Times New Roman" w:eastAsia="Times New Roman" w:hAnsi="Times New Roman"/>
          <w:sz w:val="12"/>
          <w:szCs w:val="12"/>
          <w:color w:val="auto"/>
        </w:rPr>
        <w:t>Mortgage servicing rights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NSFR: </w:t>
      </w:r>
      <w:r>
        <w:rPr>
          <w:rFonts w:ascii="Times New Roman" w:cs="Times New Roman" w:eastAsia="Times New Roman" w:hAnsi="Times New Roman"/>
          <w:sz w:val="12"/>
          <w:szCs w:val="12"/>
          <w:color w:val="auto"/>
        </w:rPr>
        <w:t>Net stable funding ratio</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NYSE: </w:t>
      </w:r>
      <w:r>
        <w:rPr>
          <w:rFonts w:ascii="Times New Roman" w:cs="Times New Roman" w:eastAsia="Times New Roman" w:hAnsi="Times New Roman"/>
          <w:sz w:val="12"/>
          <w:szCs w:val="12"/>
          <w:color w:val="auto"/>
        </w:rPr>
        <w:t>New York Stock Exchange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OCC: </w:t>
      </w:r>
      <w:r>
        <w:rPr>
          <w:rFonts w:ascii="Times New Roman" w:cs="Times New Roman" w:eastAsia="Times New Roman" w:hAnsi="Times New Roman"/>
          <w:sz w:val="12"/>
          <w:szCs w:val="12"/>
          <w:color w:val="auto"/>
        </w:rPr>
        <w:t>Office of the Comptroller of the Currency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OCI: </w:t>
      </w:r>
      <w:r>
        <w:rPr>
          <w:rFonts w:ascii="Times New Roman" w:cs="Times New Roman" w:eastAsia="Times New Roman" w:hAnsi="Times New Roman"/>
          <w:sz w:val="12"/>
          <w:szCs w:val="12"/>
          <w:color w:val="auto"/>
        </w:rPr>
        <w:t>Other comprehensive income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OTC: </w:t>
      </w:r>
      <w:r>
        <w:rPr>
          <w:rFonts w:ascii="Times New Roman" w:cs="Times New Roman" w:eastAsia="Times New Roman" w:hAnsi="Times New Roman"/>
          <w:sz w:val="12"/>
          <w:szCs w:val="12"/>
          <w:color w:val="auto"/>
        </w:rPr>
        <w:t>Over-the-counter</w:t>
      </w:r>
    </w:p>
    <w:p>
      <w:pPr>
        <w:spacing w:after="0" w:line="200" w:lineRule="exact"/>
        <w:rPr>
          <w:sz w:val="20"/>
          <w:szCs w:val="20"/>
          <w:color w:val="auto"/>
        </w:rPr>
      </w:pPr>
    </w:p>
    <w:p>
      <w:pPr>
        <w:spacing w:after="0" w:line="301" w:lineRule="exact"/>
        <w:rPr>
          <w:sz w:val="20"/>
          <w:szCs w:val="20"/>
          <w:color w:val="auto"/>
        </w:rPr>
      </w:pPr>
    </w:p>
    <w:p>
      <w:pPr>
        <w:jc w:val="both"/>
        <w:ind w:left="5560"/>
        <w:spacing w:after="0"/>
        <w:tabs>
          <w:tab w:leader="none" w:pos="9660" w:val="left"/>
        </w:tabs>
        <w:rPr>
          <w:sz w:val="20"/>
          <w:szCs w:val="20"/>
          <w:color w:val="auto"/>
        </w:rPr>
      </w:pPr>
      <w:r>
        <w:rPr>
          <w:rFonts w:ascii="Times New Roman" w:cs="Times New Roman" w:eastAsia="Times New Roman" w:hAnsi="Times New Roman"/>
          <w:sz w:val="10"/>
          <w:szCs w:val="10"/>
          <w:color w:val="auto"/>
        </w:rPr>
        <w:t>109</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157480</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1"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PCA: </w:t>
      </w:r>
      <w:r>
        <w:rPr>
          <w:rFonts w:ascii="Times New Roman" w:cs="Times New Roman" w:eastAsia="Times New Roman" w:hAnsi="Times New Roman"/>
          <w:sz w:val="12"/>
          <w:szCs w:val="12"/>
          <w:color w:val="auto"/>
        </w:rPr>
        <w:t>Prompt corrective action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PCAOB: </w:t>
      </w:r>
      <w:r>
        <w:rPr>
          <w:rFonts w:ascii="Times New Roman" w:cs="Times New Roman" w:eastAsia="Times New Roman" w:hAnsi="Times New Roman"/>
          <w:sz w:val="12"/>
          <w:szCs w:val="12"/>
          <w:color w:val="auto"/>
        </w:rPr>
        <w:t>Public Company Accounting Oversight Board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PCCR: </w:t>
      </w:r>
      <w:r>
        <w:rPr>
          <w:rFonts w:ascii="Times New Roman" w:cs="Times New Roman" w:eastAsia="Times New Roman" w:hAnsi="Times New Roman"/>
          <w:sz w:val="12"/>
          <w:szCs w:val="12"/>
          <w:color w:val="auto"/>
        </w:rPr>
        <w:t>Purchased credit card relationship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PCD: </w:t>
      </w:r>
      <w:r>
        <w:rPr>
          <w:rFonts w:ascii="Times New Roman" w:cs="Times New Roman" w:eastAsia="Times New Roman" w:hAnsi="Times New Roman"/>
          <w:sz w:val="12"/>
          <w:szCs w:val="12"/>
          <w:color w:val="auto"/>
        </w:rPr>
        <w:t>Purchased Credit-Deteriorated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PIPEDA: </w:t>
      </w:r>
      <w:r>
        <w:rPr>
          <w:rFonts w:ascii="Times New Roman" w:cs="Times New Roman" w:eastAsia="Times New Roman" w:hAnsi="Times New Roman"/>
          <w:sz w:val="12"/>
          <w:szCs w:val="12"/>
          <w:color w:val="auto"/>
        </w:rPr>
        <w:t>Personal Information Protection and Electronic Document 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PPI: </w:t>
      </w:r>
      <w:r>
        <w:rPr>
          <w:rFonts w:ascii="Times New Roman" w:cs="Times New Roman" w:eastAsia="Times New Roman" w:hAnsi="Times New Roman"/>
          <w:sz w:val="12"/>
          <w:szCs w:val="12"/>
          <w:color w:val="auto"/>
        </w:rPr>
        <w:t>Payment protection insurance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PSU: </w:t>
      </w:r>
      <w:r>
        <w:rPr>
          <w:rFonts w:ascii="Times New Roman" w:cs="Times New Roman" w:eastAsia="Times New Roman" w:hAnsi="Times New Roman"/>
          <w:sz w:val="12"/>
          <w:szCs w:val="12"/>
          <w:color w:val="auto"/>
        </w:rPr>
        <w:t>Performance share units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RMBS: </w:t>
      </w:r>
      <w:r>
        <w:rPr>
          <w:rFonts w:ascii="Times New Roman" w:cs="Times New Roman" w:eastAsia="Times New Roman" w:hAnsi="Times New Roman"/>
          <w:sz w:val="12"/>
          <w:szCs w:val="12"/>
          <w:color w:val="auto"/>
        </w:rPr>
        <w:t>Residential mortgage-backed securities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RSU: </w:t>
      </w:r>
      <w:r>
        <w:rPr>
          <w:rFonts w:ascii="Times New Roman" w:cs="Times New Roman" w:eastAsia="Times New Roman" w:hAnsi="Times New Roman"/>
          <w:sz w:val="12"/>
          <w:szCs w:val="12"/>
          <w:color w:val="auto"/>
        </w:rPr>
        <w:t>Restricted stock unit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S&amp;P: </w:t>
      </w:r>
      <w:r>
        <w:rPr>
          <w:rFonts w:ascii="Times New Roman" w:cs="Times New Roman" w:eastAsia="Times New Roman" w:hAnsi="Times New Roman"/>
          <w:sz w:val="12"/>
          <w:szCs w:val="12"/>
          <w:color w:val="auto"/>
        </w:rPr>
        <w:t>Standard &amp; Poor’s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SEC: </w:t>
      </w:r>
      <w:r>
        <w:rPr>
          <w:rFonts w:ascii="Times New Roman" w:cs="Times New Roman" w:eastAsia="Times New Roman" w:hAnsi="Times New Roman"/>
          <w:sz w:val="12"/>
          <w:szCs w:val="12"/>
          <w:color w:val="auto"/>
        </w:rPr>
        <w:t>U.S. Securities and Exchange Commission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SOFR: </w:t>
      </w:r>
      <w:r>
        <w:rPr>
          <w:rFonts w:ascii="Times New Roman" w:cs="Times New Roman" w:eastAsia="Times New Roman" w:hAnsi="Times New Roman"/>
          <w:sz w:val="12"/>
          <w:szCs w:val="12"/>
          <w:color w:val="auto"/>
        </w:rPr>
        <w:t>Secured Overnight Financing Rate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TCE: </w:t>
      </w:r>
      <w:r>
        <w:rPr>
          <w:rFonts w:ascii="Times New Roman" w:cs="Times New Roman" w:eastAsia="Times New Roman" w:hAnsi="Times New Roman"/>
          <w:sz w:val="12"/>
          <w:szCs w:val="12"/>
          <w:color w:val="auto"/>
        </w:rPr>
        <w:t>Tangible common equity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TDR: </w:t>
      </w:r>
      <w:r>
        <w:rPr>
          <w:rFonts w:ascii="Times New Roman" w:cs="Times New Roman" w:eastAsia="Times New Roman" w:hAnsi="Times New Roman"/>
          <w:sz w:val="12"/>
          <w:szCs w:val="12"/>
          <w:color w:val="auto"/>
        </w:rPr>
        <w:t>Troubled debt restructuring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TILA: </w:t>
      </w:r>
      <w:r>
        <w:rPr>
          <w:rFonts w:ascii="Times New Roman" w:cs="Times New Roman" w:eastAsia="Times New Roman" w:hAnsi="Times New Roman"/>
          <w:sz w:val="12"/>
          <w:szCs w:val="12"/>
          <w:color w:val="auto"/>
        </w:rPr>
        <w:t>Truth in Lending Act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U.K.: </w:t>
      </w:r>
      <w:r>
        <w:rPr>
          <w:rFonts w:ascii="Times New Roman" w:cs="Times New Roman" w:eastAsia="Times New Roman" w:hAnsi="Times New Roman"/>
          <w:sz w:val="12"/>
          <w:szCs w:val="12"/>
          <w:color w:val="auto"/>
        </w:rPr>
        <w:t>United Kingdom</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U.K. GDPR: </w:t>
      </w:r>
      <w:r>
        <w:rPr>
          <w:rFonts w:ascii="Times New Roman" w:cs="Times New Roman" w:eastAsia="Times New Roman" w:hAnsi="Times New Roman"/>
          <w:sz w:val="12"/>
          <w:szCs w:val="12"/>
          <w:color w:val="auto"/>
        </w:rPr>
        <w:t>U.K. General Data Protection Regulation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U.S.: </w:t>
      </w:r>
      <w:r>
        <w:rPr>
          <w:rFonts w:ascii="Times New Roman" w:cs="Times New Roman" w:eastAsia="Times New Roman" w:hAnsi="Times New Roman"/>
          <w:sz w:val="12"/>
          <w:szCs w:val="12"/>
          <w:color w:val="auto"/>
        </w:rPr>
        <w:t>United States of America</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USD: </w:t>
      </w:r>
      <w:r>
        <w:rPr>
          <w:rFonts w:ascii="Times New Roman" w:cs="Times New Roman" w:eastAsia="Times New Roman" w:hAnsi="Times New Roman"/>
          <w:sz w:val="12"/>
          <w:szCs w:val="12"/>
          <w:color w:val="auto"/>
        </w:rPr>
        <w:t>United States Dollar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VAC: </w:t>
      </w:r>
      <w:r>
        <w:rPr>
          <w:rFonts w:ascii="Times New Roman" w:cs="Times New Roman" w:eastAsia="Times New Roman" w:hAnsi="Times New Roman"/>
          <w:sz w:val="12"/>
          <w:szCs w:val="12"/>
          <w:color w:val="auto"/>
        </w:rPr>
        <w:t>Valuations Advisory Committee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VIE: </w:t>
      </w:r>
      <w:r>
        <w:rPr>
          <w:rFonts w:ascii="Times New Roman" w:cs="Times New Roman" w:eastAsia="Times New Roman" w:hAnsi="Times New Roman"/>
          <w:sz w:val="12"/>
          <w:szCs w:val="12"/>
          <w:color w:val="auto"/>
        </w:rPr>
        <w:t>Variable interest entity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XBRL: </w:t>
      </w:r>
      <w:r>
        <w:rPr>
          <w:rFonts w:ascii="Times New Roman" w:cs="Times New Roman" w:eastAsia="Times New Roman" w:hAnsi="Times New Roman"/>
          <w:sz w:val="12"/>
          <w:szCs w:val="12"/>
          <w:color w:val="auto"/>
        </w:rPr>
        <w:t>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5560"/>
        <w:spacing w:after="0"/>
        <w:tabs>
          <w:tab w:leader="none" w:pos="9660" w:val="left"/>
        </w:tabs>
        <w:rPr>
          <w:sz w:val="20"/>
          <w:szCs w:val="20"/>
          <w:color w:val="auto"/>
        </w:rPr>
      </w:pPr>
      <w:r>
        <w:rPr>
          <w:rFonts w:ascii="Times New Roman" w:cs="Times New Roman" w:eastAsia="Times New Roman" w:hAnsi="Times New Roman"/>
          <w:sz w:val="10"/>
          <w:szCs w:val="10"/>
          <w:color w:val="auto"/>
        </w:rPr>
        <w:t>110</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157480</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61"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a discussion of the quantitative and qualitative disclosures about market risk, see “Part II—Item 7. MD&amp;A—Market Risk Profile.”</w:t>
      </w:r>
    </w:p>
    <w:p>
      <w:pPr>
        <w:spacing w:after="0" w:line="200" w:lineRule="exact"/>
        <w:rPr>
          <w:sz w:val="20"/>
          <w:szCs w:val="20"/>
          <w:color w:val="auto"/>
        </w:rPr>
      </w:pPr>
    </w:p>
    <w:p>
      <w:pPr>
        <w:spacing w:after="0" w:line="369" w:lineRule="exact"/>
        <w:rPr>
          <w:sz w:val="20"/>
          <w:szCs w:val="20"/>
          <w:color w:val="auto"/>
        </w:rPr>
      </w:pPr>
    </w:p>
    <w:p>
      <w:pPr>
        <w:jc w:val="both"/>
        <w:ind w:left="5560"/>
        <w:spacing w:after="0"/>
        <w:tabs>
          <w:tab w:leader="none" w:pos="9660" w:val="left"/>
        </w:tabs>
        <w:rPr>
          <w:sz w:val="20"/>
          <w:szCs w:val="20"/>
          <w:color w:val="auto"/>
        </w:rPr>
      </w:pPr>
      <w:r>
        <w:rPr>
          <w:rFonts w:ascii="Times New Roman" w:cs="Times New Roman" w:eastAsia="Times New Roman" w:hAnsi="Times New Roman"/>
          <w:sz w:val="10"/>
          <w:szCs w:val="10"/>
          <w:color w:val="auto"/>
        </w:rPr>
        <w:t>111</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157480</wp:posOffset>
            </wp:positionV>
            <wp:extent cx="72034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tc>
        <w:tc>
          <w:tcPr>
            <w:tcW w:w="3540" w:type="dxa"/>
            <w:vAlign w:val="bottom"/>
            <w:vMerge w:val="restart"/>
          </w:tcPr>
          <w:p>
            <w:pPr>
              <w:jc w:val="center"/>
              <w:ind w:left="2760"/>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51"/>
        </w:trPr>
        <w:tc>
          <w:tcPr>
            <w:tcW w:w="776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Management’s Report on Internal Control Over Financial Reporting</w:t>
            </w:r>
          </w:p>
        </w:tc>
        <w:tc>
          <w:tcPr>
            <w:tcW w:w="3540" w:type="dxa"/>
            <w:vAlign w:val="bottom"/>
          </w:tcPr>
          <w:p>
            <w:pPr>
              <w:jc w:val="center"/>
              <w:ind w:left="2760"/>
              <w:spacing w:after="0"/>
              <w:rPr>
                <w:sz w:val="20"/>
                <w:szCs w:val="20"/>
                <w:color w:val="auto"/>
              </w:rPr>
            </w:pPr>
            <w:r>
              <w:rPr>
                <w:rFonts w:ascii="Times New Roman" w:cs="Times New Roman" w:eastAsia="Times New Roman" w:hAnsi="Times New Roman"/>
                <w:sz w:val="12"/>
                <w:szCs w:val="12"/>
                <w:color w:val="auto"/>
                <w:w w:val="88"/>
              </w:rPr>
              <w:t>113</w:t>
            </w:r>
          </w:p>
        </w:tc>
        <w:tc>
          <w:tcPr>
            <w:tcW w:w="0" w:type="dxa"/>
            <w:vAlign w:val="bottom"/>
          </w:tcPr>
          <w:p>
            <w:pPr>
              <w:spacing w:after="0"/>
              <w:rPr>
                <w:sz w:val="1"/>
                <w:szCs w:val="1"/>
                <w:color w:val="auto"/>
              </w:rPr>
            </w:pP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Report of Independent Registered Public Accounting Firm on Internal Control Over Financial Reporting (PCAOB ID 42)</w:t>
            </w:r>
          </w:p>
        </w:tc>
        <w:tc>
          <w:tcPr>
            <w:tcW w:w="3540" w:type="dxa"/>
            <w:vAlign w:val="bottom"/>
          </w:tcPr>
          <w:p>
            <w:pPr>
              <w:jc w:val="center"/>
              <w:ind w:left="2760"/>
              <w:spacing w:after="0"/>
              <w:rPr>
                <w:sz w:val="20"/>
                <w:szCs w:val="20"/>
                <w:color w:val="auto"/>
              </w:rPr>
            </w:pPr>
            <w:r>
              <w:rPr>
                <w:rFonts w:ascii="Times New Roman" w:cs="Times New Roman" w:eastAsia="Times New Roman" w:hAnsi="Times New Roman"/>
                <w:sz w:val="12"/>
                <w:szCs w:val="12"/>
                <w:color w:val="auto"/>
                <w:w w:val="88"/>
              </w:rPr>
              <w:t>114</w:t>
            </w:r>
          </w:p>
        </w:tc>
        <w:tc>
          <w:tcPr>
            <w:tcW w:w="0" w:type="dxa"/>
            <w:vAlign w:val="bottom"/>
          </w:tcPr>
          <w:p>
            <w:pPr>
              <w:spacing w:after="0"/>
              <w:rPr>
                <w:sz w:val="1"/>
                <w:szCs w:val="1"/>
                <w:color w:val="auto"/>
              </w:rPr>
            </w:pP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Report of Independent Registered Public Accounting Firm on the Consolidated Financial Statements (PCAOB ID 42)</w:t>
            </w:r>
          </w:p>
        </w:tc>
        <w:tc>
          <w:tcPr>
            <w:tcW w:w="3540" w:type="dxa"/>
            <w:vAlign w:val="bottom"/>
          </w:tcPr>
          <w:p>
            <w:pPr>
              <w:jc w:val="center"/>
              <w:ind w:left="2760"/>
              <w:spacing w:after="0"/>
              <w:rPr>
                <w:sz w:val="20"/>
                <w:szCs w:val="20"/>
                <w:color w:val="auto"/>
              </w:rPr>
            </w:pPr>
            <w:r>
              <w:rPr>
                <w:rFonts w:ascii="Times New Roman" w:cs="Times New Roman" w:eastAsia="Times New Roman" w:hAnsi="Times New Roman"/>
                <w:sz w:val="12"/>
                <w:szCs w:val="12"/>
                <w:color w:val="auto"/>
                <w:w w:val="88"/>
              </w:rPr>
              <w:t>115</w:t>
            </w:r>
          </w:p>
        </w:tc>
        <w:tc>
          <w:tcPr>
            <w:tcW w:w="0" w:type="dxa"/>
            <w:vAlign w:val="bottom"/>
          </w:tcPr>
          <w:p>
            <w:pPr>
              <w:spacing w:after="0"/>
              <w:rPr>
                <w:sz w:val="1"/>
                <w:szCs w:val="1"/>
                <w:color w:val="auto"/>
              </w:rPr>
            </w:pP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Consolidated Financial Statements</w:t>
            </w:r>
          </w:p>
        </w:tc>
        <w:tc>
          <w:tcPr>
            <w:tcW w:w="3540" w:type="dxa"/>
            <w:vAlign w:val="bottom"/>
          </w:tcPr>
          <w:p>
            <w:pPr>
              <w:jc w:val="center"/>
              <w:ind w:left="2760"/>
              <w:spacing w:after="0"/>
              <w:rPr>
                <w:sz w:val="20"/>
                <w:szCs w:val="20"/>
                <w:color w:val="auto"/>
              </w:rPr>
            </w:pPr>
            <w:r>
              <w:rPr>
                <w:rFonts w:ascii="Times New Roman" w:cs="Times New Roman" w:eastAsia="Times New Roman" w:hAnsi="Times New Roman"/>
                <w:sz w:val="12"/>
                <w:szCs w:val="12"/>
                <w:color w:val="auto"/>
                <w:w w:val="88"/>
              </w:rPr>
              <w:t>117</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Consolidated Statements of Income</w:t>
            </w:r>
          </w:p>
        </w:tc>
        <w:tc>
          <w:tcPr>
            <w:tcW w:w="3540" w:type="dxa"/>
            <w:vAlign w:val="bottom"/>
          </w:tcPr>
          <w:p>
            <w:pPr>
              <w:jc w:val="center"/>
              <w:ind w:left="2760"/>
              <w:spacing w:after="0"/>
              <w:rPr>
                <w:sz w:val="20"/>
                <w:szCs w:val="20"/>
                <w:color w:val="auto"/>
              </w:rPr>
            </w:pPr>
            <w:r>
              <w:rPr>
                <w:rFonts w:ascii="Times New Roman" w:cs="Times New Roman" w:eastAsia="Times New Roman" w:hAnsi="Times New Roman"/>
                <w:sz w:val="12"/>
                <w:szCs w:val="12"/>
                <w:color w:val="auto"/>
                <w:w w:val="88"/>
              </w:rPr>
              <w:t>117</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Consolidated Statements of Comprehensive Income</w:t>
            </w:r>
          </w:p>
        </w:tc>
        <w:tc>
          <w:tcPr>
            <w:tcW w:w="3540" w:type="dxa"/>
            <w:vAlign w:val="bottom"/>
          </w:tcPr>
          <w:p>
            <w:pPr>
              <w:jc w:val="center"/>
              <w:ind w:left="2760"/>
              <w:spacing w:after="0"/>
              <w:rPr>
                <w:sz w:val="20"/>
                <w:szCs w:val="20"/>
                <w:color w:val="auto"/>
              </w:rPr>
            </w:pPr>
            <w:r>
              <w:rPr>
                <w:rFonts w:ascii="Times New Roman" w:cs="Times New Roman" w:eastAsia="Times New Roman" w:hAnsi="Times New Roman"/>
                <w:sz w:val="12"/>
                <w:szCs w:val="12"/>
                <w:color w:val="auto"/>
                <w:w w:val="88"/>
              </w:rPr>
              <w:t>118</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Consolidated Balance Sheets</w:t>
            </w:r>
          </w:p>
        </w:tc>
        <w:tc>
          <w:tcPr>
            <w:tcW w:w="3540" w:type="dxa"/>
            <w:vAlign w:val="bottom"/>
          </w:tcPr>
          <w:p>
            <w:pPr>
              <w:jc w:val="center"/>
              <w:ind w:left="2760"/>
              <w:spacing w:after="0"/>
              <w:rPr>
                <w:sz w:val="20"/>
                <w:szCs w:val="20"/>
                <w:color w:val="auto"/>
              </w:rPr>
            </w:pPr>
            <w:r>
              <w:rPr>
                <w:rFonts w:ascii="Times New Roman" w:cs="Times New Roman" w:eastAsia="Times New Roman" w:hAnsi="Times New Roman"/>
                <w:sz w:val="12"/>
                <w:szCs w:val="12"/>
                <w:color w:val="auto"/>
                <w:w w:val="88"/>
              </w:rPr>
              <w:t>119</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Consolidated Statements of Changes in Stockholders’ Equity</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120</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Consolidated Statements of Cash Flows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121</w:t>
            </w:r>
          </w:p>
        </w:tc>
        <w:tc>
          <w:tcPr>
            <w:tcW w:w="0" w:type="dxa"/>
            <w:vAlign w:val="bottom"/>
          </w:tcPr>
          <w:p>
            <w:pPr>
              <w:spacing w:after="0"/>
              <w:rPr>
                <w:sz w:val="1"/>
                <w:szCs w:val="1"/>
                <w:color w:val="auto"/>
              </w:rPr>
            </w:pPr>
          </w:p>
        </w:tc>
      </w:tr>
      <w:tr>
        <w:trPr>
          <w:trHeight w:val="153"/>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Notes to Consolidated Financial Statements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123</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1—Summary of Significant Accounting Policies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123</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2—Investment Securities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138</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3—Loans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141</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4—Allowance for Credit Losses and Reserve for Unfunded Lending Commitments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151</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5—Variable Interest Entities and Securitizations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154</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6—Goodwill and Other Intangible Assets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158</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7—Premises, Equipment and Leases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161</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8—Deposits and Borrowings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163</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9—Derivative Instruments and Hedging Activities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165</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10—Stockholders’ Equity</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174</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11—Regulatory and Capital Adequacy</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177</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12—Earnings Per Common Share</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179</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13—Stock-Based Compensation Plans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180</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14—Employee Benefit Plans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182</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15—Income Taxes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184</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16—Fair Value Measurement</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188</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17—Business Segments and Revenue from Contracts with Customers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197</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18—Commitments, Contingencies, Guarantees and Others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201</w:t>
            </w:r>
          </w:p>
        </w:tc>
        <w:tc>
          <w:tcPr>
            <w:tcW w:w="0" w:type="dxa"/>
            <w:vAlign w:val="bottom"/>
          </w:tcPr>
          <w:p>
            <w:pPr>
              <w:spacing w:after="0"/>
              <w:rPr>
                <w:sz w:val="1"/>
                <w:szCs w:val="1"/>
                <w:color w:val="auto"/>
              </w:rPr>
            </w:pPr>
          </w:p>
        </w:tc>
      </w:tr>
      <w:tr>
        <w:trPr>
          <w:trHeight w:val="153"/>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19—Capital One Financial Corporation (Parent Company Only)</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204</w:t>
            </w:r>
          </w:p>
        </w:tc>
        <w:tc>
          <w:tcPr>
            <w:tcW w:w="0" w:type="dxa"/>
            <w:vAlign w:val="bottom"/>
          </w:tcPr>
          <w:p>
            <w:pPr>
              <w:spacing w:after="0"/>
              <w:rPr>
                <w:sz w:val="1"/>
                <w:szCs w:val="1"/>
                <w:color w:val="auto"/>
              </w:rPr>
            </w:pPr>
          </w:p>
        </w:tc>
      </w:tr>
      <w:tr>
        <w:trPr>
          <w:trHeight w:val="155"/>
        </w:trPr>
        <w:tc>
          <w:tcPr>
            <w:tcW w:w="7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 20—Related Party Transactions</w:t>
            </w:r>
          </w:p>
        </w:tc>
        <w:tc>
          <w:tcPr>
            <w:tcW w:w="3540" w:type="dxa"/>
            <w:vAlign w:val="bottom"/>
          </w:tcPr>
          <w:p>
            <w:pPr>
              <w:jc w:val="center"/>
              <w:ind w:left="2780"/>
              <w:spacing w:after="0"/>
              <w:rPr>
                <w:sz w:val="20"/>
                <w:szCs w:val="20"/>
                <w:color w:val="auto"/>
              </w:rPr>
            </w:pPr>
            <w:r>
              <w:rPr>
                <w:rFonts w:ascii="Times New Roman" w:cs="Times New Roman" w:eastAsia="Times New Roman" w:hAnsi="Times New Roman"/>
                <w:sz w:val="12"/>
                <w:szCs w:val="12"/>
                <w:color w:val="auto"/>
                <w:w w:val="99"/>
              </w:rPr>
              <w:t>206</w:t>
            </w:r>
          </w:p>
        </w:tc>
        <w:tc>
          <w:tcPr>
            <w:tcW w:w="0" w:type="dxa"/>
            <w:vAlign w:val="bottom"/>
          </w:tcPr>
          <w:p>
            <w:pPr>
              <w:spacing w:after="0"/>
              <w:rPr>
                <w:sz w:val="1"/>
                <w:szCs w:val="1"/>
                <w:color w:val="auto"/>
              </w:rPr>
            </w:pPr>
          </w:p>
        </w:tc>
      </w:tr>
      <w:tr>
        <w:trPr>
          <w:trHeight w:val="739"/>
        </w:trPr>
        <w:tc>
          <w:tcPr>
            <w:tcW w:w="7760" w:type="dxa"/>
            <w:vAlign w:val="bottom"/>
          </w:tcPr>
          <w:p>
            <w:pPr>
              <w:ind w:left="5560"/>
              <w:spacing w:after="0"/>
              <w:rPr>
                <w:sz w:val="20"/>
                <w:szCs w:val="20"/>
                <w:color w:val="auto"/>
              </w:rPr>
            </w:pPr>
            <w:r>
              <w:rPr>
                <w:rFonts w:ascii="Times New Roman" w:cs="Times New Roman" w:eastAsia="Times New Roman" w:hAnsi="Times New Roman"/>
                <w:sz w:val="10"/>
                <w:szCs w:val="10"/>
                <w:color w:val="auto"/>
              </w:rPr>
              <w:t>112</w:t>
            </w:r>
          </w:p>
        </w:tc>
        <w:tc>
          <w:tcPr>
            <w:tcW w:w="3540" w:type="dxa"/>
            <w:vAlign w:val="bottom"/>
          </w:tcPr>
          <w:p>
            <w:pPr>
              <w:ind w:left="192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c>
          <w:tcPr>
            <w:tcW w:w="0" w:type="dxa"/>
            <w:vAlign w:val="bottom"/>
          </w:tcPr>
          <w:p>
            <w:pPr>
              <w:spacing w:after="0"/>
              <w:rPr>
                <w:sz w:val="1"/>
                <w:szCs w:val="1"/>
                <w:color w:val="auto"/>
              </w:rPr>
            </w:pPr>
          </w:p>
        </w:tc>
      </w:tr>
      <w:tr>
        <w:trPr>
          <w:trHeight w:val="260"/>
        </w:trPr>
        <w:tc>
          <w:tcPr>
            <w:tcW w:w="7760" w:type="dxa"/>
            <w:vAlign w:val="bottom"/>
            <w:tcBorders>
              <w:bottom w:val="single" w:sz="8" w:color="9A9A9A"/>
            </w:tcBorders>
          </w:tcPr>
          <w:p>
            <w:pPr>
              <w:spacing w:after="0"/>
              <w:rPr>
                <w:sz w:val="22"/>
                <w:szCs w:val="22"/>
                <w:color w:val="auto"/>
              </w:rPr>
            </w:pPr>
          </w:p>
        </w:tc>
        <w:tc>
          <w:tcPr>
            <w:tcW w:w="35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MANAGEMENT’S REPORT ON INTERNAL CONTROL OVER FINANCIAL REPORTING</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management of Capital One Financial Corporation (the “Company” or “Capital One”) is responsible for establishing and maintaining adequate internal control over financial reporting and for the assessment of the effectiveness of internal control over financial reporting.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reporting purposes in accordance with U.S. generally accepted accounting principles.</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Capital One’s internal control over financial reporting includes those policies and procedures that (i) pertain to the maintenance of records that, in reasonable detail, accurately and fairly reflect the transactions and dispositions of the Company’s assets; (ii) 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 (iii) provide reasonable assurance regarding prevention or timely detection of unauthorized acquisition, use or disposition of the Company’s assets that could have a material effect on its financial statements.</w:t>
      </w:r>
    </w:p>
    <w:p>
      <w:pPr>
        <w:spacing w:after="0" w:line="8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Management conducted an assessment of the effectiveness of the Company’s internal control over financial reporting as of December 31, 2022, based on the framework in “2013 Internal Control—Integrated Framework” issued by the Committee of Sponsoring Organizations of the Treadway Commission (“COSO”), commonly referred to as the “2013 Framework.”</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Based on this assessment, management concluded that, as of December 31, 2022, the Company’s internal control over financial reporting was effective based on the criteria established by COSO in the 2013 Framework. Additionally, based upon management’s assessment, the Company determined that there were no material weaknesses in its internal control over financial reporting as of December 31, 2022.</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effectiveness of the Company’s internal control over financial reporting as of December 31, 2022, has been audited by Ernst &amp; Young LLP, an independent registered public accounting firm, as stated in their accompanying report, which expresses an unqualified opinion on the effectiveness of the Company’s internal control over financial reporting as of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24003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00300" cy="57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Richard D. Fairbank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Chair and Chief Executive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ANDREW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24003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00300" cy="57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Andrew M. Young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113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Capital One Financial Corporation: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Internal Control over Financial Reporting</w:t>
      </w:r>
    </w:p>
    <w:p>
      <w:pPr>
        <w:spacing w:after="0" w:line="1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have audited Capital One Financial Corporation’s internal control over financial reporting as of December 31, 2022, based on criteria established in Internal Control—Integrated Framework issued by the Committee of Sponsoring Organizations of the Treadway Commission (2013 framework) (the COSO criteria). In our opinion, Capital One Financial Corporation (the “Company”) maintained, in all material respects, effective internal control over financial reporting as of December 31, 2022, based on the COSO criteria</w:t>
      </w:r>
      <w:r>
        <w:rPr>
          <w:rFonts w:ascii="Times New Roman" w:cs="Times New Roman" w:eastAsia="Times New Roman" w:hAnsi="Times New Roman"/>
          <w:sz w:val="12"/>
          <w:szCs w:val="12"/>
          <w:b w:val="1"/>
          <w:bCs w:val="1"/>
          <w:color w:val="auto"/>
        </w:rPr>
        <w:t>.</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consolidated balance sheets of Capital One Financial Corporation as of December 31, 2022 and 2021, the related consolidated statements of income, comprehensive income, changes in stockholders’ equity and cash flows for each of the three years in the period ended December 31, 2022, and the related notes and our report dated February 24, 2023 expressed an unqualified opinion thereon.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Definition and Limitations of Internal Control Over Financial Reporting</w:t>
      </w:r>
    </w:p>
    <w:p>
      <w:pPr>
        <w:spacing w:after="0" w:line="1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286321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63215" cy="571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Tysons, Virginia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February 24, 2023</w:t>
      </w:r>
    </w:p>
    <w:p>
      <w:pPr>
        <w:spacing w:after="0" w:line="200" w:lineRule="exact"/>
        <w:rPr>
          <w:sz w:val="20"/>
          <w:szCs w:val="20"/>
          <w:color w:val="auto"/>
        </w:rPr>
      </w:pPr>
    </w:p>
    <w:p>
      <w:pPr>
        <w:spacing w:after="0" w:line="325"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114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Capital One Financial Corporation: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09"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Capital One Financial Corporation (the “Company”) as of December 31, 2022 and 2021, the related consolidated statements of income, comprehensive income, changes in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24, 2023 expressed an unqualified opinion thereon.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Adoption of New Accounting Standard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discussed in Note 1 and Note 4 to the consolidated financial statements, the Company changed its method for accounting for credit losses in 2021.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Audit Matter</w:t>
      </w:r>
    </w:p>
    <w:p>
      <w:pPr>
        <w:spacing w:after="0" w:line="1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46"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115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172085</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6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Description of the Matter</w:t>
            </w:r>
          </w:p>
        </w:tc>
        <w:tc>
          <w:tcPr>
            <w:tcW w:w="93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i w:val="1"/>
                <w:iCs w:val="1"/>
                <w:color w:val="auto"/>
              </w:rPr>
              <w:t>Allowance for credit losses—Credit Card and Consumer Banking</w:t>
            </w:r>
          </w:p>
        </w:tc>
        <w:tc>
          <w:tcPr>
            <w:tcW w:w="0" w:type="dxa"/>
            <w:vAlign w:val="bottom"/>
          </w:tcPr>
          <w:p>
            <w:pPr>
              <w:spacing w:after="0"/>
              <w:rPr>
                <w:sz w:val="1"/>
                <w:szCs w:val="1"/>
                <w:color w:val="auto"/>
              </w:rPr>
            </w:pPr>
          </w:p>
        </w:tc>
      </w:tr>
      <w:tr>
        <w:trPr>
          <w:trHeight w:val="126"/>
        </w:trPr>
        <w:tc>
          <w:tcPr>
            <w:tcW w:w="1960" w:type="dxa"/>
            <w:vAlign w:val="bottom"/>
            <w:vMerge w:val="continue"/>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On December 31, 2022, the Company’s allowance for the credit card and consumer banking portfolios was $8.3 billion and $1.9 billion, respectively. As more fully described in Note 1 and</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932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Note 4 of the consolidated financial statements, the allowance for credit losses (ACL or allowance) represents management’s current estimate of expected credit losses over the contractual</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terms of the Company’s held for investment (HFI) loan portfolios as of the balance sheet date and is comprised of two elements. The first is ‘quantitative’ and involves the use of complex</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econometric statistical loss forecasting models tailored to each portfolio based on, among other things, expected economic conditions; historical loss, recovery, and paydown experience;</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account seasoning; and the value of collateral underlying secured loans. The second is ‘qualitative’ and involves factors that represent management’s judgment of the imprecision and risks</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932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inherent in the processes and assumptions used in establishing the allowance for credit losses. Auditing the allowance for the credit card and consumer banking portfolios was especially</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challenging and highly judgmental due to the significant complexity of the loss forecasting models used in the quantitative element and the significant judgment required in establishing the</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qualitative element. The qualitative element requires management to make significant judgments regarding current and forward-looking conditions, internal and external factors, and</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uncertainty as it relates to economic, model, or forecast risks, where not already captured in the modeled results.</w:t>
            </w:r>
          </w:p>
        </w:tc>
        <w:tc>
          <w:tcPr>
            <w:tcW w:w="0" w:type="dxa"/>
            <w:vAlign w:val="bottom"/>
          </w:tcPr>
          <w:p>
            <w:pPr>
              <w:spacing w:after="0"/>
              <w:rPr>
                <w:sz w:val="1"/>
                <w:szCs w:val="1"/>
                <w:color w:val="auto"/>
              </w:rPr>
            </w:pPr>
          </w:p>
        </w:tc>
      </w:tr>
      <w:tr>
        <w:trPr>
          <w:trHeight w:val="126"/>
        </w:trPr>
        <w:tc>
          <w:tcPr>
            <w:tcW w:w="1960" w:type="dxa"/>
            <w:vAlign w:val="bottom"/>
          </w:tcPr>
          <w:p>
            <w:pPr>
              <w:spacing w:after="0" w:line="126" w:lineRule="exact"/>
              <w:rPr>
                <w:sz w:val="20"/>
                <w:szCs w:val="20"/>
                <w:color w:val="auto"/>
              </w:rPr>
            </w:pPr>
            <w:r>
              <w:rPr>
                <w:rFonts w:ascii="Times New Roman" w:cs="Times New Roman" w:eastAsia="Times New Roman" w:hAnsi="Times New Roman"/>
                <w:sz w:val="12"/>
                <w:szCs w:val="12"/>
                <w:i w:val="1"/>
                <w:iCs w:val="1"/>
                <w:color w:val="auto"/>
              </w:rPr>
              <w:t>How We Addressed the Matter in Our</w:t>
            </w: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We obtained an understanding, evaluated the design and tested the operating effectiveness of the internal controls over the ACL process, including, among others, controls over the</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Audit</w:t>
            </w:r>
          </w:p>
        </w:tc>
        <w:tc>
          <w:tcPr>
            <w:tcW w:w="9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development, operation, and monitoring of loss forecasting models and management review controls over key assumptions and qualitative judgments used in reviewing the final credit card</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and consumer banking allowance results, including the economic forecast. Our tests of controls included observation of certain of management’s quarterly ACL governance meetings, at</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which key management judgments, qualitative adjustments, and final ACL results are subjected to critical challenge by management groups independent of the group responsible for</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producing the ACL estimate.</w:t>
            </w: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We involved EY specialists in testing management’s credit card and consumer banking econometric statistical loss forecasting models including evaluating model methodology, model</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w w:val="99"/>
              </w:rPr>
              <w:t>performance and testing key modeling assumptions as well as model governance and the economic forecast used by the ACL models. We compared actual loss history with prior forecasts at a</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disaggregated loan portfolio level to evaluate the reasonableness of management’s consumer forecasts (e.g., look-back analysis).</w:t>
            </w: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We performed sensitivity analysis on the ACL, charge-off and delinquency rates, and coverage ratios used within each segment of the credit card and consumer banking allowance. Our audit</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932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w w:val="99"/>
              </w:rPr>
              <w:t>response also included specific substantive tests of management’s process to measure credit card and consumer banking qualitative factors, including those related to the significant judgments</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made by management outlined above. We compared calculations to alternative model scenarios and industry peer data and compared qualitative factors to prior periods and prior economic</w:t>
            </w:r>
          </w:p>
        </w:tc>
        <w:tc>
          <w:tcPr>
            <w:tcW w:w="0" w:type="dxa"/>
            <w:vAlign w:val="bottom"/>
          </w:tcPr>
          <w:p>
            <w:pPr>
              <w:spacing w:after="0"/>
              <w:rPr>
                <w:sz w:val="1"/>
                <w:szCs w:val="1"/>
                <w:color w:val="auto"/>
              </w:rPr>
            </w:pPr>
          </w:p>
        </w:tc>
      </w:tr>
      <w:tr>
        <w:trPr>
          <w:trHeight w:val="126"/>
        </w:trPr>
        <w:tc>
          <w:tcPr>
            <w:tcW w:w="1960" w:type="dxa"/>
            <w:vAlign w:val="bottom"/>
          </w:tcPr>
          <w:p>
            <w:pPr>
              <w:spacing w:after="0"/>
              <w:rPr>
                <w:sz w:val="10"/>
                <w:szCs w:val="10"/>
                <w:color w:val="auto"/>
              </w:rPr>
            </w:pPr>
          </w:p>
        </w:tc>
        <w:tc>
          <w:tcPr>
            <w:tcW w:w="9320" w:type="dxa"/>
            <w:vAlign w:val="bottom"/>
          </w:tcPr>
          <w:p>
            <w:pPr>
              <w:ind w:left="160"/>
              <w:spacing w:after="0" w:line="126" w:lineRule="exact"/>
              <w:rPr>
                <w:sz w:val="20"/>
                <w:szCs w:val="20"/>
                <w:color w:val="auto"/>
              </w:rPr>
            </w:pPr>
            <w:r>
              <w:rPr>
                <w:rFonts w:ascii="Times New Roman" w:cs="Times New Roman" w:eastAsia="Times New Roman" w:hAnsi="Times New Roman"/>
                <w:sz w:val="12"/>
                <w:szCs w:val="12"/>
                <w:color w:val="auto"/>
              </w:rPr>
              <w:t>cycles. We also evaluated if credit card and consumer banking allowance qualitative factors were applied based on a comprehensive framework and that all available information was</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93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considered, well-documented, and consistently applied.</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286321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63215" cy="571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have served as the Company’s auditor since 1994.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Tysons, Virginia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February 24, 2023</w:t>
      </w:r>
    </w:p>
    <w:p>
      <w:pPr>
        <w:spacing w:after="0" w:line="200" w:lineRule="exact"/>
        <w:rPr>
          <w:sz w:val="20"/>
          <w:szCs w:val="20"/>
          <w:color w:val="auto"/>
        </w:rPr>
      </w:pPr>
    </w:p>
    <w:p>
      <w:pPr>
        <w:spacing w:after="0" w:line="325"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116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166370</wp:posOffset>
            </wp:positionV>
            <wp:extent cx="720344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(Dollars in millions, except per share-related data)</w:t>
            </w:r>
          </w:p>
        </w:tc>
        <w:tc>
          <w:tcPr>
            <w:tcW w:w="260" w:type="dxa"/>
            <w:vAlign w:val="bottom"/>
          </w:tcPr>
          <w:p>
            <w:pPr>
              <w:spacing w:after="0"/>
              <w:rPr>
                <w:sz w:val="11"/>
                <w:szCs w:val="11"/>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29"/>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Interest income:</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r>
      <w:tr>
        <w:trPr>
          <w:trHeight w:val="130"/>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Loans, including loans held for sale</w:t>
            </w: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28,910</w:t>
            </w:r>
          </w:p>
        </w:tc>
        <w:tc>
          <w:tcPr>
            <w:tcW w:w="8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24,263</w:t>
            </w:r>
          </w:p>
        </w:tc>
        <w:tc>
          <w:tcPr>
            <w:tcW w:w="8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24,074</w:t>
            </w: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Investment securities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1,884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1,877</w:t>
            </w:r>
          </w:p>
        </w:tc>
      </w:tr>
      <w:tr>
        <w:trPr>
          <w:trHeight w:val="130"/>
        </w:trPr>
        <w:tc>
          <w:tcPr>
            <w:tcW w:w="7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0"/>
                <w:szCs w:val="10"/>
                <w:color w:val="auto"/>
              </w:rPr>
              <w:t>Other</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443</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w:t>
            </w:r>
          </w:p>
        </w:tc>
      </w:tr>
      <w:tr>
        <w:trPr>
          <w:trHeight w:val="129"/>
        </w:trPr>
        <w:tc>
          <w:tcPr>
            <w:tcW w:w="78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interest income</w:t>
            </w: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31,237</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25,769</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26,033</w:t>
            </w:r>
          </w:p>
        </w:tc>
      </w:tr>
      <w:tr>
        <w:trPr>
          <w:trHeight w:val="110"/>
        </w:trPr>
        <w:tc>
          <w:tcPr>
            <w:tcW w:w="782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Interest expense:</w:t>
            </w: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Deposits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2,535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2,165</w:t>
            </w:r>
          </w:p>
        </w:tc>
      </w:tr>
      <w:tr>
        <w:trPr>
          <w:trHeight w:val="130"/>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Securitized debt obligations</w:t>
            </w: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384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w:t>
            </w: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Senior and subordinated notes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1,074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679</w:t>
            </w:r>
          </w:p>
        </w:tc>
      </w:tr>
      <w:tr>
        <w:trPr>
          <w:trHeight w:val="130"/>
        </w:trPr>
        <w:tc>
          <w:tcPr>
            <w:tcW w:w="7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0"/>
                <w:szCs w:val="10"/>
                <w:color w:val="auto"/>
              </w:rPr>
              <w:t>Other borrowings</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w:t>
            </w:r>
          </w:p>
        </w:tc>
      </w:tr>
      <w:tr>
        <w:trPr>
          <w:trHeight w:val="129"/>
        </w:trPr>
        <w:tc>
          <w:tcPr>
            <w:tcW w:w="78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interest expense</w:t>
            </w: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4,123</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1,598</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3,120</w:t>
            </w:r>
          </w:p>
        </w:tc>
      </w:tr>
      <w:tr>
        <w:trPr>
          <w:trHeight w:val="119"/>
        </w:trPr>
        <w:tc>
          <w:tcPr>
            <w:tcW w:w="782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0"/>
                <w:szCs w:val="10"/>
                <w:color w:val="auto"/>
              </w:rPr>
              <w:t>Net interest income</w:t>
            </w: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27,114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24,171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22,913</w:t>
            </w: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Provision (benefit) for credit losses</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5,847</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(1,944)</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10,264</w:t>
            </w:r>
          </w:p>
        </w:tc>
      </w:tr>
      <w:tr>
        <w:trPr>
          <w:trHeight w:val="119"/>
        </w:trPr>
        <w:tc>
          <w:tcPr>
            <w:tcW w:w="7820" w:type="dxa"/>
            <w:vAlign w:val="bottom"/>
            <w:tcBorders>
              <w:bottom w:val="single" w:sz="8" w:color="CCEEFF"/>
            </w:tcBorders>
            <w:gridSpan w:val="2"/>
          </w:tcPr>
          <w:p>
            <w:pPr>
              <w:ind w:left="20"/>
              <w:spacing w:after="0" w:line="104" w:lineRule="exact"/>
              <w:rPr>
                <w:sz w:val="20"/>
                <w:szCs w:val="20"/>
                <w:color w:val="auto"/>
              </w:rPr>
            </w:pPr>
            <w:r>
              <w:rPr>
                <w:rFonts w:ascii="Times New Roman" w:cs="Times New Roman" w:eastAsia="Times New Roman" w:hAnsi="Times New Roman"/>
                <w:sz w:val="10"/>
                <w:szCs w:val="10"/>
                <w:color w:val="auto"/>
              </w:rPr>
              <w:t>Net interest income after provision for credit losses</w:t>
            </w: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21,267</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26,115</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12,649</w:t>
            </w:r>
          </w:p>
        </w:tc>
      </w:tr>
      <w:tr>
        <w:trPr>
          <w:trHeight w:val="120"/>
        </w:trPr>
        <w:tc>
          <w:tcPr>
            <w:tcW w:w="7820" w:type="dxa"/>
            <w:vAlign w:val="bottom"/>
            <w:gridSpan w:val="2"/>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Non-interest income:</w:t>
            </w: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30"/>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Interchange fees, net</w:t>
            </w: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4,606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3,017</w:t>
            </w: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Service charges and other customer-related fees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1,243</w:t>
            </w:r>
          </w:p>
        </w:tc>
      </w:tr>
      <w:tr>
        <w:trPr>
          <w:trHeight w:val="130"/>
        </w:trPr>
        <w:tc>
          <w:tcPr>
            <w:tcW w:w="7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0"/>
                <w:szCs w:val="10"/>
                <w:color w:val="auto"/>
              </w:rPr>
              <w:t>Other</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905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826</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r>
      <w:tr>
        <w:trPr>
          <w:trHeight w:val="129"/>
        </w:trPr>
        <w:tc>
          <w:tcPr>
            <w:tcW w:w="78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non-interest income</w:t>
            </w: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7,136</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6,264</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5,610</w:t>
            </w:r>
          </w:p>
        </w:tc>
      </w:tr>
      <w:tr>
        <w:trPr>
          <w:trHeight w:val="110"/>
        </w:trPr>
        <w:tc>
          <w:tcPr>
            <w:tcW w:w="782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Non-interest expense:</w:t>
            </w: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Salaries and associate benefits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7,421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6,805</w:t>
            </w:r>
          </w:p>
        </w:tc>
      </w:tr>
      <w:tr>
        <w:trPr>
          <w:trHeight w:val="130"/>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Occupancy and equipment</w:t>
            </w: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2,050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2,118</w:t>
            </w: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Marketing</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4,017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1,610</w:t>
            </w:r>
          </w:p>
        </w:tc>
      </w:tr>
      <w:tr>
        <w:trPr>
          <w:trHeight w:val="130"/>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Professional services</w:t>
            </w: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1,807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1,312</w:t>
            </w: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Communications and data processing</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1,379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1,215</w:t>
            </w:r>
          </w:p>
        </w:tc>
      </w:tr>
      <w:tr>
        <w:trPr>
          <w:trHeight w:val="130"/>
        </w:trPr>
        <w:tc>
          <w:tcPr>
            <w:tcW w:w="78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Amortization of intangibles</w:t>
            </w: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w:t>
            </w:r>
          </w:p>
        </w:tc>
      </w:tr>
      <w:tr>
        <w:trPr>
          <w:trHeight w:val="140"/>
        </w:trPr>
        <w:tc>
          <w:tcPr>
            <w:tcW w:w="7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Other</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1,415</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1,544</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1,936</w:t>
            </w:r>
          </w:p>
        </w:tc>
      </w:tr>
      <w:tr>
        <w:trPr>
          <w:trHeight w:val="119"/>
        </w:trPr>
        <w:tc>
          <w:tcPr>
            <w:tcW w:w="7820" w:type="dxa"/>
            <w:vAlign w:val="bottom"/>
            <w:tcBorders>
              <w:bottom w:val="single" w:sz="8" w:color="CCEEFF"/>
            </w:tcBorders>
            <w:gridSpan w:val="2"/>
          </w:tcPr>
          <w:p>
            <w:pPr>
              <w:ind w:left="20"/>
              <w:spacing w:after="0" w:line="104" w:lineRule="exact"/>
              <w:rPr>
                <w:sz w:val="20"/>
                <w:szCs w:val="20"/>
                <w:color w:val="auto"/>
              </w:rPr>
            </w:pPr>
            <w:r>
              <w:rPr>
                <w:rFonts w:ascii="Times New Roman" w:cs="Times New Roman" w:eastAsia="Times New Roman" w:hAnsi="Times New Roman"/>
                <w:sz w:val="10"/>
                <w:szCs w:val="10"/>
                <w:color w:val="auto"/>
              </w:rPr>
              <w:t>Total non-interest expense</w:t>
            </w: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19,163</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16,570</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15,056</w:t>
            </w:r>
          </w:p>
        </w:tc>
      </w:tr>
      <w:tr>
        <w:trPr>
          <w:trHeight w:val="129"/>
        </w:trPr>
        <w:tc>
          <w:tcPr>
            <w:tcW w:w="78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Income from continuing operations before income taxes</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9,240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15,809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3,203</w:t>
            </w:r>
          </w:p>
        </w:tc>
      </w:tr>
      <w:tr>
        <w:trPr>
          <w:trHeight w:val="1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Income tax provision</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1,880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3,415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486</w:t>
            </w:r>
          </w:p>
        </w:tc>
      </w:tr>
      <w:tr>
        <w:trPr>
          <w:trHeight w:val="129"/>
        </w:trPr>
        <w:tc>
          <w:tcPr>
            <w:tcW w:w="78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Income from continuing operations, net of tax</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7,360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12,394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2,717</w:t>
            </w:r>
          </w:p>
        </w:tc>
      </w:tr>
      <w:tr>
        <w:trPr>
          <w:trHeight w:val="1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Income (loss) from discontinued operations, net of tax</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129"/>
        </w:trPr>
        <w:tc>
          <w:tcPr>
            <w:tcW w:w="7820" w:type="dxa"/>
            <w:vAlign w:val="bottom"/>
            <w:gridSpan w:val="2"/>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Net income</w:t>
            </w: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7,360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12,390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2,714</w:t>
            </w:r>
          </w:p>
        </w:tc>
      </w:tr>
      <w:tr>
        <w:trPr>
          <w:trHeight w:val="13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Dividends and undistributed earnings allocated to participating securities</w:t>
            </w: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r>
      <w:tr>
        <w:trPr>
          <w:trHeight w:val="14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Preferred stock dividends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w:t>
            </w:r>
          </w:p>
        </w:tc>
      </w:tr>
      <w:tr>
        <w:trPr>
          <w:trHeight w:val="1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Issuance cost for redeemed preferred stock</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w:t>
            </w:r>
          </w:p>
        </w:tc>
      </w:tr>
      <w:tr>
        <w:trPr>
          <w:trHeight w:val="147"/>
        </w:trPr>
        <w:tc>
          <w:tcPr>
            <w:tcW w:w="7820" w:type="dxa"/>
            <w:vAlign w:val="bottom"/>
            <w:tcBorders>
              <w:bottom w:val="single" w:sz="8" w:color="CCEEFF"/>
            </w:tcBorders>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Net income available to common stockholders</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7,044</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11,965</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2,375</w:t>
            </w:r>
          </w:p>
        </w:tc>
      </w:tr>
      <w:tr>
        <w:trPr>
          <w:trHeight w:val="110"/>
        </w:trPr>
        <w:tc>
          <w:tcPr>
            <w:tcW w:w="782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Basic earnings per common share:</w:t>
            </w: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4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from continuing operations</w:t>
            </w: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17.98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5.20</w:t>
            </w:r>
          </w:p>
        </w:tc>
      </w:tr>
      <w:tr>
        <w:trPr>
          <w:trHeight w:val="1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Income (loss) from discontinued operations</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0.00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(0.01)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(0.01)</w:t>
            </w:r>
          </w:p>
        </w:tc>
      </w:tr>
      <w:tr>
        <w:trPr>
          <w:trHeight w:val="147"/>
        </w:trPr>
        <w:tc>
          <w:tcPr>
            <w:tcW w:w="7820" w:type="dxa"/>
            <w:vAlign w:val="bottom"/>
            <w:tcBorders>
              <w:bottom w:val="single" w:sz="8" w:color="CCEEFF"/>
            </w:tcBorders>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Net income per basic common share</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17.98</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27.04</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w:t>
            </w:r>
          </w:p>
        </w:tc>
      </w:tr>
      <w:tr>
        <w:trPr>
          <w:trHeight w:val="110"/>
        </w:trPr>
        <w:tc>
          <w:tcPr>
            <w:tcW w:w="782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Diluted earnings per common share:</w:t>
            </w: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4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from continuing operations</w:t>
            </w: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17.91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w:t>
            </w:r>
          </w:p>
        </w:tc>
      </w:tr>
      <w:tr>
        <w:trPr>
          <w:trHeight w:val="1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Income (loss) from discontinued operations</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0.00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(0.01)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(0.01)</w:t>
            </w:r>
          </w:p>
        </w:tc>
      </w:tr>
      <w:tr>
        <w:trPr>
          <w:trHeight w:val="145"/>
        </w:trPr>
        <w:tc>
          <w:tcPr>
            <w:tcW w:w="7820" w:type="dxa"/>
            <w:vAlign w:val="bottom"/>
            <w:tcBorders>
              <w:bottom w:val="single" w:sz="8" w:color="CCEEFF"/>
            </w:tcBorders>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color w:val="auto"/>
              </w:rPr>
              <w:t>Net income per diluted common share</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17.91</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26.94</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w:t>
            </w: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117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168910</wp:posOffset>
            </wp:positionV>
            <wp:extent cx="720344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31"/>
        </w:trPr>
        <w:tc>
          <w:tcPr>
            <w:tcW w:w="7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80" w:type="dxa"/>
            <w:vAlign w:val="bottom"/>
          </w:tcPr>
          <w:p>
            <w:pPr>
              <w:spacing w:after="0"/>
              <w:rPr>
                <w:sz w:val="11"/>
                <w:szCs w:val="11"/>
                <w:color w:val="auto"/>
              </w:rPr>
            </w:pP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29"/>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Net income</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7,360</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12,390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2,714</w:t>
            </w:r>
          </w:p>
        </w:tc>
      </w:tr>
      <w:tr>
        <w:trPr>
          <w:trHeight w:val="1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Other comprehensive income (loss), net of tax:</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0"/>
        </w:trPr>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Net unrealized gains (losses) on securities available for sale</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(7,973)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1,259</w:t>
            </w:r>
          </w:p>
        </w:tc>
      </w:tr>
      <w:tr>
        <w:trPr>
          <w:trHeight w:val="130"/>
        </w:trPr>
        <w:tc>
          <w:tcPr>
            <w:tcW w:w="74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Net unrealized gains (losses) on hedging relationships</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(2,300)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1,008</w:t>
            </w:r>
          </w:p>
        </w:tc>
      </w:tr>
      <w:tr>
        <w:trPr>
          <w:trHeight w:val="140"/>
        </w:trPr>
        <w:tc>
          <w:tcPr>
            <w:tcW w:w="7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w:t>
            </w:r>
          </w:p>
        </w:tc>
      </w:tr>
      <w:tr>
        <w:trPr>
          <w:trHeight w:val="130"/>
        </w:trPr>
        <w:tc>
          <w:tcPr>
            <w:tcW w:w="74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0"/>
                <w:szCs w:val="10"/>
                <w:color w:val="auto"/>
              </w:rPr>
              <w:t>Other</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(18)</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129"/>
        </w:trPr>
        <w:tc>
          <w:tcPr>
            <w:tcW w:w="74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Other comprehensive income (loss), net of tax</w:t>
            </w: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(10,290)</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(3,120)</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2,346</w:t>
            </w:r>
          </w:p>
        </w:tc>
      </w:tr>
      <w:tr>
        <w:trPr>
          <w:trHeight w:val="119"/>
        </w:trPr>
        <w:tc>
          <w:tcPr>
            <w:tcW w:w="742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Comprehensive income (loss)</w:t>
            </w:r>
          </w:p>
        </w:tc>
        <w:tc>
          <w:tcPr>
            <w:tcW w:w="2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(2,930)</w:t>
            </w:r>
          </w:p>
        </w:tc>
        <w:tc>
          <w:tcPr>
            <w:tcW w:w="80" w:type="dxa"/>
            <w:vAlign w:val="bottom"/>
          </w:tcPr>
          <w:p>
            <w:pPr>
              <w:spacing w:after="0"/>
              <w:rPr>
                <w:sz w:val="10"/>
                <w:szCs w:val="10"/>
                <w:color w:val="auto"/>
              </w:rPr>
            </w:pPr>
          </w:p>
        </w:tc>
        <w:tc>
          <w:tcPr>
            <w:tcW w:w="2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9,270</w:t>
            </w:r>
          </w:p>
        </w:tc>
        <w:tc>
          <w:tcPr>
            <w:tcW w:w="100" w:type="dxa"/>
            <w:vAlign w:val="bottom"/>
          </w:tcPr>
          <w:p>
            <w:pPr>
              <w:spacing w:after="0"/>
              <w:rPr>
                <w:sz w:val="10"/>
                <w:szCs w:val="10"/>
                <w:color w:val="auto"/>
              </w:rPr>
            </w:pPr>
          </w:p>
        </w:tc>
        <w:tc>
          <w:tcPr>
            <w:tcW w:w="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5,060</w:t>
            </w:r>
          </w:p>
        </w:tc>
      </w:tr>
      <w:tr>
        <w:trPr>
          <w:trHeight w:val="20"/>
        </w:trPr>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7" w:lineRule="exact"/>
        <w:rPr>
          <w:sz w:val="20"/>
          <w:szCs w:val="20"/>
          <w:color w:val="auto"/>
        </w:rPr>
      </w:pPr>
    </w:p>
    <w:p>
      <w:pPr>
        <w:jc w:val="both"/>
        <w:ind w:left="5560"/>
        <w:spacing w:after="0"/>
        <w:tabs>
          <w:tab w:leader="none" w:pos="9660" w:val="left"/>
        </w:tabs>
        <w:rPr>
          <w:sz w:val="20"/>
          <w:szCs w:val="20"/>
          <w:color w:val="auto"/>
        </w:rPr>
      </w:pPr>
      <w:r>
        <w:rPr>
          <w:rFonts w:ascii="Times New Roman" w:cs="Times New Roman" w:eastAsia="Times New Roman" w:hAnsi="Times New Roman"/>
          <w:sz w:val="10"/>
          <w:szCs w:val="10"/>
          <w:color w:val="auto"/>
        </w:rPr>
        <w:t>118</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154305</wp:posOffset>
            </wp:positionV>
            <wp:extent cx="72034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(Dollars in millions, except per share-related data)</w:t>
            </w:r>
          </w:p>
        </w:tc>
        <w:tc>
          <w:tcPr>
            <w:tcW w:w="180" w:type="dxa"/>
            <w:vAlign w:val="bottom"/>
          </w:tcPr>
          <w:p>
            <w:pPr>
              <w:spacing w:after="0"/>
              <w:rPr>
                <w:sz w:val="11"/>
                <w:szCs w:val="11"/>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200" w:type="dxa"/>
            <w:vAlign w:val="bottom"/>
          </w:tcPr>
          <w:p>
            <w:pPr>
              <w:spacing w:after="0"/>
              <w:rPr>
                <w:sz w:val="11"/>
                <w:szCs w:val="11"/>
                <w:color w:val="auto"/>
              </w:rPr>
            </w:pP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133"/>
        </w:trPr>
        <w:tc>
          <w:tcPr>
            <w:tcW w:w="8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Cash and due from banks</w:t>
            </w: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5,193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4,164</w:t>
            </w:r>
          </w:p>
        </w:tc>
        <w:tc>
          <w:tcPr>
            <w:tcW w:w="0" w:type="dxa"/>
            <w:vAlign w:val="bottom"/>
          </w:tcPr>
          <w:p>
            <w:pPr>
              <w:spacing w:after="0"/>
              <w:rPr>
                <w:sz w:val="1"/>
                <w:szCs w:val="1"/>
                <w:color w:val="auto"/>
              </w:rPr>
            </w:pPr>
          </w:p>
        </w:tc>
      </w:tr>
      <w:tr>
        <w:trPr>
          <w:trHeight w:val="130"/>
        </w:trPr>
        <w:tc>
          <w:tcPr>
            <w:tcW w:w="8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0"/>
                <w:szCs w:val="10"/>
                <w:color w:val="auto"/>
              </w:rPr>
              <w:t>Interest-bearing deposits and other short-term investments</w:t>
            </w: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25,663</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17,582</w:t>
            </w:r>
          </w:p>
        </w:tc>
        <w:tc>
          <w:tcPr>
            <w:tcW w:w="0" w:type="dxa"/>
            <w:vAlign w:val="bottom"/>
          </w:tcPr>
          <w:p>
            <w:pPr>
              <w:spacing w:after="0"/>
              <w:rPr>
                <w:sz w:val="1"/>
                <w:szCs w:val="1"/>
                <w:color w:val="auto"/>
              </w:rPr>
            </w:pPr>
          </w:p>
        </w:tc>
      </w:tr>
      <w:tr>
        <w:trPr>
          <w:trHeight w:val="129"/>
        </w:trPr>
        <w:tc>
          <w:tcPr>
            <w:tcW w:w="83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cash and cash equivalents</w:t>
            </w:r>
          </w:p>
        </w:tc>
        <w:tc>
          <w:tcPr>
            <w:tcW w:w="1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30,856</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21,746</w:t>
            </w:r>
          </w:p>
        </w:tc>
        <w:tc>
          <w:tcPr>
            <w:tcW w:w="0" w:type="dxa"/>
            <w:vAlign w:val="bottom"/>
          </w:tcPr>
          <w:p>
            <w:pPr>
              <w:spacing w:after="0"/>
              <w:rPr>
                <w:sz w:val="1"/>
                <w:szCs w:val="1"/>
                <w:color w:val="auto"/>
              </w:rPr>
            </w:pPr>
          </w:p>
        </w:tc>
      </w:tr>
      <w:tr>
        <w:trPr>
          <w:trHeight w:val="119"/>
        </w:trPr>
        <w:tc>
          <w:tcPr>
            <w:tcW w:w="834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0"/>
                <w:szCs w:val="10"/>
                <w:color w:val="auto"/>
              </w:rPr>
              <w:t>Restricted cash for securitization investors</w:t>
            </w:r>
          </w:p>
        </w:tc>
        <w:tc>
          <w:tcPr>
            <w:tcW w:w="1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Securities available for sale (amortized cost of $87.0 billion and $94.9 billion and allowance for credit losses of $3 million and $1 million as of December 31, 2022 and 2021, respectively)</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76,919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95,261</w:t>
            </w:r>
          </w:p>
        </w:tc>
        <w:tc>
          <w:tcPr>
            <w:tcW w:w="0" w:type="dxa"/>
            <w:vAlign w:val="bottom"/>
          </w:tcPr>
          <w:p>
            <w:pPr>
              <w:spacing w:after="0"/>
              <w:rPr>
                <w:sz w:val="1"/>
                <w:szCs w:val="1"/>
                <w:color w:val="auto"/>
              </w:rPr>
            </w:pPr>
          </w:p>
        </w:tc>
      </w:tr>
      <w:tr>
        <w:trPr>
          <w:trHeight w:val="1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Loans held for investment:</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Unsecuritized loans held for investment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283,282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252,468</w:t>
            </w:r>
          </w:p>
        </w:tc>
        <w:tc>
          <w:tcPr>
            <w:tcW w:w="0" w:type="dxa"/>
            <w:vAlign w:val="bottom"/>
          </w:tcPr>
          <w:p>
            <w:pPr>
              <w:spacing w:after="0"/>
              <w:rPr>
                <w:sz w:val="1"/>
                <w:szCs w:val="1"/>
                <w:color w:val="auto"/>
              </w:rPr>
            </w:pPr>
          </w:p>
        </w:tc>
      </w:tr>
      <w:tr>
        <w:trPr>
          <w:trHeight w:val="130"/>
        </w:trPr>
        <w:tc>
          <w:tcPr>
            <w:tcW w:w="8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0"/>
                <w:szCs w:val="10"/>
                <w:color w:val="auto"/>
              </w:rPr>
              <w:t>Loans held in consolidated trusts</w:t>
            </w: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29,049</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24,872</w:t>
            </w:r>
          </w:p>
        </w:tc>
        <w:tc>
          <w:tcPr>
            <w:tcW w:w="0" w:type="dxa"/>
            <w:vAlign w:val="bottom"/>
          </w:tcPr>
          <w:p>
            <w:pPr>
              <w:spacing w:after="0"/>
              <w:rPr>
                <w:sz w:val="1"/>
                <w:szCs w:val="1"/>
                <w:color w:val="auto"/>
              </w:rPr>
            </w:pPr>
          </w:p>
        </w:tc>
      </w:tr>
      <w:tr>
        <w:trPr>
          <w:trHeight w:val="129"/>
        </w:trPr>
        <w:tc>
          <w:tcPr>
            <w:tcW w:w="83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loans held for investment</w:t>
            </w: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312,331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277,340</w:t>
            </w:r>
          </w:p>
        </w:tc>
        <w:tc>
          <w:tcPr>
            <w:tcW w:w="0" w:type="dxa"/>
            <w:vAlign w:val="bottom"/>
          </w:tcPr>
          <w:p>
            <w:pPr>
              <w:spacing w:after="0"/>
              <w:rPr>
                <w:sz w:val="1"/>
                <w:szCs w:val="1"/>
                <w:color w:val="auto"/>
              </w:rPr>
            </w:pPr>
          </w:p>
        </w:tc>
      </w:tr>
      <w:tr>
        <w:trPr>
          <w:trHeight w:val="130"/>
        </w:trPr>
        <w:tc>
          <w:tcPr>
            <w:tcW w:w="8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0"/>
                <w:szCs w:val="10"/>
                <w:color w:val="auto"/>
              </w:rPr>
              <w:t>Allowance for credit losses</w:t>
            </w: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(13,240)</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(11,430)</w:t>
            </w:r>
          </w:p>
        </w:tc>
        <w:tc>
          <w:tcPr>
            <w:tcW w:w="0" w:type="dxa"/>
            <w:vAlign w:val="bottom"/>
          </w:tcPr>
          <w:p>
            <w:pPr>
              <w:spacing w:after="0"/>
              <w:rPr>
                <w:sz w:val="1"/>
                <w:szCs w:val="1"/>
                <w:color w:val="auto"/>
              </w:rPr>
            </w:pPr>
          </w:p>
        </w:tc>
      </w:tr>
      <w:tr>
        <w:trPr>
          <w:trHeight w:val="129"/>
        </w:trPr>
        <w:tc>
          <w:tcPr>
            <w:tcW w:w="83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Net loans held for investment</w:t>
            </w: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299,091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265,910</w:t>
            </w:r>
          </w:p>
        </w:tc>
        <w:tc>
          <w:tcPr>
            <w:tcW w:w="0" w:type="dxa"/>
            <w:vAlign w:val="bottom"/>
          </w:tcPr>
          <w:p>
            <w:pPr>
              <w:spacing w:after="0"/>
              <w:rPr>
                <w:sz w:val="1"/>
                <w:szCs w:val="1"/>
                <w:color w:val="auto"/>
              </w:rPr>
            </w:pPr>
          </w:p>
        </w:tc>
      </w:tr>
      <w:tr>
        <w:trPr>
          <w:trHeight w:val="1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Loans held for sale ($191 million and $1.0 billion carried at fair value as of December 31, 2022 and 2021, respectively)</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5,888</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Premises and equipment, net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4,351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4,210</w:t>
            </w:r>
          </w:p>
        </w:tc>
        <w:tc>
          <w:tcPr>
            <w:tcW w:w="0" w:type="dxa"/>
            <w:vAlign w:val="bottom"/>
          </w:tcPr>
          <w:p>
            <w:pPr>
              <w:spacing w:after="0"/>
              <w:rPr>
                <w:sz w:val="1"/>
                <w:szCs w:val="1"/>
                <w:color w:val="auto"/>
              </w:rPr>
            </w:pPr>
          </w:p>
        </w:tc>
      </w:tr>
      <w:tr>
        <w:trPr>
          <w:trHeight w:val="1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Interest receivable</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2,104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1,460</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Goodwill</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14,777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14,782</w:t>
            </w:r>
          </w:p>
        </w:tc>
        <w:tc>
          <w:tcPr>
            <w:tcW w:w="0" w:type="dxa"/>
            <w:vAlign w:val="bottom"/>
          </w:tcPr>
          <w:p>
            <w:pPr>
              <w:spacing w:after="0"/>
              <w:rPr>
                <w:sz w:val="1"/>
                <w:szCs w:val="1"/>
                <w:color w:val="auto"/>
              </w:rPr>
            </w:pPr>
          </w:p>
        </w:tc>
      </w:tr>
      <w:tr>
        <w:trPr>
          <w:trHeight w:val="130"/>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Other assets</w:t>
            </w: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26,548</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22,816</w:t>
            </w:r>
          </w:p>
        </w:tc>
        <w:tc>
          <w:tcPr>
            <w:tcW w:w="0" w:type="dxa"/>
            <w:vAlign w:val="bottom"/>
          </w:tcPr>
          <w:p>
            <w:pPr>
              <w:spacing w:after="0"/>
              <w:rPr>
                <w:sz w:val="1"/>
                <w:szCs w:val="1"/>
                <w:color w:val="auto"/>
              </w:rPr>
            </w:pPr>
          </w:p>
        </w:tc>
      </w:tr>
      <w:tr>
        <w:trPr>
          <w:trHeight w:val="145"/>
        </w:trPr>
        <w:tc>
          <w:tcPr>
            <w:tcW w:w="8340" w:type="dxa"/>
            <w:vAlign w:val="bottom"/>
            <w:tcBorders>
              <w:bottom w:val="single" w:sz="8" w:color="CCEEFF"/>
            </w:tcBorders>
            <w:gridSpan w:val="2"/>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455,249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432,381</w:t>
            </w:r>
          </w:p>
        </w:tc>
        <w:tc>
          <w:tcPr>
            <w:tcW w:w="0" w:type="dxa"/>
            <w:vAlign w:val="bottom"/>
          </w:tcPr>
          <w:p>
            <w:pPr>
              <w:spacing w:after="0"/>
              <w:rPr>
                <w:sz w:val="1"/>
                <w:szCs w:val="1"/>
                <w:color w:val="auto"/>
              </w:rPr>
            </w:pPr>
          </w:p>
        </w:tc>
      </w:tr>
      <w:tr>
        <w:trPr>
          <w:trHeight w:val="126"/>
        </w:trPr>
        <w:tc>
          <w:tcPr>
            <w:tcW w:w="8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Interest payable</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527</w:t>
            </w:r>
          </w:p>
        </w:tc>
        <w:tc>
          <w:tcPr>
            <w:tcW w:w="10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281</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Deposits: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Non-interest-bearing deposits</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32,203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38,043</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Interest-bearing deposits</w:t>
            </w: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300,789</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272,937</w:t>
            </w:r>
          </w:p>
        </w:tc>
        <w:tc>
          <w:tcPr>
            <w:tcW w:w="0" w:type="dxa"/>
            <w:vAlign w:val="bottom"/>
          </w:tcPr>
          <w:p>
            <w:pPr>
              <w:spacing w:after="0"/>
              <w:rPr>
                <w:sz w:val="1"/>
                <w:szCs w:val="1"/>
                <w:color w:val="auto"/>
              </w:rPr>
            </w:pPr>
          </w:p>
        </w:tc>
      </w:tr>
      <w:tr>
        <w:trPr>
          <w:trHeight w:val="119"/>
        </w:trPr>
        <w:tc>
          <w:tcPr>
            <w:tcW w:w="834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0"/>
                <w:szCs w:val="10"/>
                <w:color w:val="auto"/>
              </w:rPr>
              <w:t>Total deposits</w:t>
            </w:r>
          </w:p>
        </w:tc>
        <w:tc>
          <w:tcPr>
            <w:tcW w:w="1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332,992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310,980</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Securitized debt obligations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16,973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14,994</w:t>
            </w:r>
          </w:p>
        </w:tc>
        <w:tc>
          <w:tcPr>
            <w:tcW w:w="0" w:type="dxa"/>
            <w:vAlign w:val="bottom"/>
          </w:tcPr>
          <w:p>
            <w:pPr>
              <w:spacing w:after="0"/>
              <w:rPr>
                <w:sz w:val="1"/>
                <w:szCs w:val="1"/>
                <w:color w:val="auto"/>
              </w:rPr>
            </w:pPr>
          </w:p>
        </w:tc>
      </w:tr>
      <w:tr>
        <w:trPr>
          <w:trHeight w:val="12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Other debt:</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Federal funds purchased and securities loaned or sold under agreements to repurchase</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883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w:t>
            </w:r>
          </w:p>
        </w:tc>
        <w:tc>
          <w:tcPr>
            <w:tcW w:w="0" w:type="dxa"/>
            <w:vAlign w:val="bottom"/>
          </w:tcPr>
          <w:p>
            <w:pPr>
              <w:spacing w:after="0"/>
              <w:rPr>
                <w:sz w:val="1"/>
                <w:szCs w:val="1"/>
                <w:color w:val="auto"/>
              </w:rPr>
            </w:pPr>
          </w:p>
        </w:tc>
      </w:tr>
      <w:tr>
        <w:trPr>
          <w:trHeight w:val="130"/>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Senior and subordinated notes</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30,826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27,219</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Other borrowings</w:t>
            </w: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33</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0" w:type="dxa"/>
            <w:vAlign w:val="bottom"/>
          </w:tcPr>
          <w:p>
            <w:pPr>
              <w:spacing w:after="0"/>
              <w:rPr>
                <w:sz w:val="1"/>
                <w:szCs w:val="1"/>
                <w:color w:val="auto"/>
              </w:rPr>
            </w:pPr>
          </w:p>
        </w:tc>
      </w:tr>
      <w:tr>
        <w:trPr>
          <w:trHeight w:val="119"/>
        </w:trPr>
        <w:tc>
          <w:tcPr>
            <w:tcW w:w="834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0"/>
                <w:szCs w:val="10"/>
                <w:color w:val="auto"/>
              </w:rPr>
              <w:t>Total other debt</w:t>
            </w:r>
          </w:p>
        </w:tc>
        <w:tc>
          <w:tcPr>
            <w:tcW w:w="18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31,742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28,092</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liabilities</w:t>
            </w: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20,433</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17,005</w:t>
            </w:r>
          </w:p>
        </w:tc>
        <w:tc>
          <w:tcPr>
            <w:tcW w:w="0" w:type="dxa"/>
            <w:vAlign w:val="bottom"/>
          </w:tcPr>
          <w:p>
            <w:pPr>
              <w:spacing w:after="0"/>
              <w:rPr>
                <w:sz w:val="1"/>
                <w:szCs w:val="1"/>
                <w:color w:val="auto"/>
              </w:rPr>
            </w:pPr>
          </w:p>
        </w:tc>
      </w:tr>
      <w:tr>
        <w:trPr>
          <w:trHeight w:val="119"/>
        </w:trPr>
        <w:tc>
          <w:tcPr>
            <w:tcW w:w="8340" w:type="dxa"/>
            <w:vAlign w:val="bottom"/>
            <w:tcBorders>
              <w:bottom w:val="single" w:sz="8" w:color="CCEEFF"/>
            </w:tcBorders>
            <w:gridSpan w:val="2"/>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402,667</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371,352</w:t>
            </w:r>
          </w:p>
        </w:tc>
        <w:tc>
          <w:tcPr>
            <w:tcW w:w="0" w:type="dxa"/>
            <w:vAlign w:val="bottom"/>
          </w:tcPr>
          <w:p>
            <w:pPr>
              <w:spacing w:after="0"/>
              <w:rPr>
                <w:sz w:val="1"/>
                <w:szCs w:val="1"/>
                <w:color w:val="auto"/>
              </w:rPr>
            </w:pPr>
          </w:p>
        </w:tc>
      </w:tr>
      <w:tr>
        <w:trPr>
          <w:trHeight w:val="120"/>
        </w:trPr>
        <w:tc>
          <w:tcPr>
            <w:tcW w:w="83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Commitments, contingencies and guarantees (see Note 18)</w:t>
            </w: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Stockholders’ equity:</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Preferred stock (par value $0.01 per share; 50,000,000 shares authorized; 4,975,000 shares issued and outstanding as of both December 31, 2022 and 2021)</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0" w:type="dxa"/>
            <w:vAlign w:val="bottom"/>
          </w:tcPr>
          <w:p>
            <w:pPr>
              <w:spacing w:after="0"/>
              <w:rPr>
                <w:sz w:val="1"/>
                <w:szCs w:val="1"/>
                <w:color w:val="auto"/>
              </w:rPr>
            </w:pPr>
          </w:p>
        </w:tc>
      </w:tr>
      <w:tr>
        <w:trPr>
          <w:trHeight w:val="94"/>
        </w:trPr>
        <w:tc>
          <w:tcPr>
            <w:tcW w:w="8340" w:type="dxa"/>
            <w:vAlign w:val="bottom"/>
            <w:gridSpan w:val="2"/>
          </w:tcPr>
          <w:p>
            <w:pPr>
              <w:ind w:left="20"/>
              <w:spacing w:after="0" w:line="94" w:lineRule="exact"/>
              <w:rPr>
                <w:sz w:val="20"/>
                <w:szCs w:val="20"/>
                <w:color w:val="auto"/>
              </w:rPr>
            </w:pPr>
            <w:r>
              <w:rPr>
                <w:rFonts w:ascii="Times New Roman" w:cs="Times New Roman" w:eastAsia="Times New Roman" w:hAnsi="Times New Roman"/>
                <w:sz w:val="10"/>
                <w:szCs w:val="10"/>
                <w:color w:val="auto"/>
              </w:rPr>
              <w:t>Common stock (par value $0.01 per share; 1,000,000,000 shares authorized; 690,334,422 and 685,057,944 shares issued as of December 31, 2022 and 2021, respectively; 381,318,702 and 413,858,537 shares</w:t>
            </w:r>
          </w:p>
        </w:tc>
        <w:tc>
          <w:tcPr>
            <w:tcW w:w="180" w:type="dxa"/>
            <w:vAlign w:val="bottom"/>
          </w:tcPr>
          <w:p>
            <w:pPr>
              <w:spacing w:after="0"/>
              <w:rPr>
                <w:sz w:val="8"/>
                <w:szCs w:val="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7</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7"/>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outstanding as of December 31, 2022 and 2021, respectively)</w:t>
            </w:r>
          </w:p>
        </w:tc>
        <w:tc>
          <w:tcPr>
            <w:tcW w:w="1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Additional paid-in capital, net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34,725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34,112</w:t>
            </w:r>
          </w:p>
        </w:tc>
        <w:tc>
          <w:tcPr>
            <w:tcW w:w="0" w:type="dxa"/>
            <w:vAlign w:val="bottom"/>
          </w:tcPr>
          <w:p>
            <w:pPr>
              <w:spacing w:after="0"/>
              <w:rPr>
                <w:sz w:val="1"/>
                <w:szCs w:val="1"/>
                <w:color w:val="auto"/>
              </w:rPr>
            </w:pPr>
          </w:p>
        </w:tc>
      </w:tr>
      <w:tr>
        <w:trPr>
          <w:trHeight w:val="13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Retained earnings</w:t>
            </w:r>
          </w:p>
        </w:tc>
        <w:tc>
          <w:tcPr>
            <w:tcW w:w="18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57,184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51,006</w:t>
            </w:r>
          </w:p>
        </w:tc>
        <w:tc>
          <w:tcPr>
            <w:tcW w:w="0" w:type="dxa"/>
            <w:vAlign w:val="bottom"/>
          </w:tcPr>
          <w:p>
            <w:pPr>
              <w:spacing w:after="0"/>
              <w:rPr>
                <w:sz w:val="1"/>
                <w:szCs w:val="1"/>
                <w:color w:val="auto"/>
              </w:rPr>
            </w:pPr>
          </w:p>
        </w:tc>
      </w:tr>
      <w:tr>
        <w:trPr>
          <w:trHeight w:val="14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Accumulated other comprehensive income (loss)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(9,916)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374</w:t>
            </w:r>
          </w:p>
        </w:tc>
        <w:tc>
          <w:tcPr>
            <w:tcW w:w="0" w:type="dxa"/>
            <w:vAlign w:val="bottom"/>
          </w:tcPr>
          <w:p>
            <w:pPr>
              <w:spacing w:after="0"/>
              <w:rPr>
                <w:sz w:val="1"/>
                <w:szCs w:val="1"/>
                <w:color w:val="auto"/>
              </w:rPr>
            </w:pPr>
          </w:p>
        </w:tc>
      </w:tr>
      <w:tr>
        <w:trPr>
          <w:trHeight w:val="130"/>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Treasury stock, at cost (par value $0.01 per share; 309,015,720 and 271,199,407 shares as of December 31, 2022 and 2021, respectively)</w:t>
            </w: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(29,418)</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(24,470)</w:t>
            </w:r>
          </w:p>
        </w:tc>
        <w:tc>
          <w:tcPr>
            <w:tcW w:w="0" w:type="dxa"/>
            <w:vAlign w:val="bottom"/>
          </w:tcPr>
          <w:p>
            <w:pPr>
              <w:spacing w:after="0"/>
              <w:rPr>
                <w:sz w:val="1"/>
                <w:szCs w:val="1"/>
                <w:color w:val="auto"/>
              </w:rPr>
            </w:pPr>
          </w:p>
        </w:tc>
      </w:tr>
      <w:tr>
        <w:trPr>
          <w:trHeight w:val="129"/>
        </w:trPr>
        <w:tc>
          <w:tcPr>
            <w:tcW w:w="8340" w:type="dxa"/>
            <w:vAlign w:val="bottom"/>
            <w:gridSpan w:val="2"/>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Total stockholders’ equity</w:t>
            </w:r>
          </w:p>
        </w:tc>
        <w:tc>
          <w:tcPr>
            <w:tcW w:w="1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52,582</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61,029</w:t>
            </w:r>
          </w:p>
        </w:tc>
        <w:tc>
          <w:tcPr>
            <w:tcW w:w="0" w:type="dxa"/>
            <w:vAlign w:val="bottom"/>
          </w:tcPr>
          <w:p>
            <w:pPr>
              <w:spacing w:after="0"/>
              <w:rPr>
                <w:sz w:val="1"/>
                <w:szCs w:val="1"/>
                <w:color w:val="auto"/>
              </w:rPr>
            </w:pPr>
          </w:p>
        </w:tc>
      </w:tr>
      <w:tr>
        <w:trPr>
          <w:trHeight w:val="119"/>
        </w:trPr>
        <w:tc>
          <w:tcPr>
            <w:tcW w:w="834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Total liabilities and stockholders’ equity</w:t>
            </w: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455,249</w:t>
            </w:r>
          </w:p>
        </w:tc>
        <w:tc>
          <w:tcPr>
            <w:tcW w:w="100" w:type="dxa"/>
            <w:vAlign w:val="bottom"/>
          </w:tcPr>
          <w:p>
            <w:pPr>
              <w:spacing w:after="0"/>
              <w:rPr>
                <w:sz w:val="10"/>
                <w:szCs w:val="10"/>
                <w:color w:val="auto"/>
              </w:rPr>
            </w:pPr>
          </w:p>
        </w:tc>
        <w:tc>
          <w:tcPr>
            <w:tcW w:w="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432,381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119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168910</wp:posOffset>
            </wp:positionV>
            <wp:extent cx="720344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STOCKHOLDERS’ EQUITY</w:t>
      </w:r>
    </w:p>
    <w:p>
      <w:pPr>
        <w:spacing w:after="0" w:line="200" w:lineRule="exact"/>
        <w:rPr>
          <w:sz w:val="20"/>
          <w:szCs w:val="20"/>
          <w:color w:val="auto"/>
        </w:rPr>
      </w:pPr>
    </w:p>
    <w:p>
      <w:pPr>
        <w:spacing w:after="0" w:line="344"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restart"/>
          </w:tcPr>
          <w:p>
            <w:pPr>
              <w:jc w:val="center"/>
              <w:ind w:right="133"/>
              <w:spacing w:after="0"/>
              <w:rPr>
                <w:sz w:val="20"/>
                <w:szCs w:val="20"/>
                <w:color w:val="auto"/>
              </w:rPr>
            </w:pPr>
            <w:r>
              <w:rPr>
                <w:rFonts w:ascii="Times New Roman" w:cs="Times New Roman" w:eastAsia="Times New Roman" w:hAnsi="Times New Roman"/>
                <w:sz w:val="8"/>
                <w:szCs w:val="8"/>
                <w:b w:val="1"/>
                <w:bCs w:val="1"/>
                <w:color w:val="auto"/>
                <w:w w:val="98"/>
              </w:rPr>
              <w:t>Total</w:t>
            </w: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tcPr>
          <w:p>
            <w:pPr>
              <w:jc w:val="center"/>
              <w:ind w:right="260"/>
              <w:spacing w:after="0" w:line="81" w:lineRule="exact"/>
              <w:rPr>
                <w:sz w:val="20"/>
                <w:szCs w:val="20"/>
                <w:color w:val="auto"/>
              </w:rPr>
            </w:pPr>
            <w:r>
              <w:rPr>
                <w:rFonts w:ascii="Times New Roman" w:cs="Times New Roman" w:eastAsia="Times New Roman" w:hAnsi="Times New Roman"/>
                <w:sz w:val="8"/>
                <w:szCs w:val="8"/>
                <w:b w:val="1"/>
                <w:bCs w:val="1"/>
                <w:color w:val="auto"/>
              </w:rPr>
              <w:t>Other</w:t>
            </w: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bottom w:val="single" w:sz="8" w:color="auto"/>
            </w:tcBorders>
            <w:gridSpan w:val="3"/>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tcPr>
          <w:p>
            <w:pPr>
              <w:jc w:val="center"/>
              <w:ind w:right="240"/>
              <w:spacing w:after="0" w:line="66" w:lineRule="exact"/>
              <w:rPr>
                <w:sz w:val="20"/>
                <w:szCs w:val="20"/>
                <w:color w:val="auto"/>
              </w:rPr>
            </w:pPr>
            <w:r>
              <w:rPr>
                <w:rFonts w:ascii="Times New Roman" w:cs="Times New Roman" w:eastAsia="Times New Roman" w:hAnsi="Times New Roman"/>
                <w:sz w:val="7"/>
                <w:szCs w:val="7"/>
                <w:b w:val="1"/>
                <w:bCs w:val="1"/>
                <w:color w:val="auto"/>
              </w:rPr>
              <w:t>Paid-In</w:t>
            </w: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gridSpan w:val="2"/>
          </w:tcPr>
          <w:p>
            <w:pPr>
              <w:jc w:val="center"/>
              <w:ind w:right="280"/>
              <w:spacing w:after="0" w:line="66"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40" w:type="dxa"/>
            <w:vAlign w:val="bottom"/>
          </w:tcPr>
          <w:p>
            <w:pPr>
              <w:spacing w:after="0"/>
              <w:rPr>
                <w:sz w:val="5"/>
                <w:szCs w:val="5"/>
                <w:color w:val="auto"/>
              </w:rPr>
            </w:pPr>
          </w:p>
        </w:tc>
        <w:tc>
          <w:tcPr>
            <w:tcW w:w="740" w:type="dxa"/>
            <w:vAlign w:val="bottom"/>
            <w:gridSpan w:val="2"/>
          </w:tcPr>
          <w:p>
            <w:pPr>
              <w:jc w:val="center"/>
              <w:ind w:right="220"/>
              <w:spacing w:after="0" w:line="66" w:lineRule="exact"/>
              <w:rPr>
                <w:sz w:val="20"/>
                <w:szCs w:val="20"/>
                <w:color w:val="auto"/>
              </w:rPr>
            </w:pPr>
            <w:r>
              <w:rPr>
                <w:rFonts w:ascii="Times New Roman" w:cs="Times New Roman" w:eastAsia="Times New Roman" w:hAnsi="Times New Roman"/>
                <w:sz w:val="7"/>
                <w:szCs w:val="7"/>
                <w:b w:val="1"/>
                <w:bCs w:val="1"/>
                <w:color w:val="auto"/>
              </w:rPr>
              <w:t>Treasury</w:t>
            </w:r>
          </w:p>
        </w:tc>
        <w:tc>
          <w:tcPr>
            <w:tcW w:w="180" w:type="dxa"/>
            <w:vAlign w:val="bottom"/>
          </w:tcPr>
          <w:p>
            <w:pPr>
              <w:spacing w:after="0"/>
              <w:rPr>
                <w:sz w:val="5"/>
                <w:szCs w:val="5"/>
                <w:color w:val="auto"/>
              </w:rPr>
            </w:pPr>
          </w:p>
        </w:tc>
        <w:tc>
          <w:tcPr>
            <w:tcW w:w="880" w:type="dxa"/>
            <w:vAlign w:val="bottom"/>
          </w:tcPr>
          <w:p>
            <w:pPr>
              <w:jc w:val="center"/>
              <w:ind w:right="133"/>
              <w:spacing w:after="0" w:line="66"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0" w:type="dxa"/>
            <w:vAlign w:val="bottom"/>
          </w:tcPr>
          <w:p>
            <w:pPr>
              <w:spacing w:after="0"/>
              <w:rPr>
                <w:sz w:val="1"/>
                <w:szCs w:val="1"/>
                <w:color w:val="auto"/>
              </w:rPr>
            </w:pPr>
          </w:p>
        </w:tc>
      </w:tr>
      <w:tr>
        <w:trPr>
          <w:trHeight w:val="117"/>
        </w:trPr>
        <w:tc>
          <w:tcPr>
            <w:tcW w:w="2640" w:type="dxa"/>
            <w:vAlign w:val="bottom"/>
            <w:gridSpan w:val="2"/>
          </w:tcPr>
          <w:p>
            <w:pPr>
              <w:spacing w:after="0"/>
              <w:rPr>
                <w:sz w:val="20"/>
                <w:szCs w:val="20"/>
                <w:color w:val="auto"/>
              </w:rPr>
            </w:pPr>
            <w:r>
              <w:rPr>
                <w:rFonts w:ascii="Times New Roman" w:cs="Times New Roman" w:eastAsia="Times New Roman" w:hAnsi="Times New Roman"/>
                <w:sz w:val="8"/>
                <w:szCs w:val="8"/>
                <w:i w:val="1"/>
                <w:iCs w:val="1"/>
                <w:color w:val="auto"/>
              </w:rPr>
              <w:t>(Dollars in millions)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40" w:type="dxa"/>
            <w:vAlign w:val="bottom"/>
          </w:tcPr>
          <w:p>
            <w:pPr>
              <w:spacing w:after="0"/>
              <w:rPr>
                <w:sz w:val="10"/>
                <w:szCs w:val="10"/>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4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Retained Earnings</w:t>
            </w:r>
          </w:p>
        </w:tc>
        <w:tc>
          <w:tcPr>
            <w:tcW w:w="180" w:type="dxa"/>
            <w:vAlign w:val="bottom"/>
          </w:tcPr>
          <w:p>
            <w:pPr>
              <w:spacing w:after="0"/>
              <w:rPr>
                <w:sz w:val="10"/>
                <w:szCs w:val="1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14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80" w:type="dxa"/>
            <w:vAlign w:val="bottom"/>
          </w:tcPr>
          <w:p>
            <w:pPr>
              <w:spacing w:after="0"/>
              <w:rPr>
                <w:sz w:val="10"/>
                <w:szCs w:val="10"/>
                <w:color w:val="auto"/>
              </w:rPr>
            </w:pPr>
          </w:p>
        </w:tc>
        <w:tc>
          <w:tcPr>
            <w:tcW w:w="880" w:type="dxa"/>
            <w:vAlign w:val="bottom"/>
          </w:tcPr>
          <w:p>
            <w:pPr>
              <w:jc w:val="center"/>
              <w:ind w:right="133"/>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128"/>
        </w:trPr>
        <w:tc>
          <w:tcPr>
            <w:tcW w:w="2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2019</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0"/>
                <w:szCs w:val="10"/>
                <w:color w:val="auto"/>
                <w:w w:val="94"/>
              </w:rPr>
              <w:t>4,975,000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672,969,391</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32,980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40,340</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1,156</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(16,472)</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58,011</w:t>
            </w:r>
          </w:p>
        </w:tc>
        <w:tc>
          <w:tcPr>
            <w:tcW w:w="0" w:type="dxa"/>
            <w:vAlign w:val="bottom"/>
          </w:tcPr>
          <w:p>
            <w:pPr>
              <w:spacing w:after="0"/>
              <w:rPr>
                <w:sz w:val="1"/>
                <w:szCs w:val="1"/>
                <w:color w:val="auto"/>
              </w:rPr>
            </w:pPr>
          </w:p>
        </w:tc>
      </w:tr>
      <w:tr>
        <w:trPr>
          <w:trHeight w:val="129"/>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Cumulative effects from adoption of the CECL standard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(2,184)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(2,192)</w:t>
            </w:r>
          </w:p>
        </w:tc>
        <w:tc>
          <w:tcPr>
            <w:tcW w:w="0" w:type="dxa"/>
            <w:vAlign w:val="bottom"/>
          </w:tcPr>
          <w:p>
            <w:pPr>
              <w:spacing w:after="0"/>
              <w:rPr>
                <w:sz w:val="1"/>
                <w:szCs w:val="1"/>
                <w:color w:val="auto"/>
              </w:rPr>
            </w:pPr>
          </w:p>
        </w:tc>
      </w:tr>
      <w:tr>
        <w:trPr>
          <w:trHeight w:val="14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Comprehensive income</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2,346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5,060</w:t>
            </w:r>
          </w:p>
        </w:tc>
        <w:tc>
          <w:tcPr>
            <w:tcW w:w="0" w:type="dxa"/>
            <w:vAlign w:val="bottom"/>
          </w:tcPr>
          <w:p>
            <w:pPr>
              <w:spacing w:after="0"/>
              <w:rPr>
                <w:sz w:val="1"/>
                <w:szCs w:val="1"/>
                <w:color w:val="auto"/>
              </w:rPr>
            </w:pPr>
          </w:p>
        </w:tc>
      </w:tr>
      <w:tr>
        <w:trPr>
          <w:trHeight w:val="135"/>
        </w:trPr>
        <w:tc>
          <w:tcPr>
            <w:tcW w:w="264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color w:val="auto"/>
              </w:rPr>
              <w:t>Dividends—common stock</w:t>
            </w:r>
            <w:r>
              <w:rPr>
                <w:rFonts w:ascii="Times New Roman" w:cs="Times New Roman" w:eastAsia="Times New Roman" w:hAnsi="Times New Roman"/>
                <w:sz w:val="12"/>
                <w:szCs w:val="12"/>
                <w:color w:val="auto"/>
                <w:vertAlign w:val="superscript"/>
              </w:rPr>
              <w:t>(1)</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32,466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w:t>
            </w:r>
          </w:p>
        </w:tc>
        <w:tc>
          <w:tcPr>
            <w:tcW w:w="0" w:type="dxa"/>
            <w:vAlign w:val="bottom"/>
          </w:tcPr>
          <w:p>
            <w:pPr>
              <w:spacing w:after="0"/>
              <w:rPr>
                <w:sz w:val="1"/>
                <w:szCs w:val="1"/>
                <w:color w:val="auto"/>
              </w:rPr>
            </w:pPr>
          </w:p>
        </w:tc>
      </w:tr>
      <w:tr>
        <w:trPr>
          <w:trHeight w:val="135"/>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Dividends—preferred stock</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0" w:type="dxa"/>
            <w:vAlign w:val="bottom"/>
          </w:tcPr>
          <w:p>
            <w:pPr>
              <w:spacing w:after="0"/>
              <w:rPr>
                <w:sz w:val="1"/>
                <w:szCs w:val="1"/>
                <w:color w:val="auto"/>
              </w:rPr>
            </w:pPr>
          </w:p>
        </w:tc>
      </w:tr>
      <w:tr>
        <w:trPr>
          <w:trHeight w:val="129"/>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Purchases of treasury stock</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w:t>
            </w:r>
          </w:p>
        </w:tc>
        <w:tc>
          <w:tcPr>
            <w:tcW w:w="0" w:type="dxa"/>
            <w:vAlign w:val="bottom"/>
          </w:tcPr>
          <w:p>
            <w:pPr>
              <w:spacing w:after="0"/>
              <w:rPr>
                <w:sz w:val="1"/>
                <w:szCs w:val="1"/>
                <w:color w:val="auto"/>
              </w:rPr>
            </w:pPr>
          </w:p>
        </w:tc>
      </w:tr>
      <w:tr>
        <w:trPr>
          <w:trHeight w:val="14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9"/>
              </w:rPr>
              <w:t>Issuances of common stock and restricted stock, net of forfeitures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5,539,010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241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w:t>
            </w:r>
          </w:p>
        </w:tc>
        <w:tc>
          <w:tcPr>
            <w:tcW w:w="0" w:type="dxa"/>
            <w:vAlign w:val="bottom"/>
          </w:tcPr>
          <w:p>
            <w:pPr>
              <w:spacing w:after="0"/>
              <w:rPr>
                <w:sz w:val="1"/>
                <w:szCs w:val="1"/>
                <w:color w:val="auto"/>
              </w:rPr>
            </w:pPr>
          </w:p>
        </w:tc>
      </w:tr>
      <w:tr>
        <w:trPr>
          <w:trHeight w:val="129"/>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Exercises of stock options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1,391,970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62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0" w:type="dxa"/>
            <w:vAlign w:val="bottom"/>
          </w:tcPr>
          <w:p>
            <w:pPr>
              <w:spacing w:after="0"/>
              <w:rPr>
                <w:sz w:val="1"/>
                <w:szCs w:val="1"/>
                <w:color w:val="auto"/>
              </w:rPr>
            </w:pPr>
          </w:p>
        </w:tc>
      </w:tr>
      <w:tr>
        <w:trPr>
          <w:trHeight w:val="14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Issuances of preferred stock</w:t>
            </w:r>
          </w:p>
        </w:tc>
        <w:tc>
          <w:tcPr>
            <w:tcW w:w="90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0"/>
                <w:szCs w:val="10"/>
                <w:color w:val="auto"/>
                <w:w w:val="94"/>
              </w:rPr>
              <w:t>1,375,000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1,330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1,330</w:t>
            </w:r>
          </w:p>
        </w:tc>
        <w:tc>
          <w:tcPr>
            <w:tcW w:w="0" w:type="dxa"/>
            <w:vAlign w:val="bottom"/>
          </w:tcPr>
          <w:p>
            <w:pPr>
              <w:spacing w:after="0"/>
              <w:rPr>
                <w:sz w:val="1"/>
                <w:szCs w:val="1"/>
                <w:color w:val="auto"/>
              </w:rPr>
            </w:pPr>
          </w:p>
        </w:tc>
      </w:tr>
      <w:tr>
        <w:trPr>
          <w:trHeight w:val="129"/>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Redemptions of preferred stock</w:t>
            </w:r>
          </w:p>
        </w:tc>
        <w:tc>
          <w:tcPr>
            <w:tcW w:w="900" w:type="dxa"/>
            <w:vAlign w:val="bottom"/>
          </w:tcPr>
          <w:p>
            <w:pPr>
              <w:jc w:val="center"/>
              <w:ind w:left="373"/>
              <w:spacing w:after="0"/>
              <w:rPr>
                <w:sz w:val="20"/>
                <w:szCs w:val="20"/>
                <w:color w:val="auto"/>
              </w:rPr>
            </w:pPr>
            <w:r>
              <w:rPr>
                <w:rFonts w:ascii="Times New Roman" w:cs="Times New Roman" w:eastAsia="Times New Roman" w:hAnsi="Times New Roman"/>
                <w:sz w:val="10"/>
                <w:szCs w:val="10"/>
                <w:color w:val="auto"/>
                <w:w w:val="94"/>
              </w:rPr>
              <w:t>(1,375,000)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(1,375)</w:t>
            </w:r>
          </w:p>
        </w:tc>
        <w:tc>
          <w:tcPr>
            <w:tcW w:w="0" w:type="dxa"/>
            <w:vAlign w:val="bottom"/>
          </w:tcPr>
          <w:p>
            <w:pPr>
              <w:spacing w:after="0"/>
              <w:rPr>
                <w:sz w:val="1"/>
                <w:szCs w:val="1"/>
                <w:color w:val="auto"/>
              </w:rPr>
            </w:pPr>
          </w:p>
        </w:tc>
      </w:tr>
      <w:tr>
        <w:trPr>
          <w:trHeight w:val="99"/>
        </w:trPr>
        <w:tc>
          <w:tcPr>
            <w:tcW w:w="264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Compensation expense for restricted stock units and stock</w:t>
            </w: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200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0" w:type="dxa"/>
            <w:vAlign w:val="bottom"/>
          </w:tcPr>
          <w:p>
            <w:pPr>
              <w:spacing w:after="0"/>
              <w:rPr>
                <w:sz w:val="1"/>
                <w:szCs w:val="1"/>
                <w:color w:val="auto"/>
              </w:rPr>
            </w:pPr>
          </w:p>
        </w:tc>
      </w:tr>
      <w:tr>
        <w:trPr>
          <w:trHeight w:val="13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options</w:t>
            </w:r>
          </w:p>
        </w:tc>
        <w:tc>
          <w:tcPr>
            <w:tcW w:w="9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640" w:type="dxa"/>
            <w:vAlign w:val="bottom"/>
            <w:tcBorders>
              <w:bottom w:val="single" w:sz="8" w:color="CCEEFF"/>
            </w:tcBorders>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Balance as of December 31, 2020</w:t>
            </w:r>
          </w:p>
        </w:tc>
        <w:tc>
          <w:tcPr>
            <w:tcW w:w="90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0"/>
                <w:szCs w:val="10"/>
                <w:color w:val="auto"/>
                <w:w w:val="94"/>
              </w:rPr>
              <w:t>4,975,000</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679,932,837</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0"/>
                <w:szCs w:val="10"/>
                <w:color w:val="auto"/>
              </w:rPr>
              <w:t>33,480</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40,088</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0"/>
                <w:szCs w:val="10"/>
                <w:color w:val="auto"/>
              </w:rPr>
              <w:t>3,494</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(16,865)</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60,204</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Comprehensive income (loss)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12,390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9,270</w:t>
            </w:r>
          </w:p>
        </w:tc>
        <w:tc>
          <w:tcPr>
            <w:tcW w:w="0" w:type="dxa"/>
            <w:vAlign w:val="bottom"/>
          </w:tcPr>
          <w:p>
            <w:pPr>
              <w:spacing w:after="0"/>
              <w:rPr>
                <w:sz w:val="1"/>
                <w:szCs w:val="1"/>
                <w:color w:val="auto"/>
              </w:rPr>
            </w:pPr>
          </w:p>
        </w:tc>
      </w:tr>
      <w:tr>
        <w:trPr>
          <w:trHeight w:val="135"/>
        </w:trPr>
        <w:tc>
          <w:tcPr>
            <w:tcW w:w="264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color w:val="auto"/>
              </w:rPr>
              <w:t>Dividends—common stock</w:t>
            </w:r>
            <w:r>
              <w:rPr>
                <w:rFonts w:ascii="Times New Roman" w:cs="Times New Roman" w:eastAsia="Times New Roman" w:hAnsi="Times New Roman"/>
                <w:sz w:val="12"/>
                <w:szCs w:val="12"/>
                <w:color w:val="auto"/>
                <w:vertAlign w:val="superscript"/>
              </w:rPr>
              <w:t>(1)</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(1,148)</w:t>
            </w:r>
          </w:p>
        </w:tc>
        <w:tc>
          <w:tcPr>
            <w:tcW w:w="0" w:type="dxa"/>
            <w:vAlign w:val="bottom"/>
          </w:tcPr>
          <w:p>
            <w:pPr>
              <w:spacing w:after="0"/>
              <w:rPr>
                <w:sz w:val="1"/>
                <w:szCs w:val="1"/>
                <w:color w:val="auto"/>
              </w:rPr>
            </w:pPr>
          </w:p>
        </w:tc>
      </w:tr>
      <w:tr>
        <w:trPr>
          <w:trHeight w:val="135"/>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Dividends—preferred stock</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0" w:type="dxa"/>
            <w:vAlign w:val="bottom"/>
          </w:tcPr>
          <w:p>
            <w:pPr>
              <w:spacing w:after="0"/>
              <w:rPr>
                <w:sz w:val="1"/>
                <w:szCs w:val="1"/>
                <w:color w:val="auto"/>
              </w:rPr>
            </w:pPr>
          </w:p>
        </w:tc>
      </w:tr>
      <w:tr>
        <w:trPr>
          <w:trHeight w:val="129"/>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Purchases of treasury stock</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(7,605)</w:t>
            </w:r>
          </w:p>
        </w:tc>
        <w:tc>
          <w:tcPr>
            <w:tcW w:w="0" w:type="dxa"/>
            <w:vAlign w:val="bottom"/>
          </w:tcPr>
          <w:p>
            <w:pPr>
              <w:spacing w:after="0"/>
              <w:rPr>
                <w:sz w:val="1"/>
                <w:szCs w:val="1"/>
                <w:color w:val="auto"/>
              </w:rPr>
            </w:pPr>
          </w:p>
        </w:tc>
      </w:tr>
      <w:tr>
        <w:trPr>
          <w:trHeight w:val="14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9"/>
              </w:rPr>
              <w:t>Issuances of common stock and restricted stock, net of forfeitures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4,178,919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253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w:t>
            </w:r>
          </w:p>
        </w:tc>
        <w:tc>
          <w:tcPr>
            <w:tcW w:w="0" w:type="dxa"/>
            <w:vAlign w:val="bottom"/>
          </w:tcPr>
          <w:p>
            <w:pPr>
              <w:spacing w:after="0"/>
              <w:rPr>
                <w:sz w:val="1"/>
                <w:szCs w:val="1"/>
                <w:color w:val="auto"/>
              </w:rPr>
            </w:pPr>
          </w:p>
        </w:tc>
      </w:tr>
      <w:tr>
        <w:trPr>
          <w:trHeight w:val="129"/>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Exercises of stock options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917,778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0" w:type="dxa"/>
            <w:vAlign w:val="bottom"/>
          </w:tcPr>
          <w:p>
            <w:pPr>
              <w:spacing w:after="0"/>
              <w:rPr>
                <w:sz w:val="1"/>
                <w:szCs w:val="1"/>
                <w:color w:val="auto"/>
              </w:rPr>
            </w:pPr>
          </w:p>
        </w:tc>
      </w:tr>
      <w:tr>
        <w:trPr>
          <w:trHeight w:val="14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Issuances of preferred stock</w:t>
            </w:r>
          </w:p>
        </w:tc>
        <w:tc>
          <w:tcPr>
            <w:tcW w:w="90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0"/>
                <w:szCs w:val="10"/>
                <w:color w:val="auto"/>
                <w:w w:val="94"/>
              </w:rPr>
              <w:t>2,100,000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2,052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2,052</w:t>
            </w:r>
          </w:p>
        </w:tc>
        <w:tc>
          <w:tcPr>
            <w:tcW w:w="0" w:type="dxa"/>
            <w:vAlign w:val="bottom"/>
          </w:tcPr>
          <w:p>
            <w:pPr>
              <w:spacing w:after="0"/>
              <w:rPr>
                <w:sz w:val="1"/>
                <w:szCs w:val="1"/>
                <w:color w:val="auto"/>
              </w:rPr>
            </w:pPr>
          </w:p>
        </w:tc>
      </w:tr>
      <w:tr>
        <w:trPr>
          <w:trHeight w:val="129"/>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Redemptions of preferred stock</w:t>
            </w:r>
          </w:p>
        </w:tc>
        <w:tc>
          <w:tcPr>
            <w:tcW w:w="900" w:type="dxa"/>
            <w:vAlign w:val="bottom"/>
          </w:tcPr>
          <w:p>
            <w:pPr>
              <w:jc w:val="center"/>
              <w:ind w:left="373"/>
              <w:spacing w:after="0"/>
              <w:rPr>
                <w:sz w:val="20"/>
                <w:szCs w:val="20"/>
                <w:color w:val="auto"/>
              </w:rPr>
            </w:pPr>
            <w:r>
              <w:rPr>
                <w:rFonts w:ascii="Times New Roman" w:cs="Times New Roman" w:eastAsia="Times New Roman" w:hAnsi="Times New Roman"/>
                <w:sz w:val="10"/>
                <w:szCs w:val="10"/>
                <w:color w:val="auto"/>
                <w:w w:val="94"/>
              </w:rPr>
              <w:t>(2,100,000)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(2,100)</w:t>
            </w:r>
          </w:p>
        </w:tc>
        <w:tc>
          <w:tcPr>
            <w:tcW w:w="0" w:type="dxa"/>
            <w:vAlign w:val="bottom"/>
          </w:tcPr>
          <w:p>
            <w:pPr>
              <w:spacing w:after="0"/>
              <w:rPr>
                <w:sz w:val="1"/>
                <w:szCs w:val="1"/>
                <w:color w:val="auto"/>
              </w:rPr>
            </w:pPr>
          </w:p>
        </w:tc>
      </w:tr>
      <w:tr>
        <w:trPr>
          <w:trHeight w:val="14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 expense for restricted stock units</w:t>
            </w:r>
          </w:p>
        </w:tc>
        <w:tc>
          <w:tcPr>
            <w:tcW w:w="9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322</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322</w:t>
            </w:r>
          </w:p>
        </w:tc>
        <w:tc>
          <w:tcPr>
            <w:tcW w:w="0" w:type="dxa"/>
            <w:vAlign w:val="bottom"/>
          </w:tcPr>
          <w:p>
            <w:pPr>
              <w:spacing w:after="0"/>
              <w:rPr>
                <w:sz w:val="1"/>
                <w:szCs w:val="1"/>
                <w:color w:val="auto"/>
              </w:rPr>
            </w:pPr>
          </w:p>
        </w:tc>
      </w:tr>
      <w:tr>
        <w:trPr>
          <w:trHeight w:val="118"/>
        </w:trPr>
        <w:tc>
          <w:tcPr>
            <w:tcW w:w="2640" w:type="dxa"/>
            <w:vAlign w:val="bottom"/>
            <w:tcBorders>
              <w:bottom w:val="single" w:sz="8" w:color="CCEEFF"/>
            </w:tcBorders>
            <w:gridSpan w:val="2"/>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Balance as of December 31, 2021</w:t>
            </w:r>
          </w:p>
        </w:tc>
        <w:tc>
          <w:tcPr>
            <w:tcW w:w="90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0"/>
                <w:szCs w:val="10"/>
                <w:color w:val="auto"/>
                <w:w w:val="94"/>
              </w:rPr>
              <w:t>4,975,000</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685,057,944</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0"/>
                <w:szCs w:val="10"/>
                <w:color w:val="auto"/>
              </w:rPr>
              <w:t>34,112</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51,006</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0"/>
                <w:szCs w:val="10"/>
                <w:color w:val="auto"/>
              </w:rPr>
              <w:t>374</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(24,470)</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61,029</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Comprehensive income (loss)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7,360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(10,290)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(2,930)</w:t>
            </w:r>
          </w:p>
        </w:tc>
        <w:tc>
          <w:tcPr>
            <w:tcW w:w="0" w:type="dxa"/>
            <w:vAlign w:val="bottom"/>
          </w:tcPr>
          <w:p>
            <w:pPr>
              <w:spacing w:after="0"/>
              <w:rPr>
                <w:sz w:val="1"/>
                <w:szCs w:val="1"/>
                <w:color w:val="auto"/>
              </w:rPr>
            </w:pPr>
          </w:p>
        </w:tc>
      </w:tr>
      <w:tr>
        <w:trPr>
          <w:trHeight w:val="135"/>
        </w:trPr>
        <w:tc>
          <w:tcPr>
            <w:tcW w:w="264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color w:val="auto"/>
              </w:rPr>
              <w:t>Dividends—common stock</w:t>
            </w:r>
            <w:r>
              <w:rPr>
                <w:rFonts w:ascii="Times New Roman" w:cs="Times New Roman" w:eastAsia="Times New Roman" w:hAnsi="Times New Roman"/>
                <w:sz w:val="12"/>
                <w:szCs w:val="12"/>
                <w:color w:val="auto"/>
                <w:vertAlign w:val="superscript"/>
              </w:rPr>
              <w:t>(1)</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33,511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(954)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(950)</w:t>
            </w:r>
          </w:p>
        </w:tc>
        <w:tc>
          <w:tcPr>
            <w:tcW w:w="0" w:type="dxa"/>
            <w:vAlign w:val="bottom"/>
          </w:tcPr>
          <w:p>
            <w:pPr>
              <w:spacing w:after="0"/>
              <w:rPr>
                <w:sz w:val="1"/>
                <w:szCs w:val="1"/>
                <w:color w:val="auto"/>
              </w:rPr>
            </w:pPr>
          </w:p>
        </w:tc>
      </w:tr>
      <w:tr>
        <w:trPr>
          <w:trHeight w:val="135"/>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Dividends—preferred stock</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(228)</w:t>
            </w:r>
          </w:p>
        </w:tc>
        <w:tc>
          <w:tcPr>
            <w:tcW w:w="0" w:type="dxa"/>
            <w:vAlign w:val="bottom"/>
          </w:tcPr>
          <w:p>
            <w:pPr>
              <w:spacing w:after="0"/>
              <w:rPr>
                <w:sz w:val="1"/>
                <w:szCs w:val="1"/>
                <w:color w:val="auto"/>
              </w:rPr>
            </w:pPr>
          </w:p>
        </w:tc>
      </w:tr>
      <w:tr>
        <w:trPr>
          <w:trHeight w:val="130"/>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Purchases of treasury stock</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(4,948)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(4,948)</w:t>
            </w:r>
          </w:p>
        </w:tc>
        <w:tc>
          <w:tcPr>
            <w:tcW w:w="0" w:type="dxa"/>
            <w:vAlign w:val="bottom"/>
          </w:tcPr>
          <w:p>
            <w:pPr>
              <w:spacing w:after="0"/>
              <w:rPr>
                <w:sz w:val="1"/>
                <w:szCs w:val="1"/>
                <w:color w:val="auto"/>
              </w:rPr>
            </w:pPr>
          </w:p>
        </w:tc>
      </w:tr>
      <w:tr>
        <w:trPr>
          <w:trHeight w:val="14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9"/>
              </w:rPr>
              <w:t>Issuances of common stock and restricted stock, net of forfeitures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4,909,173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276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276</w:t>
            </w:r>
          </w:p>
        </w:tc>
        <w:tc>
          <w:tcPr>
            <w:tcW w:w="0" w:type="dxa"/>
            <w:vAlign w:val="bottom"/>
          </w:tcPr>
          <w:p>
            <w:pPr>
              <w:spacing w:after="0"/>
              <w:rPr>
                <w:sz w:val="1"/>
                <w:szCs w:val="1"/>
                <w:color w:val="auto"/>
              </w:rPr>
            </w:pPr>
          </w:p>
        </w:tc>
      </w:tr>
      <w:tr>
        <w:trPr>
          <w:trHeight w:val="130"/>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Exercises of stock options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333,794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w:t>
            </w:r>
          </w:p>
        </w:tc>
        <w:tc>
          <w:tcPr>
            <w:tcW w:w="0" w:type="dxa"/>
            <w:vAlign w:val="bottom"/>
          </w:tcPr>
          <w:p>
            <w:pPr>
              <w:spacing w:after="0"/>
              <w:rPr>
                <w:sz w:val="1"/>
                <w:szCs w:val="1"/>
                <w:color w:val="auto"/>
              </w:rPr>
            </w:pPr>
          </w:p>
        </w:tc>
      </w:tr>
      <w:tr>
        <w:trPr>
          <w:trHeight w:val="135"/>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 expense for restricted stock units</w:t>
            </w:r>
          </w:p>
        </w:tc>
        <w:tc>
          <w:tcPr>
            <w:tcW w:w="9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314</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314</w:t>
            </w:r>
          </w:p>
        </w:tc>
        <w:tc>
          <w:tcPr>
            <w:tcW w:w="0" w:type="dxa"/>
            <w:vAlign w:val="bottom"/>
          </w:tcPr>
          <w:p>
            <w:pPr>
              <w:spacing w:after="0"/>
              <w:rPr>
                <w:sz w:val="1"/>
                <w:szCs w:val="1"/>
                <w:color w:val="auto"/>
              </w:rPr>
            </w:pPr>
          </w:p>
        </w:tc>
      </w:tr>
      <w:tr>
        <w:trPr>
          <w:trHeight w:val="129"/>
        </w:trPr>
        <w:tc>
          <w:tcPr>
            <w:tcW w:w="26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900" w:type="dxa"/>
            <w:vAlign w:val="bottom"/>
            <w:tcBorders>
              <w:bottom w:val="single" w:sz="8" w:color="auto"/>
            </w:tcBorders>
          </w:tcPr>
          <w:p>
            <w:pPr>
              <w:jc w:val="center"/>
              <w:ind w:left="393"/>
              <w:spacing w:after="0"/>
              <w:rPr>
                <w:sz w:val="20"/>
                <w:szCs w:val="20"/>
                <w:color w:val="auto"/>
              </w:rPr>
            </w:pPr>
            <w:r>
              <w:rPr>
                <w:rFonts w:ascii="Times New Roman" w:cs="Times New Roman" w:eastAsia="Times New Roman" w:hAnsi="Times New Roman"/>
                <w:sz w:val="10"/>
                <w:szCs w:val="10"/>
                <w:b w:val="1"/>
                <w:bCs w:val="1"/>
                <w:color w:val="auto"/>
                <w:w w:val="94"/>
              </w:rPr>
              <w:t>4,975,000</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80" w:type="dxa"/>
            <w:vAlign w:val="bottom"/>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690,334,422</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0"/>
                <w:szCs w:val="10"/>
                <w:b w:val="1"/>
                <w:bCs w:val="1"/>
                <w:color w:val="auto"/>
              </w:rPr>
              <w:t>34,725</w:t>
            </w: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57,184</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(9,916)</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(29,418)</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52,582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6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declared dividends per share on our common stock of $0.60 in each quarter of 2022 and the fourth quarter of 2021, $1.20 in the third quarter of 2021, $0.40 in the first two quarters of both 2021 and 2020, and $0.10 in the last two quarters of 2020.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7"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120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163195</wp:posOffset>
            </wp:positionV>
            <wp:extent cx="720344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30"/>
        </w:trPr>
        <w:tc>
          <w:tcPr>
            <w:tcW w:w="784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i w:val="1"/>
                <w:iCs w:val="1"/>
                <w:color w:val="auto"/>
              </w:rPr>
              <w:t>(Dollars in millions)</w:t>
            </w:r>
          </w:p>
        </w:tc>
        <w:tc>
          <w:tcPr>
            <w:tcW w:w="240" w:type="dxa"/>
            <w:vAlign w:val="bottom"/>
          </w:tcPr>
          <w:p>
            <w:pPr>
              <w:spacing w:after="0"/>
              <w:rPr>
                <w:sz w:val="11"/>
                <w:szCs w:val="11"/>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29"/>
        </w:trPr>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30"/>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Income (loss) from continuing operations, net of tax</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7,360</w:t>
            </w:r>
          </w:p>
        </w:tc>
        <w:tc>
          <w:tcPr>
            <w:tcW w:w="8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12,394</w:t>
            </w:r>
          </w:p>
        </w:tc>
        <w:tc>
          <w:tcPr>
            <w:tcW w:w="6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2,717</w:t>
            </w: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(loss) from discontinued operations, net of tax</w:t>
            </w: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119"/>
        </w:trPr>
        <w:tc>
          <w:tcPr>
            <w:tcW w:w="7840" w:type="dxa"/>
            <w:vAlign w:val="bottom"/>
            <w:tcBorders>
              <w:bottom w:val="single" w:sz="8" w:color="CCEEFF"/>
            </w:tcBorders>
            <w:gridSpan w:val="2"/>
          </w:tcPr>
          <w:p>
            <w:pPr>
              <w:spacing w:after="0" w:line="104" w:lineRule="exact"/>
              <w:rPr>
                <w:sz w:val="20"/>
                <w:szCs w:val="20"/>
                <w:color w:val="auto"/>
              </w:rPr>
            </w:pPr>
            <w:r>
              <w:rPr>
                <w:rFonts w:ascii="Times New Roman" w:cs="Times New Roman" w:eastAsia="Times New Roman" w:hAnsi="Times New Roman"/>
                <w:sz w:val="10"/>
                <w:szCs w:val="10"/>
                <w:color w:val="auto"/>
              </w:rPr>
              <w:t>Net income</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7,360</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12,390</w:t>
            </w: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2,714</w:t>
            </w:r>
          </w:p>
        </w:tc>
      </w:tr>
      <w:tr>
        <w:trPr>
          <w:trHeight w:val="120"/>
        </w:trPr>
        <w:tc>
          <w:tcPr>
            <w:tcW w:w="78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Adjustments to reconcile net income (loss) to net cash from operating activities:</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Provision (benefit) for credit losses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5,847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(1,944)</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10,264</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Depreciation and amortization, net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3,210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3,501</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Deferred tax provision (benefit)</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(772)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605</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(1,627)</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securities losses (gains)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Gain on sales of loans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314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Other</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(520)</w:t>
            </w: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Loans held for sale: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Originations and purchases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(8,822)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(9,141)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(10,055)</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Proceeds from sales and paydowns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9,679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9,123</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9,856</w:t>
            </w:r>
          </w:p>
        </w:tc>
      </w:tr>
      <w:tr>
        <w:trPr>
          <w:trHeight w:val="129"/>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1"/>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Changes in interest receivable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(641)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Changes in other assets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(2,973)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(4,114)</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979</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Changes in interest payable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246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Changes in other liabilities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511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1,594</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1,212</w:t>
            </w: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change from discontinued operations</w:t>
            </w: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119"/>
        </w:trPr>
        <w:tc>
          <w:tcPr>
            <w:tcW w:w="7840" w:type="dxa"/>
            <w:vAlign w:val="bottom"/>
            <w:tcBorders>
              <w:bottom w:val="single" w:sz="8" w:color="CCEEFF"/>
            </w:tcBorders>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Net cash from operating activities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13,809</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12,310</w:t>
            </w: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16,699</w:t>
            </w:r>
          </w:p>
        </w:tc>
      </w:tr>
      <w:tr>
        <w:trPr>
          <w:trHeight w:val="120"/>
        </w:trPr>
        <w:tc>
          <w:tcPr>
            <w:tcW w:w="784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Investing activities:</w:t>
            </w: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29"/>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Securities available for sale:</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1"/>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Purchases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(14,850)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(27,884)</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(43,026)</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Proceeds from paydowns and maturities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19,074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26,969</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22,324</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Proceeds from sales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2,570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2,776</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812</w:t>
            </w:r>
          </w:p>
        </w:tc>
      </w:tr>
      <w:tr>
        <w:trPr>
          <w:trHeight w:val="129"/>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Loans:</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1"/>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changes in loans originated as held for investment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(35,885)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(33,833)</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4,136</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Principal recoveries of loans previously charged off</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2,091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2,506</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2,452</w:t>
            </w: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purchases of premises and equipment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(934)</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(698)</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(710)</w:t>
            </w:r>
          </w:p>
        </w:tc>
      </w:tr>
      <w:tr>
        <w:trPr>
          <w:trHeight w:val="130"/>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cash used in acquisition activities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(1,176)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(669)</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cash used in other investing activities</w:t>
            </w: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(628)</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(668)</w:t>
            </w: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(822)</w:t>
            </w:r>
          </w:p>
        </w:tc>
      </w:tr>
      <w:tr>
        <w:trPr>
          <w:trHeight w:val="119"/>
        </w:trPr>
        <w:tc>
          <w:tcPr>
            <w:tcW w:w="78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(29,738)</w:t>
            </w: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(31,501)</w:t>
            </w: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(14,841)</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168910</wp:posOffset>
            </wp:positionV>
            <wp:extent cx="720344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w w:val="99"/>
              </w:rPr>
              <w:t>Year Ended December 31,</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130"/>
        </w:trPr>
        <w:tc>
          <w:tcPr>
            <w:tcW w:w="784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i w:val="1"/>
                <w:iCs w:val="1"/>
                <w:color w:val="auto"/>
              </w:rPr>
              <w:t>(Dollars in millions)</w:t>
            </w:r>
          </w:p>
        </w:tc>
        <w:tc>
          <w:tcPr>
            <w:tcW w:w="240" w:type="dxa"/>
            <w:vAlign w:val="bottom"/>
          </w:tcPr>
          <w:p>
            <w:pPr>
              <w:spacing w:after="0"/>
              <w:rPr>
                <w:sz w:val="11"/>
                <w:szCs w:val="11"/>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29"/>
        </w:trPr>
        <w:tc>
          <w:tcPr>
            <w:tcW w:w="7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Financing activities:</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29"/>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Deposits and borrowings:</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1"/>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Changes in deposits</w:t>
            </w: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22,539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5,687</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42,519</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Issuance of securitized debt obligations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9,728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6,232</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1,248</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Maturities and paydowns of securitized debt obligations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(7,060)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(3,442)</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(6,885)</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Issuance of senior and subordinated notes and long-term FHLB advances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21,272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4,486</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3,987</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Maturities and paydowns of senior and subordinated notes and long-term FHLB advances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(15,561)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(3,851)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(8,156)</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Changes in other borrowings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(6,674)</w:t>
            </w: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Net proceeds from issuances</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276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paid</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(950)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w:t>
            </w:r>
          </w:p>
        </w:tc>
      </w:tr>
      <w:tr>
        <w:trPr>
          <w:trHeight w:val="129"/>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Preferred stock:</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1"/>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proceeds from issuances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2,052</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1,330</w:t>
            </w: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Dividends paid</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(228)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w:t>
            </w:r>
          </w:p>
        </w:tc>
      </w:tr>
      <w:tr>
        <w:trPr>
          <w:trHeight w:val="14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Redemptions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(1,375)</w:t>
            </w:r>
          </w:p>
        </w:tc>
      </w:tr>
      <w:tr>
        <w:trPr>
          <w:trHeight w:val="130"/>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Purchases of treasury stock</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(4,948)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(7,605)</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w:t>
            </w: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Proceeds from share-based payment activities</w:t>
            </w: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w:t>
            </w:r>
          </w:p>
        </w:tc>
      </w:tr>
      <w:tr>
        <w:trPr>
          <w:trHeight w:val="119"/>
        </w:trPr>
        <w:tc>
          <w:tcPr>
            <w:tcW w:w="7840" w:type="dxa"/>
            <w:vAlign w:val="bottom"/>
            <w:tcBorders>
              <w:bottom w:val="single" w:sz="8" w:color="CCEEFF"/>
            </w:tcBorders>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Net cash from (used in) financing activities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25,131</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474</w:t>
            </w: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25,164</w:t>
            </w:r>
          </w:p>
        </w:tc>
      </w:tr>
      <w:tr>
        <w:trPr>
          <w:trHeight w:val="129"/>
        </w:trPr>
        <w:tc>
          <w:tcPr>
            <w:tcW w:w="78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Changes in cash, cash equivalents and restricted cash for securitization investors</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9,202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(18,717)</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27,022</w:t>
            </w:r>
          </w:p>
        </w:tc>
      </w:tr>
      <w:tr>
        <w:trPr>
          <w:trHeight w:val="130"/>
        </w:trPr>
        <w:tc>
          <w:tcPr>
            <w:tcW w:w="7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color w:val="auto"/>
              </w:rPr>
              <w:t>Cash, cash equivalents and restricted cash for securitization investors, beginning of the period</w:t>
            </w: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22,054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40,771</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13,749</w:t>
            </w:r>
          </w:p>
        </w:tc>
      </w:tr>
      <w:tr>
        <w:trPr>
          <w:trHeight w:val="147"/>
        </w:trPr>
        <w:tc>
          <w:tcPr>
            <w:tcW w:w="7840" w:type="dxa"/>
            <w:vAlign w:val="bottom"/>
            <w:tcBorders>
              <w:bottom w:val="single" w:sz="8" w:color="CCEEFF"/>
            </w:tcBorders>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Cash, cash equivalents and restricted cash for securitization investors, end of the period</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31,256</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22,054</w:t>
            </w: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40,771</w:t>
            </w:r>
          </w:p>
        </w:tc>
      </w:tr>
      <w:tr>
        <w:trPr>
          <w:trHeight w:val="110"/>
        </w:trPr>
        <w:tc>
          <w:tcPr>
            <w:tcW w:w="78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Supplemental cash flow information:</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Non-cash items: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Net transfers from loans held for investment to loans held for sale</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697</w:t>
            </w:r>
          </w:p>
        </w:tc>
        <w:tc>
          <w:tcPr>
            <w:tcW w:w="8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4,843</w:t>
            </w:r>
          </w:p>
        </w:tc>
        <w:tc>
          <w:tcPr>
            <w:tcW w:w="60" w:type="dxa"/>
            <w:vAlign w:val="bottom"/>
          </w:tcPr>
          <w:p>
            <w:pPr>
              <w:spacing w:after="0"/>
              <w:rPr>
                <w:sz w:val="11"/>
                <w:szCs w:val="11"/>
                <w:color w:val="auto"/>
              </w:rPr>
            </w:pP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2,192</w:t>
            </w:r>
          </w:p>
        </w:tc>
      </w:tr>
      <w:tr>
        <w:trPr>
          <w:trHeight w:val="14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paid</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3,609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2,158</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3,580</w:t>
            </w:r>
          </w:p>
        </w:tc>
      </w:tr>
      <w:tr>
        <w:trPr>
          <w:trHeight w:val="125"/>
        </w:trPr>
        <w:tc>
          <w:tcPr>
            <w:tcW w:w="7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Income tax paid</w:t>
            </w: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1,852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2,527</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988</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Notes to Consolidated Financial Statements.</w:t>
      </w:r>
    </w:p>
    <w:p>
      <w:pPr>
        <w:spacing w:after="0" w:line="1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168910</wp:posOffset>
            </wp:positionV>
            <wp:extent cx="72034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Company</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Capital One Financial Corporation, a Delaware Corporation established in 1994 and headquartered in McLean, Virginia, is a diversified financial services holding company with banking and non-banking subsidiaries. Capital One Financial Corporation and its subsidiaries (the “Company”) offer a broad array of financial products and services to consumers, small businesses and commercial clients through digital channels, branches, cafés and other distribution channels.</w:t>
      </w:r>
    </w:p>
    <w:p>
      <w:pPr>
        <w:spacing w:after="0" w:line="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As of December 31, 2022, Capital One Financial Corporation’s principal operating subsidiary was Capital One, National Association (“CONA”). On October 1, 2022, the Company completed the merger of Capital One Bank (USA), National Association (“COBNA”), with and into CONA, with CONA as the surviving entity (the “Bank Merger”).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is hereafter collectively referred to as “we,” “us” or “our.” References to the “Bank” shall mean and refer to (i) CONA from and after the Bank Merger and (ii) CONA and COBNA collectively prior to the Bank Merger.</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also offer products outside of the United States of America (“U.S.”) principally through Capital One (Europe) plc (“COEP”), an indirect subsidiary of CONA organized and located in the United Kingdom (“U.K.”), and through a branch of CONA in Canada. Both COEP and our Canadian branch of CONA have the authority to provide credit card loans.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principal operations are organized for management reporting purposes into three major business segments, which are defined primarily based on the products and services provided or the types of customer served: Credit Card, Consumer Banking and Commercial Banking. We provide details on our business segments, the integration of recent acquisitions, if any, into our business segments and the allocation methodologies and accounting policies used to derive our business segment results in “Note 17—Business Segments and Revenue from Contracts with Customers.”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 and Use of Estimates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in accordance with generally accepted accounting principles in the U.S. (“U.S. GAAP”). The preparation of the consolidated financial statements in conformity with U.S. GAAP requires management to make estimates and assumptions that affect the amounts reported in the consolidated financial statements and in the related disclosures. These estimates are based on information available as of the date of the consolidated financial statements. While management makes its best judgments, actual amounts or results could differ from these estimates.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Principles of Consolidation</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consolidated financial statements include the accounts of Capital One Financial Corporation and all other entities in which we have a controlling financial interest. We determine whether we have a controlling financial interest in an entity by first evaluating whether the entity is a voting interest entity (“VOE”) or a variable interest entity (“VIE”). All significant intercompany account balances and transactions have been eliminated.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Interest Entities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VOEs are entities that have sufficient equity and provide the equity investors voting rights that give them the power to make significant decisions relating to the entity’s operations. Since a controlling financial interest in an entity is typically obtained through ownership of a majority voting interest, we consolidate our majority-owned subsidiaries and other voting interest entities in which we hold, directly or indirectly, more than 50% of the voting rights or where we exercise control through other contractual rights.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Investments in which we do not hold a controlling financial interest but have significant influence over the entity’s financial and operating decisions are accounted for under the equity method. If we do not have significant influence, we measure equity investments at fair value with changes in fair value recorded through net income, except those that do not have a readily determinable fair value (for which a measurement alternative is applied). We report equity investments in other assets on our consolidated balance sheets and include our share of income or loss and dividends from those investments in other non-interest income in our consolidated statements of income.</w:t>
      </w:r>
    </w:p>
    <w:p>
      <w:pPr>
        <w:spacing w:after="0" w:line="200" w:lineRule="exact"/>
        <w:rPr>
          <w:sz w:val="20"/>
          <w:szCs w:val="20"/>
          <w:color w:val="auto"/>
        </w:rPr>
      </w:pPr>
    </w:p>
    <w:p>
      <w:pPr>
        <w:spacing w:after="0" w:line="383"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72034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Variable Interest Entities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VIEs are entities that, by design, either (i) lack sufficient equity to permit the entity to finance its activities without additional subordinated financial support from other parties; or (ii) have equity investors that do not have the ability to make significant decisions relating to the entity’s operations through voting rights, or do not have the obligation to absorb the expected losses, or do not have the right to receive the residual returns of the entity. The entity that is deemed the primary beneficiary of a VIE is required to consolidate the VIE. An entity is deemed to be the primary beneficiary of a VIE if that entity has both (i) the power to direct the activities of the VIE that most significantly impact the VIE’s economic performance; and (ii) the obligation to absorb losses or the right to receive benefits that could potentially be significant to the VIE.</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determining whether we are the primary beneficiary of a VIE, we consider both qualitative and quantitative factors regarding the nature, size and form of our involvement with the VIE, such as our role in establishing the VIE and our ongoing rights and responsibilities; our economic interests, including debt and equity investments, servicing fees and other arrangements deemed to be variable interests in the VIE; the design of the VIE, including the capitalization structure, subordination of interests, payment priority, relative share of interests held across various classes within the VIE’s capital structure and the reasons why the interests are held by us.</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perform on-going reassessments to evaluate whether changes in an entity’s capital structure or changes in the nature of our involvement with the entity result in a change to the VIE designation or a change to our consolidation conclusion. See “Note 5—Variable Interest Entities and Securitizations” for further details.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Balance Sheet Offsetting of Financial Assets and Liabilities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Derivative contracts that we execute bilaterally in the over-the-counter (“OTC”) market or are centrally cleared are generally governed by enforceable master netting agreements where we generally have the right to offset exposure with the same counterparty. Either counterparty can generally request to net settle all contracts through a single payment upon default on, or termination of, any one contract. We elect to offset the derivative assets and liabilities under master netting agreements for balance sheet presentation where a right of setoff exists. For derivative contracts entered into under master netting agreements for which we have not been able to confirm the enforceability of the setoff rights, or those not subject to master netting agreements, we do not offset our derivative positions for balance sheet presentation. See “Note 9—Derivative Instruments and Hedging Activities” for more details.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also elect to present securities purchased or sold under resale or repurchase agreements on a net basis when a legally enforceable master netting agreement exists and other applicable criteria are met. Security collateral received from or pledged to the counterparties are not eligible for netting and are presented gross in our consolidated balance sheet. See “Note 8—Deposits and Borrowings” and “Note 9—Derivative Instruments and Hedging Activities” for more details.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and Cash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and cash equivalents include cash and due from banks, interest-bearing deposits and other short-term investments, all of which, if applicable, have stated maturities of three months or less when acquired.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Securities Resale and Repurchase Agreements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Securities purchased under resale agreements and securities loaned or sold under agreements to repurchase, principally U.S. government and agency obligations, are not accounted for as sales but as collateralized financing transactions and recorded at the amounts at which the securities were acquired or sold, plus accrued interest. We continually monitor the market value of these securities and deliver additional collateral to or obtain additional collateral from counterparties, as appropriate. See “Note 8—Deposits and Borrowings”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 Securities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investment portfolio consists primarily of the following: U.S. Treasury securities; U.S. government-sponsored enterprise or agency (“Agency”) and non-agency residential mortgage-backed securities (“RMBS”); Agency commercial mortgage-backed securities (“CMBS”); and other securities. The accounting and measurement framework for our investment securities differs depending on the security classification.</w:t>
      </w:r>
    </w:p>
    <w:p>
      <w:pPr>
        <w:spacing w:after="0" w:line="200" w:lineRule="exact"/>
        <w:rPr>
          <w:sz w:val="20"/>
          <w:szCs w:val="20"/>
          <w:color w:val="auto"/>
        </w:rPr>
      </w:pPr>
    </w:p>
    <w:p>
      <w:pPr>
        <w:spacing w:after="0" w:line="36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classify securities as available for sale or held to maturity based on our investment strategy and management’s assessment of our intent and ability to hold the securities until maturity. We did not have any securities that were classified as held to maturity as of December 31, 2022 and 2021.</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report securities available for sale on our consolidated balance sheets at fair value. The amortized cost of investment securities reflects the amount for which the security was acquired, adjusted for accrued interest, amortization of premiums, discounts, and net deferred fees and costs, any applicable fair value hedge accounting adjustments, collection of cash, and charge-offs. Unrealized gains or losses are recorded, net of tax, as a component of accumulated other comprehensive income (“AOCI”). Unamortized premiums, discounts and other basis adjustments for available for sale securities are generally recognized in interest income over the contractual lives of the securities using the interest method. However, premiums on certain callable investment securities are amortized to the earliest call date. We record purchases and sales of investment securities available for sale on a trade date basis. Realized gains or losses from the sale of debt securities are computed using the first-in first-out method of identification, and are included in non-interest income in our consolidated statements of income. We elect to present accrued interest for securities available for sale within interest receivable on our consolidated balance sheets.</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An individual debt security is impaired when the fair value of the security is less than its amortized cost. If we intend to sell an available for sale security in an unrealized loss position or it is more likely than not that we will be required to sell the security prior to recovery of its amortized cost basis, any allowance for credit losses is reversed through our provision for credit losses and the difference between the amortized cost basis of the security and its fair value is recognized in our consolidated statements of income.</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impaired debt securities that we have both the intent and ability to hold, the securities are evaluated to determine if a credit loss exists. The allowance for credit losses on our investment securities is recognized through our provision for credit losses and limited by the unrealized losses of a security measured as the difference between the security’s amortized cost and fair value. See further discussion below under the “Allowance for Credit Losses - Available for Sale Investment Securities” section of this Note.</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investment portfolio also includes certain debt securities that, at the time of purchase, had experienced a more-than-insignificant deterioration in credit quality since origination. Such debt securities are accounted for in accordance with accounting guidance for purchased financial assets with credit deterioration and are herein referred to as purchased credit-deteriorated (“PCD”) securities.</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PCD securities require the recognition of an allowance for credit losses at the time of acquisition. The allowance for credit losses is not recognized in provision for credit losses. Instead, the purchase price and the initial allowance collectively represent the amortized cost basis of a PCD security. Any non-credit discount or premium at the date of acquisition is amortized into interest income over the remaining life of the security. Subsequent to the date of purchase, we remeasure the allowance for credit losses on the amortized cost basis using the same policies as for other debt securities available for sale and changes are recognized through our provision for credit losses. See further discussion below under the “Allowance for Credit Losses - Available for Sale Investment Securities” section of this Note.</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charge off any portion of an investment security that we determine is uncollectible. The amortized cost basis, excluding accrued interest, is charged off through the allowance for credit losses. Accrued interest is charged off as a reduction to interest income. Recoveries of previously charged off principal amounts are recognized in our provision for credit losses when received.</w:t>
      </w:r>
    </w:p>
    <w:p>
      <w:pPr>
        <w:spacing w:after="0" w:line="200" w:lineRule="exact"/>
        <w:rPr>
          <w:sz w:val="20"/>
          <w:szCs w:val="20"/>
          <w:color w:val="auto"/>
        </w:rPr>
      </w:pPr>
    </w:p>
    <w:p>
      <w:pPr>
        <w:spacing w:after="0" w:line="36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Allowance for Credit Losses - Available for Sale Investment Securities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maintain an allowance for credit losses that represents management’s current estimate of expected credit losses over the contractual terms of our investment securities classified as available for sale. When an investment security available for sale is impaired due to credit factors, we recognize a provision for credit losses in our consolidated statements of income and an allowance for credit losses on our consolidated balance sheets. Credit losses recognized in the allowance for credit losses are limited to the amount by which the investment security’s amortized cost basis exceeds its fair value. Investment securities in unrealized gain positions do not have an allowance for credit losses as the investment security could be sold at its fair value to prevent realization of any credit losses. We exclude accrued interest from the fair value and amortized cost basis of an investment security for purposes of measuring impairment. Charge-offs of uncollectible amounts of investment securities are deducted from the allowance for credit losses.</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certain of our securities available for sale, we have determined that there is no risk of impairment due to credit factors. These investment securities include high quality debt instruments that are issued and guaranteed by the United States government and its agencies, certain government-sponsored enterprises, and certain foreign sovereign governments or supranational organizations. Management performs periodic assessments to reevaluate this conclusion by considering any changes in historical losses, current conditions, and reasonable and supportable forecasts.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evaluate impairment on a quarterly basis at the individual security level and determine whether any portion of the decline in fair value is due to a credit loss. We make this determination through the use of quantitative and qualitative analyses. Our qualitative analysis includes factors such as the extent to which fair value is less than amortized cost, any changes in the security’s credit rating, past defaults or delayed payments, and adverse conditions impacting the security or issuer. A credit loss exists to the extent that management does not expect to recover the amortized cost basis.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 investment securities which require further assessment, we perform a quantitative analysis using a discounted cash flow methodology and compare the present value of expected future cash flows from the security available for sale to the security’s amortized cost basis. Projected future cash flows reflect management’s best estimate and are based on our understanding of past events, current conditions, reasonable and supportable forecasts, and are discounted by the security’s effective interest rate adjusted for prepayments. The allowance for credit losses for investment securities reflects the difference by which the amortized cost basis exceeds the present value of future cash flows and is limited to the amount by which the security’s amortized cost exceeds its fair value. See “Note 2—Investment Securities”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Loans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loan portfolio consists of loans held for investment, including loans held in our consolidated securitization trusts, and loans held for sale and is divided into three portfolio segments: credit card, consumer banking and commercial banking loans. Credit card loans consist of domestic and international credit card loans. Consumer banking loans consist of auto and retail banking loans. Commercial banking loans consist of commercial and multifamily real estate loans as well as commercial and industrial loans.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Loan Classification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classify loans as held for investment or held for sale based on our investment strategy and management’s intent and ability with regard to the loans, which may change over time. The accounting and measurement framework for loans differs depending on the loan classification, whether we elect the fair value option, whether the loans are originated or purchased and whether purchased loans are considered to have experienced a more-than-insignificant deterioration in credit quality since origination. The presentation within the consolidated statements of cash flows is based on management’s intent at acquisition or origination. Cash flows related to loans that are acquired or originated with the intent to hold for investment are included in cash flows from investing activities on our consolidated statements of cash flows. Cash flows related to loans that are acquired or originated with the intent to sell are included in cash flows from operating activities on our consolidated statements of cash flows.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Loans Held for Investment</w:t>
      </w:r>
    </w:p>
    <w:p>
      <w:pPr>
        <w:spacing w:after="0" w:line="11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Loans that we have the ability and intent to hold for the foreseeable future and loans associated with consolidated securitization transactions are classified as held for investment. Loans classified as held for investment, except for credit card loans, are reported at their amortized cost basis, excluding accrued interest. For these loans, we elect to present accrued interest within</w:t>
      </w:r>
    </w:p>
    <w:p>
      <w:pPr>
        <w:spacing w:after="0" w:line="200" w:lineRule="exact"/>
        <w:rPr>
          <w:sz w:val="20"/>
          <w:szCs w:val="20"/>
          <w:color w:val="auto"/>
        </w:rPr>
      </w:pPr>
    </w:p>
    <w:p>
      <w:pPr>
        <w:spacing w:after="0" w:line="36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interest receivable on our consolidated balance sheets. For credit card loans classified as held for investment, earned finance charges and fees are included in either loans held for investment (if they have been billed to the customer) or interest receivable (if they have not yet been billed to the customer).</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Interest income is recognized on performing loans on an accrual basis. We defer loan origination fees and direct loan origination costs on originated loans, premiums and discounts on purchased loans and loan commitment fees. We recognize these amounts in interest income as yield adjustments over the life of the loan and/or commitment period using the interest method. For credit card loans, loan origination fees and direct loan origination costs are amortized on a straight-line basis over a 12-month period. The amortized cost of loans held for investment is subject to our allowance for credit losses methodology described below under the “Allowance for Credit Losses - Loans Held for Investment” section of this Note.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Loans Held for Sale</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Loans that we intend to sell or for which we do not have the ability and intent to hold for the foreseeable future are classified as held for sale. Multifamily commercial real estate loans originated with the intent to sell to government-sponsored enterprises are accounted for under the fair value option. We elect the fair value option on these loans as part of our management of interest rate risk along with the corresponding forward sale commitments. Loan origination fees and direct loan origination costs are recognized as incurred and are reported in other non-interest income in the consolidated statements of income. Interest income is calculated based on the loan's stated rate of interest and is reported in interest income in the consolidated statements of income. Fair value adjustments are recorded in other non-interest income in the consolidated statements of income.</w:t>
      </w:r>
    </w:p>
    <w:p>
      <w:pPr>
        <w:spacing w:after="0" w:line="12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All other loans classified as held for sale are recorded at the lower of cost or fair value. Loan origination fees, direct loan origination costs and any discounts and premiums are deferred until the loan is sold and are then recognized as part of the total gain or loss on sale. The fair value of loans held for sale is determined on an aggregate portfolio basis for each loan type. Fair value adjustments are recorded in other non-interest income in the consolidated statements of income.</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If a loan is transferred from held for investment to held for sale, then on the transfer date, any decline in fair value related to credit is recorded as a charge-off and any remaining allowance for credit losses is reversed through our provision for credit losses. The loan is then reclassified to held for sale at its amortized cost at the date of the transfer. A valuation allowance is established, if needed, such that the loan held for sale is recorded at the lower of cost or fair value. Subsequent to transfer, we report write-downs or recoveries in fair value up to the carrying value at the date of transfer and realized gains or losses on loans held for sale in our consolidated statements of income as a component of other non-interest income. We calculate the gain or loss on loan sales as the difference between the proceeds received and the carrying value of the loans sold, net of the fair value of any interests retained.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Loans Acquired</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All purchased loans, including loans transferred in a business combination, are initially recorded at fair value, which includes consideration of expected future losses, as of the date of the acquisition. To determine the fair value of loans at acquisition, we estimate discounted contractual cash flows due using an observable market rate of interest, when available, adjusted for factors that a market participant would consider in determining fair value. In determining fair value, contractual cash flows are adjusted to include prepayment estimates based upon historical payment trends, forecasted default rates and loss severities and other relevant factors. The difference between the fair value and the contractual cash flows is recorded as a loan premium or discount, which may relate to either credit or non-credit factors, at acquisition.</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account for purchased loans under the accounting guidance for purchased financial assets with credit deterioration when, at the time of purchase, the loans have experienced a more-than-insignificant deterioration in credit quality since origination. We refer to these loans which are accounted for under accounting guidance for purchased financial assets with more-than-insignificant deterioration in credit quality since origination as “PCD loans.”</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recognize an allowance for credit losses on purchased loans that have not experienced a more-than-insignificant deterioration in credit quality since origination at the time of purchase through earnings in a manner that is consistent with originated loans. The policies relating to the allowance for credit losses on loans is described below in the “Allowance for Credit Losses - Loans Held for Investment” section of this Note.</w:t>
      </w:r>
    </w:p>
    <w:p>
      <w:pPr>
        <w:spacing w:after="0" w:line="200" w:lineRule="exact"/>
        <w:rPr>
          <w:sz w:val="20"/>
          <w:szCs w:val="20"/>
          <w:color w:val="auto"/>
        </w:rPr>
      </w:pPr>
    </w:p>
    <w:p>
      <w:pPr>
        <w:spacing w:after="0" w:line="36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Loan Modifications and Restructurings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part of our loss mitigation efforts, we may provide modifications to a borrower experiencing financial difficulty to improve long-term collectability of the loan and to avoid the need for foreclosure or repossession of collateral, if any. Our loan modifications typically include short-term payment deferrals, an extension of the loan term, a reduction in the interest rate, a reduction in the loan balance, or a combination of these modifications. A loan modification in which a concession is granted to a borrower experiencing financial difficulty is accounted for and reported as a troubled debt restructuring (“TDR”). See “Note 3—Loans” for additional information on our loan modifications and restructurings, including those in response to the COVID-19 pandemic.</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Delinquent and Nonperforming Loans</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entire balance of a loan is considered contractually delinquent if the minimum required payment is not received by the first statement cycle date equal to or following the due date specified on the customer’s billing statement. Delinquency is reported on loans that are 30 or more days past due. Interest and fees continue to accrue on past due loans until the date the loan is placed on nonaccrual status, if applicable. For loan modifications, delinquency and nonaccrual status are reported in accordance with the revised terms of the loans. We generally place loans on nonaccrual status when we believe the collectability of interest and principal is not reasonably assured.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Nonperforming loans generally include loans that have been placed on nonaccrual status. Loans classified as held for sale are excluded from nonperforming classification consideration.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policies for classifying loans as nonperforming, by loan category, are as follows:</w:t>
      </w:r>
    </w:p>
    <w:p>
      <w:pPr>
        <w:spacing w:after="0" w:line="112" w:lineRule="exact"/>
        <w:rPr>
          <w:sz w:val="20"/>
          <w:szCs w:val="20"/>
          <w:color w:val="auto"/>
        </w:rPr>
      </w:pPr>
    </w:p>
    <w:p>
      <w:pPr>
        <w:jc w:val="both"/>
        <w:ind w:left="320" w:hanging="220"/>
        <w:spacing w:after="0" w:line="266" w:lineRule="auto"/>
        <w:tabs>
          <w:tab w:leader="none" w:pos="317"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w:t>
      </w:r>
      <w:r>
        <w:rPr>
          <w:rFonts w:ascii="Times New Roman" w:cs="Times New Roman" w:eastAsia="Times New Roman" w:hAnsi="Times New Roman"/>
          <w:sz w:val="12"/>
          <w:szCs w:val="12"/>
          <w:i w:val="1"/>
          <w:iCs w:val="1"/>
          <w:color w:val="auto"/>
        </w:rPr>
        <w:t>redit card loans:</w:t>
      </w:r>
      <w:r>
        <w:rPr>
          <w:rFonts w:ascii="Times New Roman" w:cs="Times New Roman" w:eastAsia="Times New Roman" w:hAnsi="Times New Roman"/>
          <w:sz w:val="12"/>
          <w:szCs w:val="12"/>
          <w:color w:val="auto"/>
        </w:rPr>
        <w:t xml:space="preserve"> As permitted by regulatory guidance issued by the Federal Financial Institutions Examination Council (“FFIEC”), our policy is generally to exempt credit card loans from being classified as nonperforming, as these loans are generally charged off in the period the account becomes 180 days past due. Consistent with industry conventions, we generally continue to accrue interest and fees on delinquent credit card loans until the loans are charged off.</w:t>
      </w:r>
    </w:p>
    <w:p>
      <w:pPr>
        <w:spacing w:after="0" w:line="81" w:lineRule="exact"/>
        <w:rPr>
          <w:rFonts w:ascii="Times New Roman" w:cs="Times New Roman" w:eastAsia="Times New Roman" w:hAnsi="Times New Roman"/>
          <w:sz w:val="12"/>
          <w:szCs w:val="12"/>
          <w:color w:val="auto"/>
        </w:rPr>
      </w:pPr>
    </w:p>
    <w:p>
      <w:pPr>
        <w:ind w:left="320" w:hanging="220"/>
        <w:spacing w:after="0" w:line="283" w:lineRule="auto"/>
        <w:tabs>
          <w:tab w:leader="none" w:pos="317"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Consumer banking loans: </w:t>
      </w:r>
      <w:r>
        <w:rPr>
          <w:rFonts w:ascii="Times New Roman" w:cs="Times New Roman" w:eastAsia="Times New Roman" w:hAnsi="Times New Roman"/>
          <w:sz w:val="12"/>
          <w:szCs w:val="12"/>
          <w:color w:val="auto"/>
        </w:rPr>
        <w:t>We classify consumer banking loans as nonperforming when we determine that the collectability of all interest and principal on the loan is not reasonably assured, generally when the loan becomes 90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days past due.</w:t>
      </w:r>
    </w:p>
    <w:p>
      <w:pPr>
        <w:spacing w:after="0" w:line="70"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Commercial banking loans</w:t>
      </w:r>
      <w:r>
        <w:rPr>
          <w:rFonts w:ascii="Times New Roman" w:cs="Times New Roman" w:eastAsia="Times New Roman" w:hAnsi="Times New Roman"/>
          <w:sz w:val="12"/>
          <w:szCs w:val="12"/>
          <w:color w:val="auto"/>
        </w:rPr>
        <w:t>: We classify commercial banking loans as nonperforming as of the date we determine that the collectability of all interest and principal on the loan is not reasonably assured.</w:t>
      </w:r>
    </w:p>
    <w:p>
      <w:pPr>
        <w:spacing w:after="0" w:line="114" w:lineRule="exact"/>
        <w:rPr>
          <w:rFonts w:ascii="Times New Roman" w:cs="Times New Roman" w:eastAsia="Times New Roman" w:hAnsi="Times New Roman"/>
          <w:sz w:val="12"/>
          <w:szCs w:val="12"/>
          <w:color w:val="auto"/>
        </w:rPr>
      </w:pPr>
    </w:p>
    <w:p>
      <w:pPr>
        <w:ind w:left="320" w:hanging="220"/>
        <w:spacing w:after="0" w:line="283" w:lineRule="auto"/>
        <w:tabs>
          <w:tab w:leader="none" w:pos="317"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Modified loans and troubled debt restructurings: </w:t>
      </w:r>
      <w:r>
        <w:rPr>
          <w:rFonts w:ascii="Times New Roman" w:cs="Times New Roman" w:eastAsia="Times New Roman" w:hAnsi="Times New Roman"/>
          <w:sz w:val="12"/>
          <w:szCs w:val="12"/>
          <w:color w:val="auto"/>
        </w:rPr>
        <w:t>Modified loans, including TDRs, that are current at the time of the restructuring remain in accrual status if there is demonstrated performance prior to the restructuring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continued performance under the modified terms is expected. Otherwise, the modified loan is classified as nonperforming.</w:t>
      </w:r>
    </w:p>
    <w:p>
      <w:pPr>
        <w:spacing w:after="0" w:line="7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Interest and fees accrued but not collected at the date a loan is placed on nonaccrual status are reversed against earnings. In addition, the amortization of deferred loan fees, costs, premiums and discounts is suspended. Interest and fee income are subsequently recognized only upon the receipt of cash payments. However, if there is doubt regarding the ultimate collectability of loan principal, cash received is generally applied against the principal balance of the loan. Nonaccrual loans are generally returned to accrual status when all principal and interest is current and repayment of the remaining contractual principal and interest is reasonably assured, or when the loan is both well-secured and in the process of collection and collectability is no longer doubtful.</w:t>
      </w:r>
    </w:p>
    <w:p>
      <w:pPr>
        <w:spacing w:after="0" w:line="200" w:lineRule="exact"/>
        <w:rPr>
          <w:sz w:val="20"/>
          <w:szCs w:val="20"/>
          <w:color w:val="auto"/>
        </w:rPr>
      </w:pPr>
    </w:p>
    <w:p>
      <w:pPr>
        <w:spacing w:after="0" w:line="37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Charge-Offs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charge off loans when we determine that the loan is uncollectible. The amortized cost basis, excluding accrued interest, is charged off as a reduction to the allowance for credit losses based on the time frames presented below. Accrued interest on loans other than credit card loans determined to be uncollectible is reversed as a reduction of interest income when the loan is classified as nonperforming. For credit card loans, accrued interest is charged off simultaneously with the charge off of other components of amortized cost and as a reduction of interest income. When received, recoveries of previously charged off amounts are recorded as an increase to the allowance for credit losses (see the “Allowance for Credit Losses - Loans Held for Investment” section of this Note for information on how we account for expected recoveries). Costs to recover charged off loans are recorded as collection expense and included in our consolidated statements of income as a component of other non-interest expense as incurred. Our charge-off time frames by loan type are presented below.</w:t>
      </w:r>
    </w:p>
    <w:p>
      <w:pPr>
        <w:spacing w:after="0" w:line="87" w:lineRule="exact"/>
        <w:rPr>
          <w:sz w:val="20"/>
          <w:szCs w:val="20"/>
          <w:color w:val="auto"/>
        </w:rPr>
      </w:pPr>
    </w:p>
    <w:p>
      <w:pPr>
        <w:jc w:val="both"/>
        <w:ind w:left="320" w:right="20" w:hanging="220"/>
        <w:spacing w:after="0" w:line="266" w:lineRule="auto"/>
        <w:tabs>
          <w:tab w:leader="none" w:pos="317"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Credit card loans</w:t>
      </w:r>
      <w:r>
        <w:rPr>
          <w:rFonts w:ascii="Times New Roman" w:cs="Times New Roman" w:eastAsia="Times New Roman" w:hAnsi="Times New Roman"/>
          <w:sz w:val="12"/>
          <w:szCs w:val="12"/>
          <w:color w:val="auto"/>
        </w:rPr>
        <w:t>: We generally charge off credit card loans in the period the account becomes 180 days past due. We charge off delinquent credit card loans for which revolving privileges have been revoked as part of loan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workout when the account becomes 120 days past due. Credit card loans in bankruptcy are generally charged off by the end of the month following 30 days after the receipt of a complete bankruptcy notification from the bankruptcy court. Credit card loans of deceased account holders are generally charged off 5 days after receipt of notification.</w:t>
      </w:r>
    </w:p>
    <w:p>
      <w:pPr>
        <w:spacing w:after="0" w:line="81" w:lineRule="exact"/>
        <w:rPr>
          <w:rFonts w:ascii="Times New Roman" w:cs="Times New Roman" w:eastAsia="Times New Roman" w:hAnsi="Times New Roman"/>
          <w:sz w:val="12"/>
          <w:szCs w:val="12"/>
          <w:color w:val="auto"/>
        </w:rPr>
      </w:pPr>
    </w:p>
    <w:p>
      <w:pPr>
        <w:jc w:val="both"/>
        <w:ind w:left="320" w:hanging="220"/>
        <w:spacing w:after="0" w:line="258" w:lineRule="auto"/>
        <w:tabs>
          <w:tab w:leader="none" w:pos="317"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Consumer banking loans: </w:t>
      </w:r>
      <w:r>
        <w:rPr>
          <w:rFonts w:ascii="Times New Roman" w:cs="Times New Roman" w:eastAsia="Times New Roman" w:hAnsi="Times New Roman"/>
          <w:sz w:val="12"/>
          <w:szCs w:val="12"/>
          <w:color w:val="auto"/>
        </w:rPr>
        <w:t>We generally charge off consumer banking loans at the earlier of the date when the account is a specified number of days past due or upon repossession of the underlying collateral. Our charge-off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period for auto loans is 120 days past due. Small business banking loans generally charge off at 120 days past due or based on the date the amortized cost basis is deemed uncollectible. Auto loans that have not been previously charged off where the borrower has filed for bankruptcy and the loan has not been reaffirmed charge off in the period that the loan is 60 days from the bankruptcy notification date, regardless of delinquency status. Auto loans that have not been previously charged off and have been discharged under Chapter 7 bankruptcy are charged off at the end of the month in which the bankruptcy discharge occurs. Remaining consumer loans generally are charged off within 40 days of receipt of notification from the bankruptcy court. Consumer loans of deceased account holders are charged off by the end of the month following 60 days of receipt of notification.</w:t>
      </w:r>
    </w:p>
    <w:p>
      <w:pPr>
        <w:spacing w:after="0" w:line="86"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Commercial banking loans: </w:t>
      </w:r>
      <w:r>
        <w:rPr>
          <w:rFonts w:ascii="Times New Roman" w:cs="Times New Roman" w:eastAsia="Times New Roman" w:hAnsi="Times New Roman"/>
          <w:sz w:val="12"/>
          <w:szCs w:val="12"/>
          <w:color w:val="auto"/>
        </w:rPr>
        <w:t>We charge off commercial loans in the period we determine that the amortized cost basis is uncollectible.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Allowance for Credit Losses - Loans Held for Investment</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maintain an allowance for credit losses (“allowance”) that represents management’s current estimate of expected credit losses over the contractual terms of our loans held for investment. We measure the allowance on a quarterly basis through consideration of past events, including historical experience, current conditions and reasonable and supportable forecasts.</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measure current expected credit losses over the contractual terms of our loans. The contractual terms are adjusted for expected prepayments but are not extended for renewals or extensions, except when an extension or renewal arises from a borrower option that is not unconditionally cancellable or through a TDR that is reasonably expected to occur.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aggregate loans sharing similar risk characteristics into pools for purposes of measuring expected credit losses. Pools are reassessed periodically to confirm that all loans within each pool continue to share similar risk characteristics.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Expected credit losses for loans that do not share similar risk characteristics with other financial assets are measured individually.</w:t>
      </w:r>
    </w:p>
    <w:p>
      <w:pPr>
        <w:spacing w:after="0" w:line="1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Expected recoveries of amounts previously charged off or expected to be charged off are recognized within the allowance, with a corresponding reduction to our provision for credit losses. At times expected recoveries may result in a negative allowance. We limit the allowance recovery expectations to amounts previously charged off and expected to be charged off. Charge-offs of uncollectible amounts result in a reduction to the allowance and recoveries of previously charged off amounts result in an increase to the allowance.</w:t>
      </w:r>
    </w:p>
    <w:p>
      <w:pPr>
        <w:spacing w:after="0" w:line="200" w:lineRule="exact"/>
        <w:rPr>
          <w:sz w:val="20"/>
          <w:szCs w:val="20"/>
          <w:color w:val="auto"/>
        </w:rPr>
      </w:pPr>
    </w:p>
    <w:p>
      <w:pPr>
        <w:spacing w:after="0" w:line="37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129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When developing an estimate of expected credit losses, we use both quantitative and qualitative methods in considering all available information relevant to assessing collectability. This may include internal information, external information, or a combination of both relating to past events, current conditions, and reasonable and supportable forecasts. Significant judgment is applied to the development and duration of reasonable and supportable forecasts used in our estimation of lifetime losses. We estimate expected credit losses over the duration of those forecasts and then revert, on a rational and systematic basis, to historical losses at each relevant loss component of the estimate. Expected losses for contractual terms extending beyond the reasonable and supportable forecast and reversion periods are based on those historical losses.</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Management will consider and may qualitatively adjust for conditions, changes and trends in loan portfolios that may not be captured in modeled results. These adjustments are referred to as qualitative factors and represent management’s judgment of the imprecision and risks inherent in the processes and assumptions used in establishing the allowance for credit losses. Management’s judgment may involve an assessment of current and forward-looking conditions including but not limited to changes in lending policies and procedures, nature and volume of the portfolio, external factors, and uncertainty as it relates to economic, model or forecast risks, where not already captured in the modeled results.</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Expected credit losses for collateral-dependent loans are based on the fair value of the underlying collateral. When we intend to liquidate the collateral, the fair value of the collateral is adjusted for expected costs to sell. A loan is deemed to be a collateral-dependent loan when (i) we determine foreclosure or repossession of the underlying collateral is probable, or (ii) foreclosure or repossession is not probable, but the borrower is experiencing financial difficulty and we expect repayment to be provided substantially through the operation or sale of the collateral. The allowance for a collateral-dependent loan reflects the difference between the loan’s amortized cost basis and the fair value (less selling costs, where applicable) of the loan’s underlying collateral.</w:t>
      </w:r>
    </w:p>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credit card and consumer banking loan portfolios consist of smaller-balance, homogeneous loans. The consumer banking loan portfolio is divided into two primary portfolio segments: auto loans and retail banking loans. We assess our credit card and consumer banking loan portfolios based on common risk characteristics, such as origination year, contract type, interest rate, borrower credit score and geography. The commercial banking loan portfolio is primarily composed of larger-balance, non-homogeneous loans. These loans are subject to reviews that result in internal risk ratings. In assessing the risk rating of a particular commercial banking loan, among the factors we consider are the financial condition of the borrower, geography, collateral performance, historical loss experience and industry-specific information that management believes is relevant in determining and measuring expected credit losses. Subjective assessment and interpretation are involved. Emphasizing one factor over another or considering additional factors could impact the risk rating assigned to that commercial banking loan.</w:t>
      </w:r>
    </w:p>
    <w:p>
      <w:pPr>
        <w:spacing w:after="0" w:line="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 consumer banking and commercial banking loans, the contractual period typically does not include renewals or extensions because the renewals and extensions are generally not at the borrower’s exclusive option to exercise. The undrawn credit exposure associated with our credit card loans is unconditionally cancellable. For this reason, expected credit losses are measured based only on the drawn balance at each quarterly measurement date and not on the undrawn exposure. Because credit card loans do not have a defined contractual life, management estimates both the volume and application of payments to determine a contractual life of the drawn balance at the measurement date over which expected credit losses are developed for credit card loans.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With the exception of credit card loans, we have made a policy election to not measure an allowance on accrued interest for loans held for investment because we reverse uncollectible accrued interest in a timely manner. See the “Delinquent and Nonperforming Loans” and “Charge-Offs - Loans” sections of this Note for information on what we consider timely. For credit card loans, we do not make this election, as we reserve for uncollectible accrued interest relating to credit card loans in the allowance.</w:t>
      </w:r>
    </w:p>
    <w:p>
      <w:pPr>
        <w:spacing w:after="0" w:line="200" w:lineRule="exact"/>
        <w:rPr>
          <w:sz w:val="20"/>
          <w:szCs w:val="20"/>
          <w:color w:val="auto"/>
        </w:rPr>
      </w:pPr>
    </w:p>
    <w:p>
      <w:pPr>
        <w:spacing w:after="0" w:line="37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130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allowance related to credit card and consumer banking loans assessed on a pooled basis is based on a modeled calculation, which is supplemented by management judgment as described above. Because of the homogeneous nature of our consumer loan portfolios, the allowance is based on the aggregated portfolio segment evaluations. The allowance is established through a process that begins with estimates of historical losses in each pool based upon various statistical analyses, with adjustments for current conditions and reasonable and supportable forecasts of conditions, which includes expected economic conditions. Loss forecast models are utilized to estimate expected credit losses and consider several portfolio indicators including, but not limited to, expected economic conditions, historical loss experience, account seasoning, the value of collateral underlying secured loans, estimated foreclosures or defaults based on observable trends, delinquencies, bankruptcy filings, unemployment, borrower credit scores and general business trends. Management also considers an evaluation of overall portfolio credit quality based on indicators such as changes in our credit evaluation, underwriting and collection management policies, the effect of other external factors such as competition and legal and regulatory requirements, general economic conditions and business trends, and uncertainties in forecasting and modeling techniques used in estimating our allowance.</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allowance related to commercial banking loans assessed on a pooled basis is based on our historical loss experience for loans with similar risk characteristics and consideration of the current credit quality of the portfolio, which is supplemented by management judgment as described above. These are adjusted for current conditions, and reasonable and supportable forecasts of conditions likely to cause future losses which vary from historical levels. We apply internal risk ratings to commercial banking loans, which we use to assess credit quality and derive a total loss estimate based on an estimated probability of default (“default rate”) and loss given default (“loss severity”). Management may also apply judgment to adjust the loss factors derived, taking into consideration both quantitative and qualitative factors, including general economic conditions, industry-specific and geographic trends, portfolio concentrations, trends in internal credit quality indicators, and current and past underwriting standards that have occurred but are not yet reflected in the historical data underlying our loss estimates.</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allowance related to smaller-balance homogeneous credit card and consumer banking loans whose terms have been modified in a TDR is calculated on a pool basis using historical loss experience, adjusted for current conditions and reasonable and supportable forecasts of conditions likely to cause future losses which vary from historical levels for the respective class of assets. The allowance related to consumer banking loans that are assessed at a loan-level is determined based on key considerations that include the borrower’s overall financial condition, resources and payment history, prospects for support from financially responsible guarantors, and when applicable, the estimated realizable value of any collateral. The allowance related to commercial banking loans that are assessed at a loan-level is generally determined in accordance with our policy for estimating expected credit losses for collateral-dependent loans as described above.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Off-balance sheet credit exposures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addition to the allowance, we also measure expected credit losses related to unfunded lending commitments that are not unconditionally cancellable in our Commercial Banking business. This reserve is measured using the same measurement objectives as the allowance for loans held for investment and is recorded within other liabilities on our consolidated balance sheets. These commitments are segregated by risk according to our internal risk rating scale, which we use to assess credit quality and derive an expected credit loss estimate. We assess these risk classifications, taking into consideration both quantitative and qualitative factors, including historical loss experience, adjusted for current conditions and reasonable and supportable forecasts of conditions likely to cause future losses which vary from historical levels, and utilization assumptions to estimate the reserve for unfunded lending commitments. Expected credit losses are not measured on unfunded lending commitments that are unconditionally cancellable, including all of our unfunded credit card and consumer banking lending commitments and certain of our unfunded commercial banking lending commitments.</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Determining the appropriateness of the allowance and the reserve for unfunded lending commitments is complex and requires judgment by management about the effect of matters that are inherently uncertain. Subsequent evaluations of the loan portfolio, in light of the factors then prevailing, may result in significant changes in the reserve for unfunded lending commitments in future periods. See “Note 4—Allowance for Credit Losses and Reserve for Unfunded Lending Commitments”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131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Securitization of Loans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loan securitization activities primarily involve the securitization of credit card and auto loans, which provides a source of funding for us. See “Note 5—Variable Interest Entities and Securitizations” for additional details. Loan securitization involves the transfer of a pool of loan receivables from our portfolio to a trust. The trust then sells undivided interests in the pool of loan receivables to third-party investors through the issuance of debt securities and transfers the proceeds from the debt issuance to us as consideration for the loan receivables transferred. The debt securities are collateralized by the loan receivables transferred from our portfolio. We remove loans from our consolidated balance sheets if securitizations qualify as sales to unconsolidated VIEs, recognize assets retained and liabilities assumed at fair value and record a gain or loss on the transferred loans. Alternatively, if the transfer does not qualify as a sale but instead is considered a secured borrowing, the assets will remain on our consolidated balance sheets with an offsetting liability recognized for the amount of proceeds received.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Premises, Equipment and Leases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Premises and Equipment</w:t>
      </w:r>
    </w:p>
    <w:p>
      <w:pPr>
        <w:spacing w:after="0" w:line="118"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11"/>
          <w:szCs w:val="11"/>
          <w:color w:val="auto"/>
        </w:rPr>
        <w:t>Premises and equipment, including leasehold improvements, are carried at cost less accumulated depreciation and amortization. Land is carried at cost. We capitalize direct costs incurred during the application development stage of internally developed software projects. Depreciation and amortization expenses are calculated using the straight-line method over the estimated useful lives of the assets. Useful lives for premises and equipment are estimated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Premises and Equipment</w:t>
            </w:r>
          </w:p>
        </w:tc>
        <w:tc>
          <w:tcPr>
            <w:tcW w:w="6380" w:type="dxa"/>
            <w:vAlign w:val="bottom"/>
            <w:tcBorders>
              <w:bottom w:val="single" w:sz="8" w:color="auto"/>
            </w:tcBorders>
          </w:tcPr>
          <w:p>
            <w:pPr>
              <w:jc w:val="center"/>
              <w:ind w:left="3147"/>
              <w:spacing w:after="0"/>
              <w:rPr>
                <w:sz w:val="20"/>
                <w:szCs w:val="20"/>
                <w:color w:val="auto"/>
              </w:rPr>
            </w:pPr>
            <w:r>
              <w:rPr>
                <w:rFonts w:ascii="Times New Roman" w:cs="Times New Roman" w:eastAsia="Times New Roman" w:hAnsi="Times New Roman"/>
                <w:sz w:val="10"/>
                <w:szCs w:val="10"/>
                <w:b w:val="1"/>
                <w:bCs w:val="1"/>
                <w:color w:val="auto"/>
                <w:w w:val="95"/>
              </w:rPr>
              <w:t>Useful Lives</w:t>
            </w:r>
          </w:p>
        </w:tc>
      </w:tr>
      <w:tr>
        <w:trPr>
          <w:trHeight w:val="14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Buildings and improvements</w:t>
            </w:r>
          </w:p>
        </w:tc>
        <w:tc>
          <w:tcPr>
            <w:tcW w:w="6380" w:type="dxa"/>
            <w:vAlign w:val="bottom"/>
            <w:shd w:val="clear" w:color="auto" w:fill="CCEEFF"/>
          </w:tcPr>
          <w:p>
            <w:pPr>
              <w:jc w:val="center"/>
              <w:ind w:left="3147"/>
              <w:spacing w:after="0"/>
              <w:rPr>
                <w:sz w:val="20"/>
                <w:szCs w:val="20"/>
                <w:color w:val="auto"/>
              </w:rPr>
            </w:pPr>
            <w:r>
              <w:rPr>
                <w:rFonts w:ascii="Times New Roman" w:cs="Times New Roman" w:eastAsia="Times New Roman" w:hAnsi="Times New Roman"/>
                <w:sz w:val="11"/>
                <w:szCs w:val="11"/>
                <w:color w:val="auto"/>
                <w:w w:val="99"/>
              </w:rPr>
              <w:t>5-39 years</w:t>
            </w:r>
          </w:p>
        </w:tc>
      </w:tr>
      <w:tr>
        <w:trPr>
          <w:trHeight w:val="142"/>
        </w:trPr>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Furniture and equipment</w:t>
            </w:r>
          </w:p>
        </w:tc>
        <w:tc>
          <w:tcPr>
            <w:tcW w:w="6380" w:type="dxa"/>
            <w:vAlign w:val="bottom"/>
          </w:tcPr>
          <w:p>
            <w:pPr>
              <w:jc w:val="center"/>
              <w:ind w:left="3147"/>
              <w:spacing w:after="0"/>
              <w:rPr>
                <w:sz w:val="20"/>
                <w:szCs w:val="20"/>
                <w:color w:val="auto"/>
              </w:rPr>
            </w:pPr>
            <w:r>
              <w:rPr>
                <w:rFonts w:ascii="Times New Roman" w:cs="Times New Roman" w:eastAsia="Times New Roman" w:hAnsi="Times New Roman"/>
                <w:sz w:val="11"/>
                <w:szCs w:val="11"/>
                <w:color w:val="auto"/>
                <w:w w:val="99"/>
              </w:rPr>
              <w:t>3-10 years</w:t>
            </w:r>
          </w:p>
        </w:tc>
      </w:tr>
      <w:tr>
        <w:trPr>
          <w:trHeight w:val="14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Computer software</w:t>
            </w:r>
          </w:p>
        </w:tc>
        <w:tc>
          <w:tcPr>
            <w:tcW w:w="6380" w:type="dxa"/>
            <w:vAlign w:val="bottom"/>
            <w:shd w:val="clear" w:color="auto" w:fill="CCEEFF"/>
          </w:tcPr>
          <w:p>
            <w:pPr>
              <w:jc w:val="center"/>
              <w:ind w:left="3147"/>
              <w:spacing w:after="0"/>
              <w:rPr>
                <w:sz w:val="20"/>
                <w:szCs w:val="20"/>
                <w:color w:val="auto"/>
              </w:rPr>
            </w:pPr>
            <w:r>
              <w:rPr>
                <w:rFonts w:ascii="Times New Roman" w:cs="Times New Roman" w:eastAsia="Times New Roman" w:hAnsi="Times New Roman"/>
                <w:sz w:val="11"/>
                <w:szCs w:val="11"/>
                <w:color w:val="auto"/>
                <w:w w:val="95"/>
              </w:rPr>
              <w:t>3 years</w:t>
            </w:r>
          </w:p>
        </w:tc>
      </w:tr>
      <w:tr>
        <w:trPr>
          <w:trHeight w:val="149"/>
        </w:trPr>
        <w:tc>
          <w:tcPr>
            <w:tcW w:w="4920" w:type="dxa"/>
            <w:vAlign w:val="bottom"/>
          </w:tcPr>
          <w:p>
            <w:pPr>
              <w:spacing w:after="0"/>
              <w:rPr>
                <w:sz w:val="20"/>
                <w:szCs w:val="20"/>
                <w:color w:val="auto"/>
              </w:rPr>
            </w:pPr>
            <w:r>
              <w:rPr>
                <w:rFonts w:ascii="Times New Roman" w:cs="Times New Roman" w:eastAsia="Times New Roman" w:hAnsi="Times New Roman"/>
                <w:sz w:val="11"/>
                <w:szCs w:val="11"/>
                <w:color w:val="auto"/>
              </w:rPr>
              <w:t>Leasehold improvements</w:t>
            </w:r>
          </w:p>
        </w:tc>
        <w:tc>
          <w:tcPr>
            <w:tcW w:w="6380" w:type="dxa"/>
            <w:vAlign w:val="bottom"/>
          </w:tcPr>
          <w:p>
            <w:pPr>
              <w:jc w:val="center"/>
              <w:ind w:left="3147"/>
              <w:spacing w:after="0"/>
              <w:rPr>
                <w:sz w:val="20"/>
                <w:szCs w:val="20"/>
                <w:color w:val="auto"/>
              </w:rPr>
            </w:pPr>
            <w:r>
              <w:rPr>
                <w:rFonts w:ascii="Times New Roman" w:cs="Times New Roman" w:eastAsia="Times New Roman" w:hAnsi="Times New Roman"/>
                <w:sz w:val="11"/>
                <w:szCs w:val="11"/>
                <w:color w:val="auto"/>
                <w:w w:val="97"/>
              </w:rPr>
              <w:t>Lesser of the useful life or the remaining lease term</w:t>
            </w:r>
          </w:p>
        </w:tc>
      </w:tr>
    </w:tbl>
    <w:p>
      <w:pPr>
        <w:spacing w:after="0" w:line="17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Expenditures for maintenance and repairs are expensed as incurred and gains or losses upon disposition are recognized in our consolidated statements of income as realized. See “Note 7—Premises, Equipment and Leases”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Lease classification is determined at inception for all lease transactions with an initial term greater than one year. Operating leases are included as right-of-use (“ROU”) assets within other assets, and operating lease liabilities are classified as other liabilities on our consolidated balance sheets. Finance leases are included in premises and equipment, and other borrowings on our consolidated balance sheets. Our operating lease expense is included in occupancy and equipment within non-interest expense in our consolidated statements of income. Lease expense for minimum lease payments are recognized on a straight-line basis over the lease term. See “Note 7—Premises, Equipment and Leases”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 and Other Intangible Assets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Goodwill represents the excess of the fair value of the consideration transferred, plus the fair value of any non-controlling interests in the acquiree, over the fair value of the net assets acquired and liabilities assumed as of the acquisition date and is assigned to one or more reporting units at acquisition. A reporting unit is defined as an operating segment, or a business unit that is one level below an operating segment. We have four reporting units: Credit Card, Auto Finance, Other Consumer Banking and Commercial Banking. Goodwill is not amortized but is tested for impairment at the reporting unit level annually or more frequently if adverse circumstances indicate that it is more likely than not that the carrying amount of a reporting unit exceeds its fair value. These indicators could include a sustained, significant decline in the Company’s stock price, a decline in expected future cash flows, significant disposition activity, a significant adverse change in the economic or business environment, and the testing for recoverability of a significant asset group, among others.</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Intangible assets with finite useful lives are amortized on either an accelerated or straight-line basis over their estimated useful lives and are evaluated for impairment whenever events or changes in circumstances indicate the carrying amount of the assets may not be recoverable. See “Note 6—Goodwill and Other Intangible Assets” for additional information.</w:t>
      </w:r>
    </w:p>
    <w:p>
      <w:pPr>
        <w:spacing w:after="0" w:line="200" w:lineRule="exact"/>
        <w:rPr>
          <w:sz w:val="20"/>
          <w:szCs w:val="20"/>
          <w:color w:val="auto"/>
        </w:rPr>
      </w:pPr>
    </w:p>
    <w:p>
      <w:pPr>
        <w:spacing w:after="0" w:line="36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132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Mortgage Servicing Rights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Mortgage servicing rights (“MSRs”) are initially recorded at fair value when mortgage loans are sold or securitized in the secondary market and the right to service these loans is retained for a fee. Commercial MSRs are subsequently accounted for under the amortization method. We evaluate for impairment as of each reporting date and recognize any impairment in other non-interest income. See “Note 6—Goodwill and Other Intangible Assets”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Foreclosed Property and Repossessed Assets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Foreclosed property and repossessed assets obtained through our lending activities typically include commercial real estate or personal property, such as automobiles, and are recorded at net realizable value. For foreclosed property and repossessed assets, we generally reclassify the loan to repossessed assets upon repossession of the property in satisfaction of the loan. Net realizable value is the estimated fair value of the underlying collateral less estimated selling costs and is based on appraisals, when available. Subsequent to initial recognition, foreclosed property and repossessed assets are recorded at the lower of our initial cost basis or net realizable value, which is routinely monitored and updated. Any changes in net realizable value and gains or losses realized from disposition of the property are recorded in other non-interest expense. See “Note 16—Fair Value Measurement” for details.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Restricted Equity Investments</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investments in Federal Home Loan Bank (“FHLB”) stock and in Federal Reserve Bank stock. These investments, which are included in other assets on our consolidated balance sheets, are not marketable, are carried at cost, and are reviewed for impairment if there is any indicator of impairment.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Litigation</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establish reserves for litigation-related matters that arise from the ordinary course of our business activities when it is probable that a loss associated with a claim or proceeding has been incurred and the amount of the loss can be reasonably estimated. Professional service costs, including fees for attorneys and experts, expected to be incurred in connection with a loss contingency are expensed as services are provided. See “Note 18—Commitments, Contingencies, Guarantees and Others”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Customer Rewards Reserve</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offer products, primarily credit cards, which include programs that allow members to earn rewards based on account activity that can be redeemed for cash (primarily in the form of statement credits), gift cards, travel, or covering eligible charges. The amount of reward that a customer earns varies based on the terms and conditions of the rewards program and product. When rewards are earned by a customer, rewards expense is generally recorded as an offset to interchange income, with a corresponding increase to the customer rewards reserve. The customer rewards reserve is computed based on the estimated future cost of earned rewards that are expected to be redeemed and is reduced as rewards are redeemed. In estimating the customer rewards reserve, we consider historical redemption and spending behavior, as well as the terms and conditions of the current rewards programs, among other factors. Our customer rewards reserve assumes the vast majority of all rewards earned will eventually be redeemed.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 and Fees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income and fees on loans and investment securities are recognized based on the contractual provisions of the underlying arrangements.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Loan origination fees, direct loan origination costs, premiums and discounts on loans held for investment are deferred and generally amortized into interest income as yield adjustments over the contractual life and/or commitment period using the interest method. Costs deferred include, among other things, incentives paid to our network of auto dealers for loan referrals. In certain circumstances, we elect to factor prepayment estimates into the calculation of the constant effective yield necessary to apply the interest method. Prepayment estimates are based on historical prepayment data, existing and forecasted interest rates,</w:t>
      </w:r>
    </w:p>
    <w:p>
      <w:pPr>
        <w:spacing w:after="0" w:line="200" w:lineRule="exact"/>
        <w:rPr>
          <w:sz w:val="20"/>
          <w:szCs w:val="20"/>
          <w:color w:val="auto"/>
        </w:rPr>
      </w:pPr>
    </w:p>
    <w:p>
      <w:pPr>
        <w:spacing w:after="0" w:line="37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133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economic data. For credit card loans, loan origination fees and direct loan origination costs are amortized on a straight-line basis over a 12-month period.</w:t>
      </w:r>
    </w:p>
    <w:p>
      <w:pPr>
        <w:spacing w:after="0" w:line="11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Unamortized premiums, discounts and other basis adjustments on investment securities are generally recognized in interest income over the contractual lives of the securities using the interest method. However, premiums for certain callable investment securities are amortized to the earliest call date.</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Finance charges and fees on credit card loans are recorded in revenue when earned and presented on our consolidated balance sheets within either loan receivables (if they have been billed to the customer) or interest receivable (if they have not yet been billed to the customer). Annual membership fees are classified as service charges and other customer-related fees in our consolidated statements of income and are deferred and amortized into income over 12 months on a straight-line basis.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Interchange Income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Interchange income generally represents fees for standing ready to authorize and providing settlement on credit and debit card transactions processed through the MasterCard® (“MasterCard”) and Visa® (“Visa”) interchange networks. The levels and structure of interchange rates set by MasterCard and Visa can vary based on cardholder purchase volumes, among other factors. We recognize interchange income upon settlement. See “Note 17—Business Segments and Revenue from Contracts with Customers” for additional details.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Card Partnership Agreements</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contractual agreements with certain retailers and other partners to provide lending and other services to a mutual customer base. We primarily issue private-label and cobrand credit card loans to these customers over the terms of the partnership agreements.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Certain partners assist in or perform marketing activities on our behalf and promote our products and services to their customers. As compensation for providing these services, we often pay royalties, bounties or other special bonuses to these partners. Our payments to partners are generally recorded as reductions of revenue or as marketing expenses, depending on their nature. Our credit card partnership agreements may also provide for profit or revenue sharing payments which are presented as a reduction of the related revenue line item(s) when owed to the partner.</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When a partner agrees to share a portion of the credit losses associated with the partnership, we evaluate the contractual provisions for the loss share payments as well as applicable accounting guidance to determine whether to present the sharing of losses on a gross or net basis in our consolidated financial statements. When loss sharing amounts due from partners are presented on a net basis, they are recorded as a reduction to our provision for credit losses in our consolidated statements of income and reduce the charge-off amounts that we report. The allowance for credit losses attributable to these portfolios is also reduced by the expected reimbursements from these partners for loss sharing amounts. See “Note 4—Allowance for Credit Losses and Reserve for Unfunded Lending Commitments” for additional information related to our loss sharing arrangements.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Collaborative Arrangements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collaborative arrangement is a contractual arrangement that involves a joint operating activity between two or more parties that are active participants in the activity. These parties are exposed to significant risks and rewards based upon the economic success of the joint operating activity. We assess each of our partnership agreements with profit, revenue or loss sharing payments to determine if a collaborative arrangement exists and, if so, how revenue generated from third parties, costs incurred and transactions between participants in the collaborative arrangement should be accounted for and reported on our consolidated financial statements.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One partnership agreement met the definition of a collaborative arrangement as of December 31, 2021 and 2020. This agreement was amended in the first quarter of 2022. While we continue to share a fixed percentage of revenues consisting of finance charges and late fees with the partner, and the partner is required to reimburse us for a fixed percentage of credit losses incurred, the amended agreement does not meet the definition of a collaborative arrangement. Revenues and losses related to the partner’s credit card program and partnership agreement are reported on a net basis in our consolidated financial statements. Revenue sharing amounts attributable to the partner are recorded as an offset against total net revenue in our consolidated statements of income. Interest income was reduced by $1.0 billion and $1.1 billion in the years ended December 31, 2021 and</w:t>
      </w:r>
    </w:p>
    <w:p>
      <w:pPr>
        <w:spacing w:after="0" w:line="200" w:lineRule="exact"/>
        <w:rPr>
          <w:sz w:val="20"/>
          <w:szCs w:val="20"/>
          <w:color w:val="auto"/>
        </w:rPr>
      </w:pPr>
    </w:p>
    <w:p>
      <w:pPr>
        <w:spacing w:after="0" w:line="37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134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2020, respectively, for amounts earned by the partner during the years this agreement met the definition of a collaborative arrangement. The impact of all of our loss sharing arrangements that are presented on a net basis is included in “Note 4—Allowance for Credit Losses and Reserve for Unfunded Lending Commitments.”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are authorized to issue stock–based compensation to employees and directors in various forms, primarily as restricted stock units (“RSUs”), performance share units (“PSUs”) and stock options. In addition, we also issue cash-settled RSUs which are not counted against the common shares reserved for issuance or available for issuance because they are settled in cash.</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 awards settled in shares, we generally recognize compensation expense on a straight-line basis over the award’s requisite service period based on the fair value of the award at the grant date. If an award settled in shares contains a performance condition with graded vesting, we recognize compensation expense using the accelerated attribution method. Restricted stock units that are cash-settled are accounted for as liability awards which results in quarterly expense fluctuations based on changes in our stock price through the date that the awards are settled. Awards to participants that are eligible for retirement or become eligible during the vesting period are expensed immediately or over the time period between the grant date and when the participant becomes retirement eligible, respectively. Stock-based compensation expense is included in salaries and associate benefits in the consolidated statements of income.</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 RSUs and performance share units, the fair value of stock-based compensation used in determining compensation expense will generally equal the fair market value of our common stock on the date of grant. Stock-based compensation expense for equity classified stock options is based on the grant date fair value, which is estimated using a Black-Scholes option pricing model. Certain share-settled awards have discretionary vesting conditions which result in the remeasurement of these awards at fair value each reporting period and the potential for compensation expense to fluctuate with changes in our stock price. See “Note 13—Stock-Based Compensation Plans” for additional details.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Marketing Expenses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Marketing expense includes the cost of our various promotional efforts to attract and retain customers such as advertising, promotional materials, and certain customer incentives, including spend-based bonuses. We expense marketing costs as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recognize the current and deferred tax consequences of all transactions that have been recognized in the financial statements using the provisions of the enacted tax laws. Current income tax expense represents our estimated taxes to be paid or refunded for the current period and includes income tax expense related to our uncertain tax positions, as well as tax-related interest and penalties. Deferred tax assets and liabilities are determined based on differences between the financial reporting and tax basis of assets and liabilities and are measured using the enacted tax rates and laws that will be in effect when the differences are expected to reverse. We record valuation allowances to reduce deferred tax assets to the amount that is more likely than not to be realized. We record the effect of remeasuring deferred tax assets and liabilities due to a change in tax rates or laws as a component of income tax expense related to continuing operations for the period in which the change is enacted. We subsequently release income tax effects stranded in AOCI using a portfolio approach. Income tax benefits are recognized when, based on their technical merits, they are more likely than not to be sustained upon examination. The amount recognized is the largest amount of benefit that is more likely than not to be realized upon settlement. See “Note 15—Income Taxes” for additional details.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Earnings Per Share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Earnings per share is calculated and reported under the “two-class” method. The “two-class” method is an earnings allocation method under which earnings per share is calculated for each class of common stock and participating security considering both dividends declared or accumulated and participation rights in undistributed earnings as if all such earnings had been distributed during the period. We have unvested share-based payment awards which have a right to receive non-forfeitable dividends, which are deemed to be participating securities.</w:t>
      </w:r>
    </w:p>
    <w:p>
      <w:pPr>
        <w:spacing w:after="0" w:line="200" w:lineRule="exact"/>
        <w:rPr>
          <w:sz w:val="20"/>
          <w:szCs w:val="20"/>
          <w:color w:val="auto"/>
        </w:rPr>
      </w:pPr>
    </w:p>
    <w:p>
      <w:pPr>
        <w:spacing w:after="0" w:line="37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135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calculate basic earnings per share by dividing net income, after deducting dividends on preferred stock and participating securities as well as undistributed earnings allocated to participating securities, by the average number of common shares outstanding during the period, net of any treasury shares. We calculate diluted earnings per share in a similar manner after consideration of the potential dilutive effect of common stock equivalents on the average number of common shares outstanding during the period. Common stock equivalents include stock options, restricted stock units, and performance share units. Common stock equivalents are calculated based upon the treasury stock method using an average market price of common shares during the period. Dilution is not considered when a net loss is reported. Common stock equivalents that have an antidilutive effect are excluded from the computation of diluted earnings per share. See “Note 12—Earnings Per Common Share” for additional details.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Derivative Instruments and Hedging Activities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All derivative financial instruments, whether designated in a qualifying hedge accounting relationship or not, are reported at their fair value on our consolidated balance sheets as either assets or liabilities. See “Note 9—Derivative Instruments and Hedging Activities” for additional details.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Fair value, also referred to as an exit price, is defined as the price that would be received for an asset or paid to transfer a liability in an orderly transaction between market participants on the measurement date. See “Note 16—Fair Value Measurement”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for Acquisitions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account for business combinations under the acquisition method of accounting. Under the acquisition method, tangible and intangible identifiable assets acquired, liabilities assumed and any non-controlling interest in the acquiree are recorded at fair value as of the acquisition date, with limited exceptions. Transaction costs and costs to restructure the acquired company are expensed as incurred. Goodwill is recognized as the excess of the acquisition price over the estimated fair value of the identifiable net assets acquired. Likewise, if the fair value of the net assets acquired is greater than the acquisition price, a bargain purchase gain is recognized and recorded in other non-interest income.</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If the acquired set of activities and assets do not meet the accounting definition of a business, the transaction is accounted for as an asset acquisition. In an asset acquisition, the assets acquired are recorded at the purchase price plus any transaction costs incurred and no goodwill is recognized.</w:t>
      </w:r>
    </w:p>
    <w:p>
      <w:pPr>
        <w:spacing w:after="0" w:line="200" w:lineRule="exact"/>
        <w:rPr>
          <w:sz w:val="20"/>
          <w:szCs w:val="20"/>
          <w:color w:val="auto"/>
        </w:rPr>
      </w:pPr>
    </w:p>
    <w:p>
      <w:pPr>
        <w:spacing w:after="0" w:line="36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136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Standards Adopted During the Twelve Months Ended December 31, 2022</w:t>
      </w:r>
    </w:p>
    <w:p>
      <w:pPr>
        <w:spacing w:after="0" w:line="139" w:lineRule="exact"/>
        <w:rPr>
          <w:sz w:val="20"/>
          <w:szCs w:val="20"/>
          <w:color w:val="auto"/>
        </w:rPr>
      </w:pPr>
    </w:p>
    <w:p>
      <w:pPr>
        <w:jc w:val="both"/>
        <w:ind w:left="1420"/>
        <w:spacing w:after="0"/>
        <w:tabs>
          <w:tab w:leader="none" w:pos="5060" w:val="left"/>
          <w:tab w:leader="none" w:pos="8260" w:val="left"/>
        </w:tabs>
        <w:rPr>
          <w:sz w:val="20"/>
          <w:szCs w:val="20"/>
          <w:color w:val="auto"/>
        </w:rPr>
      </w:pPr>
      <w:r>
        <w:rPr>
          <w:rFonts w:ascii="Times New Roman" w:cs="Times New Roman" w:eastAsia="Times New Roman" w:hAnsi="Times New Roman"/>
          <w:sz w:val="10"/>
          <w:szCs w:val="10"/>
          <w:b w:val="1"/>
          <w:bCs w:val="1"/>
          <w:color w:val="auto"/>
        </w:rPr>
        <w:t>Standard</w:t>
      </w:r>
      <w:r>
        <w:rPr>
          <w:sz w:val="20"/>
          <w:szCs w:val="20"/>
          <w:color w:val="auto"/>
        </w:rPr>
        <w:tab/>
      </w:r>
      <w:r>
        <w:rPr>
          <w:rFonts w:ascii="Times New Roman" w:cs="Times New Roman" w:eastAsia="Times New Roman" w:hAnsi="Times New Roman"/>
          <w:sz w:val="10"/>
          <w:szCs w:val="10"/>
          <w:b w:val="1"/>
          <w:bCs w:val="1"/>
          <w:color w:val="auto"/>
        </w:rPr>
        <w:t>Guidance</w:t>
      </w:r>
      <w:r>
        <w:rPr>
          <w:sz w:val="20"/>
          <w:szCs w:val="20"/>
          <w:color w:val="auto"/>
        </w:rPr>
        <w:tab/>
      </w:r>
      <w:r>
        <w:rPr>
          <w:rFonts w:ascii="Times New Roman" w:cs="Times New Roman" w:eastAsia="Times New Roman" w:hAnsi="Times New Roman"/>
          <w:sz w:val="8"/>
          <w:szCs w:val="8"/>
          <w:b w:val="1"/>
          <w:bCs w:val="1"/>
          <w:color w:val="auto"/>
        </w:rPr>
        <w:t>Adoption Timing and Financial Statement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Fair Value Hedging</w:t>
      </w:r>
    </w:p>
    <w:p>
      <w:pPr>
        <w:spacing w:after="0" w:line="14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1"/>
          <w:szCs w:val="11"/>
          <w:color w:val="auto"/>
        </w:rPr>
        <w:t xml:space="preserve">ASU No. 2022-01, Derivatives and Hedging (Topic 815): </w:t>
      </w:r>
      <w:r>
        <w:rPr>
          <w:rFonts w:ascii="Times New Roman" w:cs="Times New Roman" w:eastAsia="Times New Roman" w:hAnsi="Times New Roman"/>
          <w:sz w:val="11"/>
          <w:szCs w:val="11"/>
          <w:i w:val="1"/>
          <w:iCs w:val="1"/>
          <w:color w:val="auto"/>
        </w:rPr>
        <w:t>Fair Value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Hedging - Portfolio Layering Method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Issued March 2022</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1"/>
          <w:szCs w:val="11"/>
          <w:color w:val="auto"/>
        </w:rPr>
        <w:t>The amendments in this ASU establish the portfolio-layer method which provides flexibility to achieve fair value hedge accounting for multiple hedged layers within a single closed portfolio of financial assets.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1"/>
          <w:szCs w:val="11"/>
          <w:color w:val="auto"/>
        </w:rPr>
        <w:t>We adopted this guidance in the second quarter of 2022 using the prospective method of adoption.</w:t>
      </w:r>
    </w:p>
    <w:p>
      <w:pPr>
        <w:spacing w:after="0" w:line="76" w:lineRule="exact"/>
        <w:rPr>
          <w:sz w:val="20"/>
          <w:szCs w:val="20"/>
          <w:color w:val="auto"/>
        </w:rPr>
      </w:pPr>
    </w:p>
    <w:p>
      <w:pPr>
        <w:ind w:right="360"/>
        <w:spacing w:after="0" w:line="225" w:lineRule="auto"/>
        <w:rPr>
          <w:sz w:val="20"/>
          <w:szCs w:val="20"/>
          <w:color w:val="auto"/>
        </w:rPr>
      </w:pPr>
      <w:r>
        <w:rPr>
          <w:rFonts w:ascii="Times New Roman" w:cs="Times New Roman" w:eastAsia="Times New Roman" w:hAnsi="Times New Roman"/>
          <w:sz w:val="11"/>
          <w:szCs w:val="11"/>
          <w:color w:val="auto"/>
        </w:rPr>
        <w:t>Our adoption of this standard did not have an impact on our consolidated financial statements as any designation of portfolio layer method hedges would be applied prospectively.</w:t>
      </w:r>
    </w:p>
    <w:p>
      <w:pPr>
        <w:spacing w:after="0" w:line="292" w:lineRule="exact"/>
        <w:rPr>
          <w:sz w:val="20"/>
          <w:szCs w:val="20"/>
          <w:color w:val="auto"/>
        </w:rPr>
      </w:pPr>
    </w:p>
    <w:p>
      <w:pPr>
        <w:sectPr>
          <w:pgSz w:w="11900" w:h="16838" w:orient="portrait"/>
          <w:cols w:equalWidth="0" w:num="3">
            <w:col w:w="2980" w:space="340"/>
            <w:col w:w="3660" w:space="380"/>
            <w:col w:w="3920"/>
          </w:cols>
          <w:pgMar w:left="300" w:top="12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137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8" w:name="page139"/>
    <w:bookmarkEnd w:id="138"/>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17804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2—INVESTMENT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7804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Our investment securities portfolio consists of the following: U.S. government-sponsored enterprise or agency (“Agency”) and non-agency residential mortgage-backed securities (“RMBS”), agency commercial mortgage-backed securities (“CMBS”), U.S. Treasury securities and other securities. Agency securities include Government National Mortgage Association (“Ginnie Mae”) guaranteed securities, Federal National Mortgage Association (“Fannie Mae”) and Federal Home Loan Mortgage Corporation (“Freddie Mac”) issued securities. The carrying value of our investments in Agency and U.S. Treasury securities represented 97% and 96% of our total investment securities portfolio as of December 31, 2022 and 2021, respectively.</w:t>
      </w:r>
    </w:p>
    <w:p>
      <w:pPr>
        <w:spacing w:after="0" w:line="86"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table below presents the amortized cost, allowance for credit losses, gross unrealized gains and losses, and fair value aggregated by major security type as of December 31, 2022 and 2021. Accrued interest receivable of $215 million and $207 million as of December 31, 2022 and 2021, respectively, is not included in the table below.</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2.1: Investment Securities Available for Sale</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December 31, 2022</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7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Amortized</w:t>
            </w:r>
          </w:p>
        </w:tc>
        <w:tc>
          <w:tcPr>
            <w:tcW w:w="60" w:type="dxa"/>
            <w:vAlign w:val="bottom"/>
          </w:tcPr>
          <w:p>
            <w:pPr>
              <w:spacing w:after="0"/>
              <w:rPr>
                <w:sz w:val="7"/>
                <w:szCs w:val="7"/>
                <w:color w:val="auto"/>
              </w:rPr>
            </w:pPr>
          </w:p>
        </w:tc>
        <w:tc>
          <w:tcPr>
            <w:tcW w:w="760" w:type="dxa"/>
            <w:vAlign w:val="bottom"/>
          </w:tcPr>
          <w:p>
            <w:pPr>
              <w:jc w:val="center"/>
              <w:ind w:left="91"/>
              <w:spacing w:after="0" w:line="88" w:lineRule="exact"/>
              <w:rPr>
                <w:sz w:val="20"/>
                <w:szCs w:val="20"/>
                <w:color w:val="auto"/>
              </w:rPr>
            </w:pPr>
            <w:r>
              <w:rPr>
                <w:rFonts w:ascii="Times New Roman" w:cs="Times New Roman" w:eastAsia="Times New Roman" w:hAnsi="Times New Roman"/>
                <w:sz w:val="10"/>
                <w:szCs w:val="10"/>
                <w:b w:val="1"/>
                <w:bCs w:val="1"/>
                <w:color w:val="auto"/>
                <w:w w:val="94"/>
              </w:rPr>
              <w:t>Allowance</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center"/>
              <w:ind w:right="240"/>
              <w:spacing w:after="0" w:line="88" w:lineRule="exact"/>
              <w:rPr>
                <w:sz w:val="20"/>
                <w:szCs w:val="20"/>
                <w:color w:val="auto"/>
              </w:rPr>
            </w:pPr>
            <w:r>
              <w:rPr>
                <w:rFonts w:ascii="Times New Roman" w:cs="Times New Roman" w:eastAsia="Times New Roman" w:hAnsi="Times New Roman"/>
                <w:sz w:val="10"/>
                <w:szCs w:val="10"/>
                <w:b w:val="1"/>
                <w:bCs w:val="1"/>
                <w:color w:val="auto"/>
                <w:w w:val="95"/>
              </w:rPr>
              <w:t>Gross</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center"/>
              <w:ind w:right="300"/>
              <w:spacing w:after="0" w:line="88" w:lineRule="exact"/>
              <w:rPr>
                <w:sz w:val="20"/>
                <w:szCs w:val="20"/>
                <w:color w:val="auto"/>
              </w:rPr>
            </w:pPr>
            <w:r>
              <w:rPr>
                <w:rFonts w:ascii="Times New Roman" w:cs="Times New Roman" w:eastAsia="Times New Roman" w:hAnsi="Times New Roman"/>
                <w:sz w:val="10"/>
                <w:szCs w:val="10"/>
                <w:b w:val="1"/>
                <w:bCs w:val="1"/>
                <w:color w:val="auto"/>
                <w:w w:val="95"/>
              </w:rPr>
              <w:t>Gross</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Fair</w:t>
            </w:r>
          </w:p>
        </w:tc>
        <w:tc>
          <w:tcPr>
            <w:tcW w:w="0" w:type="dxa"/>
            <w:vAlign w:val="bottom"/>
          </w:tcPr>
          <w:p>
            <w:pPr>
              <w:spacing w:after="0"/>
              <w:rPr>
                <w:sz w:val="1"/>
                <w:szCs w:val="1"/>
                <w:color w:val="auto"/>
              </w:rPr>
            </w:pPr>
          </w:p>
        </w:tc>
      </w:tr>
      <w:tr>
        <w:trPr>
          <w:trHeight w:val="99"/>
        </w:trPr>
        <w:tc>
          <w:tcPr>
            <w:tcW w:w="58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center"/>
              <w:ind w:left="111"/>
              <w:spacing w:after="0" w:line="99" w:lineRule="exact"/>
              <w:rPr>
                <w:sz w:val="20"/>
                <w:szCs w:val="20"/>
                <w:color w:val="auto"/>
              </w:rPr>
            </w:pPr>
            <w:r>
              <w:rPr>
                <w:rFonts w:ascii="Times New Roman" w:cs="Times New Roman" w:eastAsia="Times New Roman" w:hAnsi="Times New Roman"/>
                <w:sz w:val="10"/>
                <w:szCs w:val="10"/>
                <w:b w:val="1"/>
                <w:bCs w:val="1"/>
                <w:color w:val="auto"/>
                <w:w w:val="92"/>
              </w:rPr>
              <w:t>for Credit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3"/>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58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2"/>
              </w:rPr>
              <w:t>Cost</w:t>
            </w:r>
          </w:p>
        </w:tc>
        <w:tc>
          <w:tcPr>
            <w:tcW w:w="60" w:type="dxa"/>
            <w:vAlign w:val="bottom"/>
          </w:tcPr>
          <w:p>
            <w:pPr>
              <w:spacing w:after="0"/>
              <w:rPr>
                <w:sz w:val="11"/>
                <w:szCs w:val="11"/>
                <w:color w:val="auto"/>
              </w:rPr>
            </w:pPr>
          </w:p>
        </w:tc>
        <w:tc>
          <w:tcPr>
            <w:tcW w:w="760" w:type="dxa"/>
            <w:vAlign w:val="bottom"/>
          </w:tcPr>
          <w:p>
            <w:pPr>
              <w:jc w:val="center"/>
              <w:ind w:left="91"/>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38"/>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8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U.S. Treasury securities</w:t>
            </w:r>
          </w:p>
        </w:tc>
        <w:tc>
          <w:tcPr>
            <w:tcW w:w="2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5,129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5,041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RMBS: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84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Agency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71,212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(9,413)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61,852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Non-agency</w:t>
            </w:r>
          </w:p>
        </w:tc>
        <w:tc>
          <w:tcPr>
            <w:tcW w:w="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840" w:type="dxa"/>
            <w:vAlign w:val="bottom"/>
            <w:gridSpan w:val="3"/>
          </w:tcPr>
          <w:p>
            <w:pPr>
              <w:spacing w:after="0" w:line="121" w:lineRule="exact"/>
              <w:rPr>
                <w:sz w:val="20"/>
                <w:szCs w:val="20"/>
                <w:color w:val="auto"/>
              </w:rPr>
            </w:pPr>
            <w:r>
              <w:rPr>
                <w:rFonts w:ascii="Times New Roman" w:cs="Times New Roman" w:eastAsia="Times New Roman" w:hAnsi="Times New Roman"/>
                <w:sz w:val="11"/>
                <w:szCs w:val="11"/>
                <w:color w:val="auto"/>
              </w:rPr>
              <w:t>Total RMBS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71,865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(9,419)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62,589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Agency CMBS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8,626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tcBorders>
              <w:bottom w:val="single" w:sz="8" w:color="CCEEFF"/>
            </w:tcBorders>
            <w:gridSpan w:val="3"/>
          </w:tcPr>
          <w:p>
            <w:pPr>
              <w:spacing w:after="0" w:line="144" w:lineRule="exact"/>
              <w:rPr>
                <w:sz w:val="20"/>
                <w:szCs w:val="20"/>
                <w:color w:val="auto"/>
              </w:rPr>
            </w:pPr>
            <w:r>
              <w:rPr>
                <w:rFonts w:ascii="Times New Roman" w:cs="Times New Roman" w:eastAsia="Times New Roman" w:hAnsi="Times New Roman"/>
                <w:sz w:val="11"/>
                <w:szCs w:val="11"/>
                <w:color w:val="auto"/>
              </w:rPr>
              <w:t>Other securities</w:t>
            </w:r>
            <w:r>
              <w:rPr>
                <w:rFonts w:ascii="Times New Roman" w:cs="Times New Roman" w:eastAsia="Times New Roman" w:hAnsi="Times New Roman"/>
                <w:sz w:val="14"/>
                <w:szCs w:val="14"/>
                <w:color w:val="auto"/>
                <w:vertAlign w:val="superscript"/>
              </w:rPr>
              <w:t>(1)</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1,427</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0</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investment securities available for sale</w:t>
            </w:r>
          </w:p>
        </w:tc>
        <w:tc>
          <w:tcPr>
            <w:tcW w:w="200" w:type="dxa"/>
            <w:vAlign w:val="bottom"/>
            <w:tcBorders>
              <w:bottom w:val="single" w:sz="8" w:color="auto"/>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87,047</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ind w:right="71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w w:val="93"/>
              </w:rPr>
              <w:t>(3)</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154</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(10,279)</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76,919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57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Amortized</w:t>
            </w:r>
          </w:p>
        </w:tc>
        <w:tc>
          <w:tcPr>
            <w:tcW w:w="60" w:type="dxa"/>
            <w:vAlign w:val="bottom"/>
          </w:tcPr>
          <w:p>
            <w:pPr>
              <w:spacing w:after="0"/>
              <w:rPr>
                <w:sz w:val="7"/>
                <w:szCs w:val="7"/>
                <w:color w:val="auto"/>
              </w:rPr>
            </w:pPr>
          </w:p>
        </w:tc>
        <w:tc>
          <w:tcPr>
            <w:tcW w:w="760" w:type="dxa"/>
            <w:vAlign w:val="bottom"/>
          </w:tcPr>
          <w:p>
            <w:pPr>
              <w:jc w:val="center"/>
              <w:ind w:left="191"/>
              <w:spacing w:after="0" w:line="89" w:lineRule="exact"/>
              <w:rPr>
                <w:sz w:val="20"/>
                <w:szCs w:val="20"/>
                <w:color w:val="auto"/>
              </w:rPr>
            </w:pPr>
            <w:r>
              <w:rPr>
                <w:rFonts w:ascii="Times New Roman" w:cs="Times New Roman" w:eastAsia="Times New Roman" w:hAnsi="Times New Roman"/>
                <w:sz w:val="10"/>
                <w:szCs w:val="10"/>
                <w:b w:val="1"/>
                <w:bCs w:val="1"/>
                <w:color w:val="auto"/>
                <w:w w:val="98"/>
              </w:rPr>
              <w:t>Allowance</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center"/>
              <w:ind w:right="120"/>
              <w:spacing w:after="0" w:line="89" w:lineRule="exact"/>
              <w:rPr>
                <w:sz w:val="20"/>
                <w:szCs w:val="20"/>
                <w:color w:val="auto"/>
              </w:rPr>
            </w:pPr>
            <w:r>
              <w:rPr>
                <w:rFonts w:ascii="Times New Roman" w:cs="Times New Roman" w:eastAsia="Times New Roman" w:hAnsi="Times New Roman"/>
                <w:sz w:val="10"/>
                <w:szCs w:val="10"/>
                <w:b w:val="1"/>
                <w:bCs w:val="1"/>
                <w:color w:val="auto"/>
                <w:w w:val="95"/>
              </w:rPr>
              <w:t>Gross</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center"/>
              <w:ind w:right="180"/>
              <w:spacing w:after="0" w:line="89" w:lineRule="exact"/>
              <w:rPr>
                <w:sz w:val="20"/>
                <w:szCs w:val="20"/>
                <w:color w:val="auto"/>
              </w:rPr>
            </w:pPr>
            <w:r>
              <w:rPr>
                <w:rFonts w:ascii="Times New Roman" w:cs="Times New Roman" w:eastAsia="Times New Roman" w:hAnsi="Times New Roman"/>
                <w:sz w:val="10"/>
                <w:szCs w:val="10"/>
                <w:b w:val="1"/>
                <w:bCs w:val="1"/>
                <w:color w:val="auto"/>
                <w:w w:val="95"/>
              </w:rPr>
              <w:t>Gross</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Fair</w:t>
            </w:r>
          </w:p>
        </w:tc>
        <w:tc>
          <w:tcPr>
            <w:tcW w:w="0" w:type="dxa"/>
            <w:vAlign w:val="bottom"/>
          </w:tcPr>
          <w:p>
            <w:pPr>
              <w:spacing w:after="0"/>
              <w:rPr>
                <w:sz w:val="1"/>
                <w:szCs w:val="1"/>
                <w:color w:val="auto"/>
              </w:rPr>
            </w:pPr>
          </w:p>
        </w:tc>
      </w:tr>
      <w:tr>
        <w:trPr>
          <w:trHeight w:val="99"/>
        </w:trPr>
        <w:tc>
          <w:tcPr>
            <w:tcW w:w="58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jc w:val="center"/>
              <w:ind w:left="211"/>
              <w:spacing w:after="0" w:line="99" w:lineRule="exact"/>
              <w:rPr>
                <w:sz w:val="20"/>
                <w:szCs w:val="20"/>
                <w:color w:val="auto"/>
              </w:rPr>
            </w:pPr>
            <w:r>
              <w:rPr>
                <w:rFonts w:ascii="Times New Roman" w:cs="Times New Roman" w:eastAsia="Times New Roman" w:hAnsi="Times New Roman"/>
                <w:sz w:val="10"/>
                <w:szCs w:val="10"/>
                <w:b w:val="1"/>
                <w:bCs w:val="1"/>
                <w:color w:val="auto"/>
                <w:w w:val="97"/>
              </w:rPr>
              <w:t>for Credit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3"/>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58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tcPr>
          <w:p>
            <w:pPr>
              <w:spacing w:after="0"/>
              <w:rPr>
                <w:sz w:val="11"/>
                <w:szCs w:val="11"/>
                <w:color w:val="auto"/>
              </w:rPr>
            </w:pPr>
          </w:p>
        </w:tc>
        <w:tc>
          <w:tcPr>
            <w:tcW w:w="760" w:type="dxa"/>
            <w:vAlign w:val="bottom"/>
          </w:tcPr>
          <w:p>
            <w:pPr>
              <w:jc w:val="center"/>
              <w:ind w:left="211"/>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Gains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37"/>
        </w:trPr>
        <w:tc>
          <w:tcPr>
            <w:tcW w:w="5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8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U.S. Treasury securities</w:t>
            </w:r>
          </w:p>
        </w:tc>
        <w:tc>
          <w:tcPr>
            <w:tcW w:w="2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9,419</w:t>
            </w:r>
          </w:p>
        </w:tc>
        <w:tc>
          <w:tcPr>
            <w:tcW w:w="40" w:type="dxa"/>
            <w:vAlign w:val="bottom"/>
          </w:tcPr>
          <w:p>
            <w:pPr>
              <w:spacing w:after="0"/>
              <w:rPr>
                <w:sz w:val="12"/>
                <w:szCs w:val="12"/>
                <w:color w:val="auto"/>
              </w:rPr>
            </w:pPr>
          </w:p>
        </w:tc>
        <w:tc>
          <w:tcPr>
            <w:tcW w:w="820" w:type="dxa"/>
            <w:vAlign w:val="bottom"/>
            <w:gridSpan w:val="2"/>
          </w:tcPr>
          <w:p>
            <w:pPr>
              <w:jc w:val="right"/>
              <w:ind w:right="651"/>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23</w:t>
            </w:r>
          </w:p>
        </w:tc>
        <w:tc>
          <w:tcPr>
            <w:tcW w:w="40" w:type="dxa"/>
            <w:vAlign w:val="bottom"/>
          </w:tcPr>
          <w:p>
            <w:pPr>
              <w:spacing w:after="0"/>
              <w:rPr>
                <w:sz w:val="12"/>
                <w:szCs w:val="12"/>
                <w:color w:val="auto"/>
              </w:rPr>
            </w:pPr>
          </w:p>
        </w:tc>
        <w:tc>
          <w:tcPr>
            <w:tcW w:w="20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tcPr>
          <w:p>
            <w:pPr>
              <w:spacing w:after="0"/>
              <w:rPr>
                <w:sz w:val="12"/>
                <w:szCs w:val="12"/>
                <w:color w:val="auto"/>
              </w:rPr>
            </w:pPr>
          </w:p>
        </w:tc>
        <w:tc>
          <w:tcPr>
            <w:tcW w:w="2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9,442</w:t>
            </w:r>
          </w:p>
        </w:tc>
        <w:tc>
          <w:tcPr>
            <w:tcW w:w="0" w:type="dxa"/>
            <w:vAlign w:val="bottom"/>
          </w:tcPr>
          <w:p>
            <w:pPr>
              <w:spacing w:after="0"/>
              <w:rPr>
                <w:sz w:val="1"/>
                <w:szCs w:val="1"/>
                <w:color w:val="auto"/>
              </w:rPr>
            </w:pPr>
          </w:p>
        </w:tc>
      </w:tr>
      <w:tr>
        <w:trPr>
          <w:trHeight w:val="146"/>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RMBS: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Agency</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72,593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958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72,620</w:t>
            </w:r>
          </w:p>
        </w:tc>
        <w:tc>
          <w:tcPr>
            <w:tcW w:w="0" w:type="dxa"/>
            <w:vAlign w:val="bottom"/>
          </w:tcPr>
          <w:p>
            <w:pPr>
              <w:spacing w:after="0"/>
              <w:rPr>
                <w:sz w:val="1"/>
                <w:szCs w:val="1"/>
                <w:color w:val="auto"/>
              </w:rPr>
            </w:pPr>
          </w:p>
        </w:tc>
      </w:tr>
      <w:tr>
        <w:trPr>
          <w:trHeight w:val="146"/>
        </w:trPr>
        <w:tc>
          <w:tcPr>
            <w:tcW w:w="58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Non-agency</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792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93"/>
              </w:rPr>
              <w:t>(1)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205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996</w:t>
            </w:r>
          </w:p>
        </w:tc>
        <w:tc>
          <w:tcPr>
            <w:tcW w:w="0" w:type="dxa"/>
            <w:vAlign w:val="bottom"/>
          </w:tcPr>
          <w:p>
            <w:pPr>
              <w:spacing w:after="0"/>
              <w:rPr>
                <w:sz w:val="1"/>
                <w:szCs w:val="1"/>
                <w:color w:val="auto"/>
              </w:rPr>
            </w:pPr>
          </w:p>
        </w:tc>
      </w:tr>
      <w:tr>
        <w:trPr>
          <w:trHeight w:val="131"/>
        </w:trPr>
        <w:tc>
          <w:tcPr>
            <w:tcW w:w="5840" w:type="dxa"/>
            <w:vAlign w:val="bottom"/>
            <w:gridSpan w:val="3"/>
          </w:tcPr>
          <w:p>
            <w:pPr>
              <w:spacing w:after="0" w:line="121" w:lineRule="exact"/>
              <w:rPr>
                <w:sz w:val="20"/>
                <w:szCs w:val="20"/>
                <w:color w:val="auto"/>
              </w:rPr>
            </w:pPr>
            <w:r>
              <w:rPr>
                <w:rFonts w:ascii="Times New Roman" w:cs="Times New Roman" w:eastAsia="Times New Roman" w:hAnsi="Times New Roman"/>
                <w:sz w:val="11"/>
                <w:szCs w:val="11"/>
                <w:color w:val="auto"/>
              </w:rPr>
              <w:t>Total RMBS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73,385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93"/>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1,163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73,616</w:t>
            </w:r>
          </w:p>
        </w:tc>
        <w:tc>
          <w:tcPr>
            <w:tcW w:w="0" w:type="dxa"/>
            <w:vAlign w:val="bottom"/>
          </w:tcPr>
          <w:p>
            <w:pPr>
              <w:spacing w:after="0"/>
              <w:rPr>
                <w:sz w:val="1"/>
                <w:szCs w:val="1"/>
                <w:color w:val="auto"/>
              </w:rPr>
            </w:pPr>
          </w:p>
        </w:tc>
      </w:tr>
      <w:tr>
        <w:trPr>
          <w:trHeight w:val="146"/>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Agency CMBS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9,237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195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9,369</w:t>
            </w:r>
          </w:p>
        </w:tc>
        <w:tc>
          <w:tcPr>
            <w:tcW w:w="0" w:type="dxa"/>
            <w:vAlign w:val="bottom"/>
          </w:tcPr>
          <w:p>
            <w:pPr>
              <w:spacing w:after="0"/>
              <w:rPr>
                <w:sz w:val="1"/>
                <w:szCs w:val="1"/>
                <w:color w:val="auto"/>
              </w:rPr>
            </w:pPr>
          </w:p>
        </w:tc>
      </w:tr>
      <w:tr>
        <w:trPr>
          <w:trHeight w:val="144"/>
        </w:trPr>
        <w:tc>
          <w:tcPr>
            <w:tcW w:w="5840" w:type="dxa"/>
            <w:vAlign w:val="bottom"/>
            <w:tcBorders>
              <w:bottom w:val="single" w:sz="8" w:color="CCEEFF"/>
            </w:tcBorders>
            <w:gridSpan w:val="3"/>
          </w:tcPr>
          <w:p>
            <w:pPr>
              <w:spacing w:after="0" w:line="144" w:lineRule="exact"/>
              <w:rPr>
                <w:sz w:val="20"/>
                <w:szCs w:val="20"/>
                <w:color w:val="auto"/>
              </w:rPr>
            </w:pPr>
            <w:r>
              <w:rPr>
                <w:rFonts w:ascii="Times New Roman" w:cs="Times New Roman" w:eastAsia="Times New Roman" w:hAnsi="Times New Roman"/>
                <w:sz w:val="11"/>
                <w:szCs w:val="11"/>
                <w:color w:val="auto"/>
              </w:rPr>
              <w:t>Other securities</w:t>
            </w:r>
            <w:r>
              <w:rPr>
                <w:rFonts w:ascii="Times New Roman" w:cs="Times New Roman" w:eastAsia="Times New Roman" w:hAnsi="Times New Roman"/>
                <w:sz w:val="14"/>
                <w:szCs w:val="14"/>
                <w:color w:val="auto"/>
                <w:vertAlign w:val="superscript"/>
              </w:rPr>
              <w:t>(1)</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2,830</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2,834</w:t>
            </w:r>
          </w:p>
        </w:tc>
        <w:tc>
          <w:tcPr>
            <w:tcW w:w="0" w:type="dxa"/>
            <w:vAlign w:val="bottom"/>
          </w:tcPr>
          <w:p>
            <w:pPr>
              <w:spacing w:after="0"/>
              <w:rPr>
                <w:sz w:val="1"/>
                <w:szCs w:val="1"/>
                <w:color w:val="auto"/>
              </w:rPr>
            </w:pPr>
          </w:p>
        </w:tc>
      </w:tr>
      <w:tr>
        <w:trPr>
          <w:trHeight w:val="149"/>
        </w:trPr>
        <w:tc>
          <w:tcPr>
            <w:tcW w:w="5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investment securities available for sale</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94,871</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651"/>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93"/>
              </w:rPr>
              <w:t>(1)</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1,387</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(996)</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95,261</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__________</w:t>
      </w:r>
    </w:p>
    <w:p>
      <w:pPr>
        <w:spacing w:after="0" w:line="32" w:lineRule="exact"/>
        <w:rPr>
          <w:sz w:val="20"/>
          <w:szCs w:val="20"/>
          <w:color w:val="auto"/>
        </w:rPr>
      </w:pPr>
    </w:p>
    <w:p>
      <w:pPr>
        <w:ind w:left="208" w:hanging="208"/>
        <w:spacing w:after="0"/>
        <w:tabs>
          <w:tab w:leader="none" w:pos="208" w:val="left"/>
        </w:tabs>
        <w:numPr>
          <w:ilvl w:val="0"/>
          <w:numId w:val="7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$707 million and $2.0 billion of asset-backed securities (“ABS”) as of December 31, 2022 and 2021, respectively. The remaining amount is primarily comprised of supranational bonds and foreign government bonds.</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Investment Securities in a Gross Unrealized Loss Position</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table below provides the gross unrealized losses and fair value of our securities available for sale aggregated by major security type and the length of time that individual securities have been in a continuous unrealized loss position as of December 31, 2022 and 2021. The amounts include securities available for sale without an allowance for credit losses.</w:t>
      </w:r>
    </w:p>
    <w:p>
      <w:pPr>
        <w:spacing w:after="0" w:line="200" w:lineRule="exact"/>
        <w:rPr>
          <w:sz w:val="20"/>
          <w:szCs w:val="20"/>
          <w:color w:val="auto"/>
        </w:rPr>
      </w:pPr>
    </w:p>
    <w:p>
      <w:pPr>
        <w:spacing w:after="0" w:line="376"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138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39" w:name="page140"/>
    <w:bookmarkEnd w:id="13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2.2: Securities in a Gross Unrealized Loss Position</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Less than 12 Months</w:t>
            </w:r>
          </w:p>
        </w:tc>
        <w:tc>
          <w:tcPr>
            <w:tcW w:w="160" w:type="dxa"/>
            <w:vAlign w:val="bottom"/>
          </w:tcPr>
          <w:p>
            <w:pPr>
              <w:spacing w:after="0"/>
              <w:rPr>
                <w:sz w:val="11"/>
                <w:szCs w:val="11"/>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12 Months or Longer</w:t>
            </w:r>
          </w:p>
        </w:tc>
        <w:tc>
          <w:tcPr>
            <w:tcW w:w="180" w:type="dxa"/>
            <w:vAlign w:val="bottom"/>
          </w:tcPr>
          <w:p>
            <w:pPr>
              <w:spacing w:after="0"/>
              <w:rPr>
                <w:sz w:val="11"/>
                <w:szCs w:val="11"/>
                <w:color w:val="auto"/>
              </w:rPr>
            </w:pPr>
          </w:p>
        </w:tc>
        <w:tc>
          <w:tcPr>
            <w:tcW w:w="1040" w:type="dxa"/>
            <w:vAlign w:val="bottom"/>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109"/>
              <w:spacing w:after="0" w:line="86" w:lineRule="exact"/>
              <w:rPr>
                <w:sz w:val="20"/>
                <w:szCs w:val="20"/>
                <w:color w:val="auto"/>
              </w:rPr>
            </w:pPr>
            <w:r>
              <w:rPr>
                <w:rFonts w:ascii="Times New Roman" w:cs="Times New Roman" w:eastAsia="Times New Roman" w:hAnsi="Times New Roman"/>
                <w:sz w:val="8"/>
                <w:szCs w:val="8"/>
                <w:b w:val="1"/>
                <w:bCs w:val="1"/>
                <w:color w:val="auto"/>
              </w:rPr>
              <w:t>Gross</w:t>
            </w: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129"/>
              <w:spacing w:after="0" w:line="86" w:lineRule="exact"/>
              <w:rPr>
                <w:sz w:val="20"/>
                <w:szCs w:val="20"/>
                <w:color w:val="auto"/>
              </w:rPr>
            </w:pPr>
            <w:r>
              <w:rPr>
                <w:rFonts w:ascii="Times New Roman" w:cs="Times New Roman" w:eastAsia="Times New Roman" w:hAnsi="Times New Roman"/>
                <w:sz w:val="8"/>
                <w:szCs w:val="8"/>
                <w:b w:val="1"/>
                <w:bCs w:val="1"/>
                <w:color w:val="auto"/>
              </w:rPr>
              <w:t>Gross</w:t>
            </w: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109"/>
              <w:spacing w:after="0" w:line="86" w:lineRule="exact"/>
              <w:rPr>
                <w:sz w:val="20"/>
                <w:szCs w:val="20"/>
                <w:color w:val="auto"/>
              </w:rPr>
            </w:pPr>
            <w:r>
              <w:rPr>
                <w:rFonts w:ascii="Times New Roman" w:cs="Times New Roman" w:eastAsia="Times New Roman" w:hAnsi="Times New Roman"/>
                <w:sz w:val="8"/>
                <w:szCs w:val="8"/>
                <w:b w:val="1"/>
                <w:bCs w:val="1"/>
                <w:color w:val="auto"/>
              </w:rPr>
              <w:t>Gross</w:t>
            </w:r>
          </w:p>
        </w:tc>
        <w:tc>
          <w:tcPr>
            <w:tcW w:w="0" w:type="dxa"/>
            <w:vAlign w:val="bottom"/>
          </w:tcPr>
          <w:p>
            <w:pPr>
              <w:spacing w:after="0"/>
              <w:rPr>
                <w:sz w:val="1"/>
                <w:szCs w:val="1"/>
                <w:color w:val="auto"/>
              </w:rPr>
            </w:pPr>
          </w:p>
        </w:tc>
      </w:tr>
      <w:tr>
        <w:trPr>
          <w:trHeight w:val="97"/>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Pr>
          <w:p>
            <w:pPr>
              <w:spacing w:after="0"/>
              <w:rPr>
                <w:sz w:val="8"/>
                <w:szCs w:val="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60" w:type="dxa"/>
            <w:vAlign w:val="bottom"/>
          </w:tcPr>
          <w:p>
            <w:pPr>
              <w:spacing w:after="0"/>
              <w:rPr>
                <w:sz w:val="8"/>
                <w:szCs w:val="8"/>
                <w:color w:val="auto"/>
              </w:rPr>
            </w:pPr>
          </w:p>
        </w:tc>
        <w:tc>
          <w:tcPr>
            <w:tcW w:w="900" w:type="dxa"/>
            <w:vAlign w:val="bottom"/>
            <w:gridSpan w:val="2"/>
          </w:tcPr>
          <w:p>
            <w:pPr>
              <w:jc w:val="center"/>
              <w:ind w:right="260"/>
              <w:spacing w:after="0" w:line="98"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60" w:type="dxa"/>
            <w:vAlign w:val="bottom"/>
          </w:tcPr>
          <w:p>
            <w:pPr>
              <w:spacing w:after="0"/>
              <w:rPr>
                <w:sz w:val="8"/>
                <w:szCs w:val="8"/>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60" w:type="dxa"/>
            <w:vAlign w:val="bottom"/>
          </w:tcPr>
          <w:p>
            <w:pPr>
              <w:spacing w:after="0"/>
              <w:rPr>
                <w:sz w:val="8"/>
                <w:szCs w:val="8"/>
                <w:color w:val="auto"/>
              </w:rPr>
            </w:pPr>
          </w:p>
        </w:tc>
        <w:tc>
          <w:tcPr>
            <w:tcW w:w="900" w:type="dxa"/>
            <w:vAlign w:val="bottom"/>
            <w:gridSpan w:val="2"/>
          </w:tcPr>
          <w:p>
            <w:pPr>
              <w:jc w:val="center"/>
              <w:ind w:right="260"/>
              <w:spacing w:after="0" w:line="98"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80" w:type="dxa"/>
            <w:vAlign w:val="bottom"/>
          </w:tcPr>
          <w:p>
            <w:pPr>
              <w:spacing w:after="0"/>
              <w:rPr>
                <w:sz w:val="8"/>
                <w:szCs w:val="8"/>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60" w:type="dxa"/>
            <w:vAlign w:val="bottom"/>
          </w:tcPr>
          <w:p>
            <w:pPr>
              <w:spacing w:after="0"/>
              <w:rPr>
                <w:sz w:val="8"/>
                <w:szCs w:val="8"/>
                <w:color w:val="auto"/>
              </w:rPr>
            </w:pPr>
          </w:p>
        </w:tc>
        <w:tc>
          <w:tcPr>
            <w:tcW w:w="820" w:type="dxa"/>
            <w:vAlign w:val="bottom"/>
          </w:tcPr>
          <w:p>
            <w:pPr>
              <w:jc w:val="center"/>
              <w:ind w:right="109"/>
              <w:spacing w:after="0" w:line="98"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0" w:type="dxa"/>
            <w:vAlign w:val="bottom"/>
          </w:tcPr>
          <w:p>
            <w:pPr>
              <w:spacing w:after="0"/>
              <w:rPr>
                <w:sz w:val="1"/>
                <w:szCs w:val="1"/>
                <w:color w:val="auto"/>
              </w:rPr>
            </w:pPr>
          </w:p>
        </w:tc>
      </w:tr>
      <w:tr>
        <w:trPr>
          <w:trHeight w:val="130"/>
        </w:trPr>
        <w:tc>
          <w:tcPr>
            <w:tcW w:w="5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109"/>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0" w:type="dxa"/>
            <w:vAlign w:val="bottom"/>
          </w:tcPr>
          <w:p>
            <w:pPr>
              <w:spacing w:after="0"/>
              <w:rPr>
                <w:sz w:val="1"/>
                <w:szCs w:val="1"/>
                <w:color w:val="auto"/>
              </w:rPr>
            </w:pPr>
          </w:p>
        </w:tc>
      </w:tr>
      <w:tr>
        <w:trPr>
          <w:trHeight w:val="138"/>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 without an allowance for credit losses:</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U.S. Treasury securities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2,464</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(57)</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448</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2,912</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(90)</w:t>
            </w:r>
          </w:p>
        </w:tc>
        <w:tc>
          <w:tcPr>
            <w:tcW w:w="0" w:type="dxa"/>
            <w:vAlign w:val="bottom"/>
          </w:tcPr>
          <w:p>
            <w:pPr>
              <w:spacing w:after="0"/>
              <w:rPr>
                <w:sz w:val="1"/>
                <w:szCs w:val="1"/>
                <w:color w:val="auto"/>
              </w:rPr>
            </w:pPr>
          </w:p>
        </w:tc>
      </w:tr>
      <w:tr>
        <w:trPr>
          <w:trHeight w:val="145"/>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RMBS: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Agency</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23,271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36,803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(7,604)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60,074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(9,413)</w:t>
            </w:r>
          </w:p>
        </w:tc>
        <w:tc>
          <w:tcPr>
            <w:tcW w:w="0" w:type="dxa"/>
            <w:vAlign w:val="bottom"/>
          </w:tcPr>
          <w:p>
            <w:pPr>
              <w:spacing w:after="0"/>
              <w:rPr>
                <w:sz w:val="1"/>
                <w:szCs w:val="1"/>
                <w:color w:val="auto"/>
              </w:rPr>
            </w:pPr>
          </w:p>
        </w:tc>
      </w:tr>
      <w:tr>
        <w:trPr>
          <w:trHeight w:val="145"/>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Non-agency</w:t>
            </w: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32"/>
        </w:trPr>
        <w:tc>
          <w:tcPr>
            <w:tcW w:w="502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RMBS</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23,285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(1,810)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36,806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(7,604)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60,091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(9,414)</w:t>
            </w:r>
          </w:p>
        </w:tc>
        <w:tc>
          <w:tcPr>
            <w:tcW w:w="0" w:type="dxa"/>
            <w:vAlign w:val="bottom"/>
          </w:tcPr>
          <w:p>
            <w:pPr>
              <w:spacing w:after="0"/>
              <w:rPr>
                <w:sz w:val="1"/>
                <w:szCs w:val="1"/>
                <w:color w:val="auto"/>
              </w:rPr>
            </w:pPr>
          </w:p>
        </w:tc>
      </w:tr>
      <w:tr>
        <w:trPr>
          <w:trHeight w:val="145"/>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Agency CMBS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7,539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(760)</w:t>
            </w:r>
          </w:p>
        </w:tc>
        <w:tc>
          <w:tcPr>
            <w:tcW w:w="0" w:type="dxa"/>
            <w:vAlign w:val="bottom"/>
          </w:tcPr>
          <w:p>
            <w:pPr>
              <w:spacing w:after="0"/>
              <w:rPr>
                <w:sz w:val="1"/>
                <w:szCs w:val="1"/>
                <w:color w:val="auto"/>
              </w:rPr>
            </w:pPr>
          </w:p>
        </w:tc>
      </w:tr>
      <w:tr>
        <w:trPr>
          <w:trHeight w:val="143"/>
        </w:trPr>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securities</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555</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76</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631</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0" w:type="dxa"/>
            <w:vAlign w:val="bottom"/>
          </w:tcPr>
          <w:p>
            <w:pPr>
              <w:spacing w:after="0"/>
              <w:rPr>
                <w:sz w:val="1"/>
                <w:szCs w:val="1"/>
                <w:color w:val="auto"/>
              </w:rPr>
            </w:pPr>
          </w:p>
        </w:tc>
      </w:tr>
      <w:tr>
        <w:trPr>
          <w:trHeight w:val="89"/>
        </w:trPr>
        <w:tc>
          <w:tcPr>
            <w:tcW w:w="5020" w:type="dxa"/>
            <w:vAlign w:val="bottom"/>
            <w:gridSpan w:val="2"/>
            <w:shd w:val="clear" w:color="auto" w:fill="CCEEFF"/>
          </w:tcPr>
          <w:p>
            <w:pPr>
              <w:spacing w:after="0" w:line="89" w:lineRule="exact"/>
              <w:rPr>
                <w:sz w:val="20"/>
                <w:szCs w:val="20"/>
                <w:color w:val="auto"/>
              </w:rPr>
            </w:pPr>
            <w:r>
              <w:rPr>
                <w:rFonts w:ascii="Times New Roman" w:cs="Times New Roman" w:eastAsia="Times New Roman" w:hAnsi="Times New Roman"/>
                <w:sz w:val="10"/>
                <w:szCs w:val="10"/>
                <w:color w:val="auto"/>
              </w:rPr>
              <w:t>Total investment securities available for sale in a gross unrealized loss position without an allowance for credit</w:t>
            </w:r>
          </w:p>
        </w:tc>
        <w:tc>
          <w:tcPr>
            <w:tcW w:w="1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30,629</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(2,141)</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40,544</w:t>
            </w:r>
          </w:p>
        </w:tc>
        <w:tc>
          <w:tcPr>
            <w:tcW w:w="10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(8,133)</w:t>
            </w:r>
          </w:p>
        </w:tc>
        <w:tc>
          <w:tcPr>
            <w:tcW w:w="8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71,173</w:t>
            </w:r>
          </w:p>
        </w:tc>
        <w:tc>
          <w:tcPr>
            <w:tcW w:w="8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(10,274)</w:t>
            </w:r>
          </w:p>
        </w:tc>
        <w:tc>
          <w:tcPr>
            <w:tcW w:w="0" w:type="dxa"/>
            <w:vAlign w:val="bottom"/>
          </w:tcPr>
          <w:p>
            <w:pPr>
              <w:spacing w:after="0"/>
              <w:rPr>
                <w:sz w:val="1"/>
                <w:szCs w:val="1"/>
                <w:color w:val="auto"/>
              </w:rPr>
            </w:pPr>
          </w:p>
        </w:tc>
      </w:tr>
      <w:tr>
        <w:trPr>
          <w:trHeight w:val="133"/>
        </w:trPr>
        <w:tc>
          <w:tcPr>
            <w:tcW w:w="502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1"/>
                <w:szCs w:val="11"/>
                <w:color w:val="auto"/>
              </w:rPr>
              <w:t>losses</w:t>
            </w:r>
            <w:r>
              <w:rPr>
                <w:rFonts w:ascii="Times New Roman" w:cs="Times New Roman" w:eastAsia="Times New Roman" w:hAnsi="Times New Roman"/>
                <w:sz w:val="14"/>
                <w:szCs w:val="14"/>
                <w:color w:val="auto"/>
                <w:vertAlign w:val="superscript"/>
              </w:rPr>
              <w:t>(1)</w:t>
            </w: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vMerge w:val="continue"/>
            <w:shd w:val="clear" w:color="auto" w:fill="CCEEFF"/>
          </w:tcPr>
          <w:p>
            <w:pPr>
              <w:spacing w:after="0"/>
              <w:rPr>
                <w:sz w:val="11"/>
                <w:szCs w:val="11"/>
                <w:color w:val="auto"/>
              </w:rPr>
            </w:pPr>
          </w:p>
        </w:tc>
        <w:tc>
          <w:tcPr>
            <w:tcW w:w="8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vMerge w:val="continue"/>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82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60" w:type="dxa"/>
            <w:vAlign w:val="bottom"/>
            <w:gridSpan w:val="5"/>
          </w:tcPr>
          <w:p>
            <w:pPr>
              <w:ind w:left="420"/>
              <w:spacing w:after="0"/>
              <w:rPr>
                <w:sz w:val="20"/>
                <w:szCs w:val="20"/>
                <w:color w:val="auto"/>
              </w:rPr>
            </w:pPr>
            <w:r>
              <w:rPr>
                <w:rFonts w:ascii="Times New Roman" w:cs="Times New Roman" w:eastAsia="Times New Roman" w:hAnsi="Times New Roman"/>
                <w:sz w:val="10"/>
                <w:szCs w:val="10"/>
                <w:b w:val="1"/>
                <w:bCs w:val="1"/>
                <w:color w:val="auto"/>
              </w:rPr>
              <w:t>Less than 12 Months</w:t>
            </w:r>
          </w:p>
        </w:tc>
        <w:tc>
          <w:tcPr>
            <w:tcW w:w="160" w:type="dxa"/>
            <w:vAlign w:val="bottom"/>
          </w:tcPr>
          <w:p>
            <w:pPr>
              <w:spacing w:after="0"/>
              <w:rPr>
                <w:sz w:val="11"/>
                <w:szCs w:val="11"/>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12 Months or Longer</w:t>
            </w:r>
          </w:p>
        </w:tc>
        <w:tc>
          <w:tcPr>
            <w:tcW w:w="180" w:type="dxa"/>
            <w:vAlign w:val="bottom"/>
          </w:tcPr>
          <w:p>
            <w:pPr>
              <w:spacing w:after="0"/>
              <w:rPr>
                <w:sz w:val="11"/>
                <w:szCs w:val="11"/>
                <w:color w:val="auto"/>
              </w:rPr>
            </w:pPr>
          </w:p>
        </w:tc>
        <w:tc>
          <w:tcPr>
            <w:tcW w:w="1040" w:type="dxa"/>
            <w:vAlign w:val="bottom"/>
            <w:gridSpan w:val="3"/>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109"/>
              <w:spacing w:after="0" w:line="84" w:lineRule="exact"/>
              <w:rPr>
                <w:sz w:val="20"/>
                <w:szCs w:val="20"/>
                <w:color w:val="auto"/>
              </w:rPr>
            </w:pPr>
            <w:r>
              <w:rPr>
                <w:rFonts w:ascii="Times New Roman" w:cs="Times New Roman" w:eastAsia="Times New Roman" w:hAnsi="Times New Roman"/>
                <w:sz w:val="8"/>
                <w:szCs w:val="8"/>
                <w:b w:val="1"/>
                <w:bCs w:val="1"/>
                <w:color w:val="auto"/>
              </w:rPr>
              <w:t>Gross</w:t>
            </w: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129"/>
              <w:spacing w:after="0" w:line="84" w:lineRule="exact"/>
              <w:rPr>
                <w:sz w:val="20"/>
                <w:szCs w:val="20"/>
                <w:color w:val="auto"/>
              </w:rPr>
            </w:pPr>
            <w:r>
              <w:rPr>
                <w:rFonts w:ascii="Times New Roman" w:cs="Times New Roman" w:eastAsia="Times New Roman" w:hAnsi="Times New Roman"/>
                <w:sz w:val="8"/>
                <w:szCs w:val="8"/>
                <w:b w:val="1"/>
                <w:bCs w:val="1"/>
                <w:color w:val="auto"/>
              </w:rPr>
              <w:t>Gross</w:t>
            </w: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109"/>
              <w:spacing w:after="0" w:line="84" w:lineRule="exact"/>
              <w:rPr>
                <w:sz w:val="20"/>
                <w:szCs w:val="20"/>
                <w:color w:val="auto"/>
              </w:rPr>
            </w:pPr>
            <w:r>
              <w:rPr>
                <w:rFonts w:ascii="Times New Roman" w:cs="Times New Roman" w:eastAsia="Times New Roman" w:hAnsi="Times New Roman"/>
                <w:sz w:val="8"/>
                <w:szCs w:val="8"/>
                <w:b w:val="1"/>
                <w:bCs w:val="1"/>
                <w:color w:val="auto"/>
              </w:rPr>
              <w:t>Gross</w:t>
            </w:r>
          </w:p>
        </w:tc>
        <w:tc>
          <w:tcPr>
            <w:tcW w:w="0" w:type="dxa"/>
            <w:vAlign w:val="bottom"/>
          </w:tcPr>
          <w:p>
            <w:pPr>
              <w:spacing w:after="0"/>
              <w:rPr>
                <w:sz w:val="1"/>
                <w:szCs w:val="1"/>
                <w:color w:val="auto"/>
              </w:rPr>
            </w:pPr>
          </w:p>
        </w:tc>
      </w:tr>
      <w:tr>
        <w:trPr>
          <w:trHeight w:val="92"/>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Pr>
          <w:p>
            <w:pPr>
              <w:spacing w:after="0"/>
              <w:rPr>
                <w:sz w:val="7"/>
                <w:szCs w:val="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60" w:type="dxa"/>
            <w:vAlign w:val="bottom"/>
          </w:tcPr>
          <w:p>
            <w:pPr>
              <w:spacing w:after="0"/>
              <w:rPr>
                <w:sz w:val="7"/>
                <w:szCs w:val="7"/>
                <w:color w:val="auto"/>
              </w:rPr>
            </w:pPr>
          </w:p>
        </w:tc>
        <w:tc>
          <w:tcPr>
            <w:tcW w:w="900" w:type="dxa"/>
            <w:vAlign w:val="bottom"/>
            <w:gridSpan w:val="2"/>
          </w:tcPr>
          <w:p>
            <w:pPr>
              <w:jc w:val="center"/>
              <w:ind w:right="260"/>
              <w:spacing w:after="0" w:line="92"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60" w:type="dxa"/>
            <w:vAlign w:val="bottom"/>
          </w:tcPr>
          <w:p>
            <w:pPr>
              <w:spacing w:after="0"/>
              <w:rPr>
                <w:sz w:val="7"/>
                <w:szCs w:val="7"/>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60" w:type="dxa"/>
            <w:vAlign w:val="bottom"/>
          </w:tcPr>
          <w:p>
            <w:pPr>
              <w:spacing w:after="0"/>
              <w:rPr>
                <w:sz w:val="7"/>
                <w:szCs w:val="7"/>
                <w:color w:val="auto"/>
              </w:rPr>
            </w:pPr>
          </w:p>
        </w:tc>
        <w:tc>
          <w:tcPr>
            <w:tcW w:w="900" w:type="dxa"/>
            <w:vAlign w:val="bottom"/>
            <w:gridSpan w:val="2"/>
          </w:tcPr>
          <w:p>
            <w:pPr>
              <w:jc w:val="center"/>
              <w:ind w:right="260"/>
              <w:spacing w:after="0" w:line="92"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80" w:type="dxa"/>
            <w:vAlign w:val="bottom"/>
          </w:tcPr>
          <w:p>
            <w:pPr>
              <w:spacing w:after="0"/>
              <w:rPr>
                <w:sz w:val="7"/>
                <w:szCs w:val="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60" w:type="dxa"/>
            <w:vAlign w:val="bottom"/>
          </w:tcPr>
          <w:p>
            <w:pPr>
              <w:spacing w:after="0"/>
              <w:rPr>
                <w:sz w:val="7"/>
                <w:szCs w:val="7"/>
                <w:color w:val="auto"/>
              </w:rPr>
            </w:pPr>
          </w:p>
        </w:tc>
        <w:tc>
          <w:tcPr>
            <w:tcW w:w="820" w:type="dxa"/>
            <w:vAlign w:val="bottom"/>
          </w:tcPr>
          <w:p>
            <w:pPr>
              <w:jc w:val="center"/>
              <w:ind w:right="109"/>
              <w:spacing w:after="0" w:line="92"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0" w:type="dxa"/>
            <w:vAlign w:val="bottom"/>
          </w:tcPr>
          <w:p>
            <w:pPr>
              <w:spacing w:after="0"/>
              <w:rPr>
                <w:sz w:val="1"/>
                <w:szCs w:val="1"/>
                <w:color w:val="auto"/>
              </w:rPr>
            </w:pPr>
          </w:p>
        </w:tc>
      </w:tr>
      <w:tr>
        <w:trPr>
          <w:trHeight w:val="134"/>
        </w:trPr>
        <w:tc>
          <w:tcPr>
            <w:tcW w:w="50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1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109"/>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0" w:type="dxa"/>
            <w:vAlign w:val="bottom"/>
          </w:tcPr>
          <w:p>
            <w:pPr>
              <w:spacing w:after="0"/>
              <w:rPr>
                <w:sz w:val="1"/>
                <w:szCs w:val="1"/>
                <w:color w:val="auto"/>
              </w:rPr>
            </w:pPr>
          </w:p>
        </w:tc>
      </w:tr>
      <w:tr>
        <w:trPr>
          <w:trHeight w:val="142"/>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Investment securities available for sale without an allowance for credit losses:</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RMBS: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Agency</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37,492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46,098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Non-agency</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35"/>
        </w:trPr>
        <w:tc>
          <w:tcPr>
            <w:tcW w:w="50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RMBS</w:t>
            </w: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37,495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8,607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46,102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0" w:type="dxa"/>
            <w:vAlign w:val="bottom"/>
          </w:tcPr>
          <w:p>
            <w:pPr>
              <w:spacing w:after="0"/>
              <w:rPr>
                <w:sz w:val="1"/>
                <w:szCs w:val="1"/>
                <w:color w:val="auto"/>
              </w:rPr>
            </w:pPr>
          </w:p>
        </w:tc>
      </w:tr>
      <w:tr>
        <w:trPr>
          <w:trHeight w:val="142"/>
        </w:trPr>
        <w:tc>
          <w:tcPr>
            <w:tcW w:w="5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Agency CMBS</w:t>
            </w: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3,802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46"/>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securities</w:t>
            </w: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1,207</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1,207</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88"/>
        </w:trPr>
        <w:tc>
          <w:tcPr>
            <w:tcW w:w="502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color w:val="auto"/>
              </w:rPr>
              <w:t>Total investment securities available for sale in a gross unrealized loss position without an allowance for credit</w:t>
            </w: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41,701</w:t>
            </w:r>
          </w:p>
        </w:tc>
        <w:tc>
          <w:tcPr>
            <w:tcW w:w="100" w:type="dxa"/>
            <w:vAlign w:val="bottom"/>
          </w:tcPr>
          <w:p>
            <w:pPr>
              <w:spacing w:after="0"/>
              <w:rPr>
                <w:sz w:val="7"/>
                <w:szCs w:val="7"/>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00" w:type="dxa"/>
            <w:vAlign w:val="bottom"/>
          </w:tcPr>
          <w:p>
            <w:pPr>
              <w:spacing w:after="0"/>
              <w:rPr>
                <w:sz w:val="7"/>
                <w:szCs w:val="7"/>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9,410</w:t>
            </w:r>
          </w:p>
        </w:tc>
        <w:tc>
          <w:tcPr>
            <w:tcW w:w="100" w:type="dxa"/>
            <w:vAlign w:val="bottom"/>
          </w:tcPr>
          <w:p>
            <w:pPr>
              <w:spacing w:after="0"/>
              <w:rPr>
                <w:sz w:val="7"/>
                <w:szCs w:val="7"/>
                <w:color w:val="auto"/>
              </w:rPr>
            </w:pPr>
          </w:p>
        </w:tc>
        <w:tc>
          <w:tcPr>
            <w:tcW w:w="1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tcPr>
          <w:p>
            <w:pPr>
              <w:spacing w:after="0"/>
              <w:rPr>
                <w:sz w:val="7"/>
                <w:szCs w:val="7"/>
                <w:color w:val="auto"/>
              </w:rPr>
            </w:pPr>
          </w:p>
        </w:tc>
        <w:tc>
          <w:tcPr>
            <w:tcW w:w="18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51,111</w:t>
            </w:r>
          </w:p>
        </w:tc>
        <w:tc>
          <w:tcPr>
            <w:tcW w:w="80" w:type="dxa"/>
            <w:vAlign w:val="bottom"/>
          </w:tcPr>
          <w:p>
            <w:pPr>
              <w:spacing w:after="0"/>
              <w:rPr>
                <w:sz w:val="7"/>
                <w:szCs w:val="7"/>
                <w:color w:val="auto"/>
              </w:rPr>
            </w:pPr>
          </w:p>
        </w:tc>
        <w:tc>
          <w:tcPr>
            <w:tcW w:w="1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0" w:type="dxa"/>
            <w:vAlign w:val="bottom"/>
          </w:tcPr>
          <w:p>
            <w:pPr>
              <w:spacing w:after="0"/>
              <w:rPr>
                <w:sz w:val="1"/>
                <w:szCs w:val="1"/>
                <w:color w:val="auto"/>
              </w:rPr>
            </w:pPr>
          </w:p>
        </w:tc>
      </w:tr>
      <w:tr>
        <w:trPr>
          <w:trHeight w:val="131"/>
        </w:trPr>
        <w:tc>
          <w:tcPr>
            <w:tcW w:w="5020" w:type="dxa"/>
            <w:vAlign w:val="bottom"/>
            <w:gridSpan w:val="2"/>
          </w:tcPr>
          <w:p>
            <w:pPr>
              <w:spacing w:after="0" w:line="126" w:lineRule="exact"/>
              <w:rPr>
                <w:sz w:val="20"/>
                <w:szCs w:val="20"/>
                <w:color w:val="auto"/>
              </w:rPr>
            </w:pPr>
            <w:r>
              <w:rPr>
                <w:rFonts w:ascii="Times New Roman" w:cs="Times New Roman" w:eastAsia="Times New Roman" w:hAnsi="Times New Roman"/>
                <w:sz w:val="11"/>
                <w:szCs w:val="11"/>
                <w:color w:val="auto"/>
              </w:rPr>
              <w:t>losses</w:t>
            </w:r>
            <w:r>
              <w:rPr>
                <w:rFonts w:ascii="Times New Roman" w:cs="Times New Roman" w:eastAsia="Times New Roman" w:hAnsi="Times New Roman"/>
                <w:sz w:val="14"/>
                <w:szCs w:val="14"/>
                <w:color w:val="auto"/>
                <w:vertAlign w:val="superscript"/>
              </w:rPr>
              <w:t>(1)</w:t>
            </w:r>
          </w:p>
        </w:tc>
        <w:tc>
          <w:tcPr>
            <w:tcW w:w="16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168" w:hanging="168"/>
        <w:spacing w:after="0"/>
        <w:tabs>
          <w:tab w:leader="none" w:pos="168" w:val="left"/>
        </w:tabs>
        <w:numPr>
          <w:ilvl w:val="0"/>
          <w:numId w:val="7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Consists of approximately 2,840 and 740 securities in gross unrealized loss positions as of December 31, 2022 and 2021, respectively.</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Maturities and Yields of Investment Securities</w:t>
      </w:r>
    </w:p>
    <w:p>
      <w:pPr>
        <w:spacing w:after="0" w:line="11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table below summarizes, as of December 31, 2022, the fair value of our investment securities by major security type and contractual maturity as well as the total fair value, amortized cost and weighted-average yields of our investment securities by contractual maturity. Because borrowers may have the right to call or prepay certain obligations, the expected maturities of our securities are likely to differ from the scheduled contractual maturities presented below. The weighted-average yield below represents the effective yield for the investment securities and is calculated based on the amortized cost of each security.</w:t>
      </w:r>
    </w:p>
    <w:p>
      <w:pPr>
        <w:spacing w:after="0" w:line="200" w:lineRule="exact"/>
        <w:rPr>
          <w:sz w:val="20"/>
          <w:szCs w:val="20"/>
          <w:color w:val="auto"/>
        </w:rPr>
      </w:pPr>
    </w:p>
    <w:p>
      <w:pPr>
        <w:spacing w:after="0" w:line="383"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139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0" w:name="page141"/>
    <w:bookmarkEnd w:id="140"/>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2.3: Contractual Maturities and Weighted-Average Yields of Securities</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9"/>
              </w:rPr>
              <w:t>Due in</w:t>
            </w:r>
          </w:p>
        </w:tc>
        <w:tc>
          <w:tcPr>
            <w:tcW w:w="200" w:type="dxa"/>
            <w:vAlign w:val="bottom"/>
          </w:tcPr>
          <w:p>
            <w:pPr>
              <w:spacing w:after="0"/>
              <w:rPr>
                <w:sz w:val="7"/>
                <w:szCs w:val="7"/>
                <w:color w:val="auto"/>
              </w:rPr>
            </w:pPr>
          </w:p>
        </w:tc>
        <w:tc>
          <w:tcPr>
            <w:tcW w:w="1080" w:type="dxa"/>
            <w:vAlign w:val="bottom"/>
            <w:gridSpan w:val="2"/>
          </w:tcPr>
          <w:p>
            <w:pPr>
              <w:jc w:val="center"/>
              <w:ind w:right="300"/>
              <w:spacing w:after="0" w:line="89" w:lineRule="exact"/>
              <w:rPr>
                <w:sz w:val="20"/>
                <w:szCs w:val="20"/>
                <w:color w:val="auto"/>
              </w:rPr>
            </w:pPr>
            <w:r>
              <w:rPr>
                <w:rFonts w:ascii="Times New Roman" w:cs="Times New Roman" w:eastAsia="Times New Roman" w:hAnsi="Times New Roman"/>
                <w:sz w:val="10"/>
                <w:szCs w:val="10"/>
                <w:b w:val="1"/>
                <w:bCs w:val="1"/>
                <w:color w:val="auto"/>
                <w:w w:val="95"/>
              </w:rPr>
              <w:t>Due &gt; 1 Year</w:t>
            </w:r>
          </w:p>
        </w:tc>
        <w:tc>
          <w:tcPr>
            <w:tcW w:w="140" w:type="dxa"/>
            <w:vAlign w:val="bottom"/>
          </w:tcPr>
          <w:p>
            <w:pPr>
              <w:spacing w:after="0"/>
              <w:rPr>
                <w:sz w:val="7"/>
                <w:szCs w:val="7"/>
                <w:color w:val="auto"/>
              </w:rPr>
            </w:pPr>
          </w:p>
        </w:tc>
        <w:tc>
          <w:tcPr>
            <w:tcW w:w="1140" w:type="dxa"/>
            <w:vAlign w:val="bottom"/>
            <w:gridSpan w:val="2"/>
          </w:tcPr>
          <w:p>
            <w:pPr>
              <w:jc w:val="center"/>
              <w:ind w:right="240"/>
              <w:spacing w:after="0" w:line="89" w:lineRule="exact"/>
              <w:rPr>
                <w:sz w:val="20"/>
                <w:szCs w:val="20"/>
                <w:color w:val="auto"/>
              </w:rPr>
            </w:pPr>
            <w:r>
              <w:rPr>
                <w:rFonts w:ascii="Times New Roman" w:cs="Times New Roman" w:eastAsia="Times New Roman" w:hAnsi="Times New Roman"/>
                <w:sz w:val="10"/>
                <w:szCs w:val="10"/>
                <w:b w:val="1"/>
                <w:bCs w:val="1"/>
                <w:color w:val="auto"/>
                <w:w w:val="95"/>
              </w:rPr>
              <w:t>Due &gt; 5 Years</w:t>
            </w: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gridSpan w:val="2"/>
          </w:tcPr>
          <w:p>
            <w:pPr>
              <w:jc w:val="center"/>
              <w:ind w:right="300"/>
              <w:spacing w:after="0" w:line="98" w:lineRule="exact"/>
              <w:rPr>
                <w:sz w:val="20"/>
                <w:szCs w:val="20"/>
                <w:color w:val="auto"/>
              </w:rPr>
            </w:pPr>
            <w:r>
              <w:rPr>
                <w:rFonts w:ascii="Times New Roman" w:cs="Times New Roman" w:eastAsia="Times New Roman" w:hAnsi="Times New Roman"/>
                <w:sz w:val="10"/>
                <w:szCs w:val="10"/>
                <w:b w:val="1"/>
                <w:bCs w:val="1"/>
                <w:color w:val="auto"/>
                <w:w w:val="98"/>
              </w:rPr>
              <w:t>through</w:t>
            </w:r>
          </w:p>
        </w:tc>
        <w:tc>
          <w:tcPr>
            <w:tcW w:w="140" w:type="dxa"/>
            <w:vAlign w:val="bottom"/>
          </w:tcPr>
          <w:p>
            <w:pPr>
              <w:spacing w:after="0"/>
              <w:rPr>
                <w:sz w:val="8"/>
                <w:szCs w:val="8"/>
                <w:color w:val="auto"/>
              </w:rPr>
            </w:pPr>
          </w:p>
        </w:tc>
        <w:tc>
          <w:tcPr>
            <w:tcW w:w="1140" w:type="dxa"/>
            <w:vAlign w:val="bottom"/>
            <w:gridSpan w:val="2"/>
          </w:tcPr>
          <w:p>
            <w:pPr>
              <w:jc w:val="center"/>
              <w:ind w:right="240"/>
              <w:spacing w:after="0" w:line="98" w:lineRule="exact"/>
              <w:rPr>
                <w:sz w:val="20"/>
                <w:szCs w:val="20"/>
                <w:color w:val="auto"/>
              </w:rPr>
            </w:pPr>
            <w:r>
              <w:rPr>
                <w:rFonts w:ascii="Times New Roman" w:cs="Times New Roman" w:eastAsia="Times New Roman" w:hAnsi="Times New Roman"/>
                <w:sz w:val="10"/>
                <w:szCs w:val="10"/>
                <w:b w:val="1"/>
                <w:bCs w:val="1"/>
                <w:color w:val="auto"/>
                <w:w w:val="98"/>
              </w:rPr>
              <w:t>through</w:t>
            </w:r>
          </w:p>
        </w:tc>
        <w:tc>
          <w:tcPr>
            <w:tcW w:w="160" w:type="dxa"/>
            <w:vAlign w:val="bottom"/>
          </w:tcPr>
          <w:p>
            <w:pPr>
              <w:spacing w:after="0"/>
              <w:rPr>
                <w:sz w:val="8"/>
                <w:szCs w:val="8"/>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Due &gt; 10 Years</w:t>
            </w:r>
          </w:p>
        </w:tc>
        <w:tc>
          <w:tcPr>
            <w:tcW w:w="260" w:type="dxa"/>
            <w:vAlign w:val="bottom"/>
          </w:tcPr>
          <w:p>
            <w:pPr>
              <w:spacing w:after="0"/>
              <w:rPr>
                <w:sz w:val="8"/>
                <w:szCs w:val="8"/>
                <w:color w:val="auto"/>
              </w:rPr>
            </w:pPr>
          </w:p>
        </w:tc>
        <w:tc>
          <w:tcPr>
            <w:tcW w:w="920" w:type="dxa"/>
            <w:vAlign w:val="bottom"/>
            <w:vMerge w:val="restart"/>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1"/>
        </w:trPr>
        <w:tc>
          <w:tcPr>
            <w:tcW w:w="4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3"/>
              </w:rPr>
              <w:t>1 Year or Less</w:t>
            </w:r>
          </w:p>
        </w:tc>
        <w:tc>
          <w:tcPr>
            <w:tcW w:w="20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2"/>
              </w:rPr>
              <w:t>5 Years</w:t>
            </w:r>
          </w:p>
        </w:tc>
        <w:tc>
          <w:tcPr>
            <w:tcW w:w="140" w:type="dxa"/>
            <w:vAlign w:val="bottom"/>
          </w:tcPr>
          <w:p>
            <w:pPr>
              <w:spacing w:after="0"/>
              <w:rPr>
                <w:sz w:val="11"/>
                <w:szCs w:val="1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0"/>
              </w:rPr>
              <w:t>10 Years</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Fair value of securities available for sale:</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U.S. Treasury securities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5,041</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5,041</w:t>
            </w:r>
          </w:p>
        </w:tc>
        <w:tc>
          <w:tcPr>
            <w:tcW w:w="0" w:type="dxa"/>
            <w:vAlign w:val="bottom"/>
          </w:tcPr>
          <w:p>
            <w:pPr>
              <w:spacing w:after="0"/>
              <w:rPr>
                <w:sz w:val="1"/>
                <w:szCs w:val="1"/>
                <w:color w:val="auto"/>
              </w:rPr>
            </w:pPr>
          </w:p>
        </w:tc>
      </w:tr>
      <w:tr>
        <w:trPr>
          <w:trHeight w:val="145"/>
        </w:trPr>
        <w:tc>
          <w:tcPr>
            <w:tcW w:w="49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RMBS</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Agency</w:t>
            </w:r>
          </w:p>
        </w:tc>
        <w:tc>
          <w:tcPr>
            <w:tcW w:w="180" w:type="dxa"/>
            <w:vAlign w:val="bottom"/>
          </w:tcPr>
          <w:p>
            <w:pPr>
              <w:spacing w:after="0"/>
              <w:rPr>
                <w:sz w:val="12"/>
                <w:szCs w:val="12"/>
                <w:color w:val="auto"/>
              </w:rPr>
            </w:pP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103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1,151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60,598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61,852</w:t>
            </w:r>
          </w:p>
        </w:tc>
        <w:tc>
          <w:tcPr>
            <w:tcW w:w="0" w:type="dxa"/>
            <w:vAlign w:val="bottom"/>
          </w:tcPr>
          <w:p>
            <w:pPr>
              <w:spacing w:after="0"/>
              <w:rPr>
                <w:sz w:val="1"/>
                <w:szCs w:val="1"/>
                <w:color w:val="auto"/>
              </w:rPr>
            </w:pPr>
          </w:p>
        </w:tc>
      </w:tr>
      <w:tr>
        <w:trPr>
          <w:trHeight w:val="145"/>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Non-agency</w:t>
            </w:r>
          </w:p>
        </w:tc>
        <w:tc>
          <w:tcPr>
            <w:tcW w:w="1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737</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737</w:t>
            </w:r>
          </w:p>
        </w:tc>
        <w:tc>
          <w:tcPr>
            <w:tcW w:w="0" w:type="dxa"/>
            <w:vAlign w:val="bottom"/>
          </w:tcPr>
          <w:p>
            <w:pPr>
              <w:spacing w:after="0"/>
              <w:rPr>
                <w:sz w:val="1"/>
                <w:szCs w:val="1"/>
                <w:color w:val="auto"/>
              </w:rPr>
            </w:pPr>
          </w:p>
        </w:tc>
      </w:tr>
      <w:tr>
        <w:trPr>
          <w:trHeight w:val="132"/>
        </w:trPr>
        <w:tc>
          <w:tcPr>
            <w:tcW w:w="496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RMBS</w:t>
            </w:r>
          </w:p>
        </w:tc>
        <w:tc>
          <w:tcPr>
            <w:tcW w:w="180" w:type="dxa"/>
            <w:vAlign w:val="bottom"/>
          </w:tcPr>
          <w:p>
            <w:pPr>
              <w:spacing w:after="0"/>
              <w:rPr>
                <w:sz w:val="11"/>
                <w:szCs w:val="11"/>
                <w:color w:val="auto"/>
              </w:rPr>
            </w:pP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103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1,151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61,335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62,589</w:t>
            </w:r>
          </w:p>
        </w:tc>
        <w:tc>
          <w:tcPr>
            <w:tcW w:w="0" w:type="dxa"/>
            <w:vAlign w:val="bottom"/>
          </w:tcPr>
          <w:p>
            <w:pPr>
              <w:spacing w:after="0"/>
              <w:rPr>
                <w:sz w:val="1"/>
                <w:szCs w:val="1"/>
                <w:color w:val="auto"/>
              </w:rPr>
            </w:pPr>
          </w:p>
        </w:tc>
      </w:tr>
      <w:tr>
        <w:trPr>
          <w:trHeight w:val="145"/>
        </w:trPr>
        <w:tc>
          <w:tcPr>
            <w:tcW w:w="49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Agency CMBS</w:t>
            </w:r>
            <w:r>
              <w:rPr>
                <w:rFonts w:ascii="Times New Roman" w:cs="Times New Roman" w:eastAsia="Times New Roman" w:hAnsi="Times New Roman"/>
                <w:sz w:val="14"/>
                <w:szCs w:val="14"/>
                <w:color w:val="auto"/>
                <w:vertAlign w:val="superscript"/>
              </w:rPr>
              <w:t>(1)</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296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2,125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3,583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1,866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7,870</w:t>
            </w:r>
          </w:p>
        </w:tc>
        <w:tc>
          <w:tcPr>
            <w:tcW w:w="0" w:type="dxa"/>
            <w:vAlign w:val="bottom"/>
          </w:tcPr>
          <w:p>
            <w:pPr>
              <w:spacing w:after="0"/>
              <w:rPr>
                <w:sz w:val="1"/>
                <w:szCs w:val="1"/>
                <w:color w:val="auto"/>
              </w:rPr>
            </w:pPr>
          </w:p>
        </w:tc>
      </w:tr>
      <w:tr>
        <w:trPr>
          <w:trHeight w:val="143"/>
        </w:trPr>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securities</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424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965</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30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1,419</w:t>
            </w:r>
          </w:p>
        </w:tc>
        <w:tc>
          <w:tcPr>
            <w:tcW w:w="0" w:type="dxa"/>
            <w:vAlign w:val="bottom"/>
          </w:tcPr>
          <w:p>
            <w:pPr>
              <w:spacing w:after="0"/>
              <w:rPr>
                <w:sz w:val="1"/>
                <w:szCs w:val="1"/>
                <w:color w:val="auto"/>
              </w:rPr>
            </w:pPr>
          </w:p>
        </w:tc>
      </w:tr>
      <w:tr>
        <w:trPr>
          <w:trHeight w:val="153"/>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securities available for sale</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720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8,234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4,764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63,201</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76,919</w:t>
            </w:r>
          </w:p>
        </w:tc>
        <w:tc>
          <w:tcPr>
            <w:tcW w:w="0" w:type="dxa"/>
            <w:vAlign w:val="bottom"/>
          </w:tcPr>
          <w:p>
            <w:pPr>
              <w:spacing w:after="0"/>
              <w:rPr>
                <w:sz w:val="1"/>
                <w:szCs w:val="1"/>
                <w:color w:val="auto"/>
              </w:rPr>
            </w:pPr>
          </w:p>
        </w:tc>
      </w:tr>
      <w:tr>
        <w:trPr>
          <w:trHeight w:val="140"/>
        </w:trPr>
        <w:tc>
          <w:tcPr>
            <w:tcW w:w="4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Amortized cost of securities available for sale</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726</w:t>
            </w: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8,492</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5,281</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72,548</w:t>
            </w:r>
          </w:p>
        </w:tc>
        <w:tc>
          <w:tcPr>
            <w:tcW w:w="1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87,047</w:t>
            </w:r>
          </w:p>
        </w:tc>
        <w:tc>
          <w:tcPr>
            <w:tcW w:w="0" w:type="dxa"/>
            <w:vAlign w:val="bottom"/>
          </w:tcPr>
          <w:p>
            <w:pPr>
              <w:spacing w:after="0"/>
              <w:rPr>
                <w:sz w:val="1"/>
                <w:szCs w:val="1"/>
                <w:color w:val="auto"/>
              </w:rPr>
            </w:pPr>
          </w:p>
        </w:tc>
      </w:tr>
      <w:tr>
        <w:trPr>
          <w:trHeight w:val="145"/>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Weighted-average yield for securities available for sale</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3.54%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2.12%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2.54%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2.35%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2.34%</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7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As of December 31, 2022, the weighted-average expected maturities of RMBS and Agency CMBS were 7.1 years and 5.0 years, respectively.</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2.4 Net Securities Gains or Losses and Proceeds from Sales</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the gross realized gains or losses and proceeds from the sale of securities available for sale for the years ended December 31, 2022, 2021 and 2020.</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7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30"/>
        </w:trPr>
        <w:tc>
          <w:tcPr>
            <w:tcW w:w="75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80" w:type="dxa"/>
            <w:vAlign w:val="bottom"/>
          </w:tcPr>
          <w:p>
            <w:pPr>
              <w:spacing w:after="0"/>
              <w:rPr>
                <w:sz w:val="11"/>
                <w:szCs w:val="11"/>
                <w:color w:val="auto"/>
              </w:rPr>
            </w:pPr>
          </w:p>
        </w:tc>
        <w:tc>
          <w:tcPr>
            <w:tcW w:w="90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38"/>
        </w:trPr>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Realized gains (losses):</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r>
      <w:tr>
        <w:trPr>
          <w:trHeight w:val="143"/>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Gross realized gains</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2"/>
                <w:szCs w:val="12"/>
                <w:color w:val="auto"/>
              </w:rPr>
            </w:pPr>
          </w:p>
        </w:tc>
        <w:tc>
          <w:tcPr>
            <w:tcW w:w="300" w:type="dxa"/>
            <w:vAlign w:val="bottom"/>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5"/>
        </w:trPr>
        <w:tc>
          <w:tcPr>
            <w:tcW w:w="7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realized losses</w:t>
            </w: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9"/>
        </w:trPr>
        <w:tc>
          <w:tcPr>
            <w:tcW w:w="7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Net realized gains (losses)</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4"/>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proceeds from sales</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2,570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w:t>
            </w:r>
          </w:p>
        </w:tc>
      </w:tr>
    </w:tbl>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Securities Pledged and Received</w:t>
      </w:r>
    </w:p>
    <w:p>
      <w:pPr>
        <w:spacing w:after="0" w:line="109" w:lineRule="exact"/>
        <w:rPr>
          <w:sz w:val="20"/>
          <w:szCs w:val="20"/>
          <w:color w:val="auto"/>
        </w:rPr>
      </w:pPr>
    </w:p>
    <w:p>
      <w:pPr>
        <w:jc w:val="both"/>
        <w:ind w:left="8" w:right="20"/>
        <w:spacing w:after="0" w:line="264" w:lineRule="auto"/>
        <w:rPr>
          <w:sz w:val="20"/>
          <w:szCs w:val="20"/>
          <w:color w:val="auto"/>
        </w:rPr>
      </w:pPr>
      <w:r>
        <w:rPr>
          <w:rFonts w:ascii="Times New Roman" w:cs="Times New Roman" w:eastAsia="Times New Roman" w:hAnsi="Times New Roman"/>
          <w:sz w:val="12"/>
          <w:szCs w:val="12"/>
          <w:color w:val="auto"/>
        </w:rPr>
        <w:t>We pledged investment securities totaling $21.3 billion and $20.8 billion as of December 31, 2022 and 2021, respectively. These securities are primarily pledged to secure Public Fund Deposits and FHLB advances, as well as for other purposes as required or permitted by law. We accepted pledges of securities with a fair value of approximately $82 million and $1 million as of December 31, 2022 and 2021, respectively, related to our derivative transactions.</w:t>
      </w:r>
    </w:p>
    <w:p>
      <w:pPr>
        <w:spacing w:after="0" w:line="200" w:lineRule="exact"/>
        <w:rPr>
          <w:sz w:val="20"/>
          <w:szCs w:val="20"/>
          <w:color w:val="auto"/>
        </w:rPr>
      </w:pPr>
    </w:p>
    <w:p>
      <w:pPr>
        <w:spacing w:after="0" w:line="267"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140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loan portfolio consists of loans held for investment, including loans held in our consolidated trusts, and loans held for sale. We further divide our loans held for investment into three portfolio segments: credit card, consumer banking and commercial banking. Credit card loans consist of domestic and international credit card loans. Consumer banking loans consist of auto and retail banking loans. Commercial banking loans consist of commercial and multifamily real estate as well as commercial and industrial loans. The information presented in the tables in this note excludes loans held for sale, which are carried at either fair value (if we elect the fair value option) or at the lower of cost or fair value.</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Accrued interest receivable of $1.9 billion and $1.2 billion as of December 31, 2022 and 2021, respectively, is not included in the tables in this note. The table below presents the composition and aging analysis of our loans held for investment portfolio as of December 31, 2022 and 2021. The delinquency aging includes all past due loans, both performing and nonperforming.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3.1: Loan Portfolio Composition and Aging Analysis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ind w:left="548"/>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center"/>
              <w:ind w:left="548"/>
              <w:spacing w:after="0"/>
              <w:rPr>
                <w:sz w:val="20"/>
                <w:szCs w:val="20"/>
                <w:color w:val="auto"/>
              </w:rPr>
            </w:pPr>
            <w:r>
              <w:rPr>
                <w:rFonts w:ascii="Times New Roman" w:cs="Times New Roman" w:eastAsia="Times New Roman" w:hAnsi="Times New Roman"/>
                <w:sz w:val="10"/>
                <w:szCs w:val="10"/>
                <w:b w:val="1"/>
                <w:bCs w:val="1"/>
                <w:color w:val="auto"/>
                <w:w w:val="97"/>
              </w:rPr>
              <w:t>Delinquent Loans</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30-59</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60-89</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vMerge w:val="restart"/>
          </w:tcPr>
          <w:p>
            <w:pPr>
              <w:jc w:val="center"/>
              <w:ind w:right="387"/>
              <w:spacing w:after="0"/>
              <w:rPr>
                <w:sz w:val="20"/>
                <w:szCs w:val="20"/>
                <w:color w:val="auto"/>
              </w:rPr>
            </w:pPr>
            <w:r>
              <w:rPr>
                <w:rFonts w:ascii="Times New Roman" w:cs="Times New Roman" w:eastAsia="Times New Roman" w:hAnsi="Times New Roman"/>
                <w:sz w:val="10"/>
                <w:szCs w:val="10"/>
                <w:b w:val="1"/>
                <w:bCs w:val="1"/>
                <w:u w:val="single" w:color="auto"/>
                <w:color w:val="auto"/>
                <w:w w:val="98"/>
              </w:rPr>
              <w:t>&gt;</w:t>
            </w:r>
            <w:r>
              <w:rPr>
                <w:rFonts w:ascii="Times New Roman" w:cs="Times New Roman" w:eastAsia="Times New Roman" w:hAnsi="Times New Roman"/>
                <w:sz w:val="10"/>
                <w:szCs w:val="10"/>
                <w:b w:val="1"/>
                <w:bCs w:val="1"/>
                <w:color w:val="auto"/>
                <w:w w:val="98"/>
              </w:rPr>
              <w:t xml:space="preserve"> 90</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jc w:val="center"/>
              <w:ind w:right="188"/>
              <w:spacing w:after="0" w:line="86" w:lineRule="exact"/>
              <w:rPr>
                <w:sz w:val="20"/>
                <w:szCs w:val="20"/>
                <w:color w:val="auto"/>
              </w:rPr>
            </w:pPr>
            <w:r>
              <w:rPr>
                <w:rFonts w:ascii="Times New Roman" w:cs="Times New Roman" w:eastAsia="Times New Roman" w:hAnsi="Times New Roman"/>
                <w:sz w:val="8"/>
                <w:szCs w:val="8"/>
                <w:b w:val="1"/>
                <w:bCs w:val="1"/>
                <w:color w:val="auto"/>
              </w:rPr>
              <w:t>Total</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7"/>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80" w:type="dxa"/>
            <w:vAlign w:val="bottom"/>
          </w:tcPr>
          <w:p>
            <w:pPr>
              <w:spacing w:after="0"/>
              <w:rPr>
                <w:sz w:val="8"/>
                <w:szCs w:val="8"/>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tcPr>
          <w:p>
            <w:pPr>
              <w:jc w:val="center"/>
              <w:ind w:right="340"/>
              <w:spacing w:after="0" w:line="98" w:lineRule="exact"/>
              <w:rPr>
                <w:sz w:val="20"/>
                <w:szCs w:val="20"/>
                <w:color w:val="auto"/>
              </w:rPr>
            </w:pPr>
            <w:r>
              <w:rPr>
                <w:rFonts w:ascii="Times New Roman" w:cs="Times New Roman" w:eastAsia="Times New Roman" w:hAnsi="Times New Roman"/>
                <w:sz w:val="10"/>
                <w:szCs w:val="10"/>
                <w:b w:val="1"/>
                <w:bCs w:val="1"/>
                <w:color w:val="auto"/>
                <w:w w:val="97"/>
              </w:rPr>
              <w:t>Delinquent</w:t>
            </w:r>
          </w:p>
        </w:tc>
        <w:tc>
          <w:tcPr>
            <w:tcW w:w="2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6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Days</w:t>
            </w:r>
          </w:p>
        </w:tc>
        <w:tc>
          <w:tcPr>
            <w:tcW w:w="260" w:type="dxa"/>
            <w:vAlign w:val="bottom"/>
          </w:tcPr>
          <w:p>
            <w:pPr>
              <w:spacing w:after="0"/>
              <w:rPr>
                <w:sz w:val="11"/>
                <w:szCs w:val="11"/>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Days</w:t>
            </w:r>
          </w:p>
        </w:tc>
        <w:tc>
          <w:tcPr>
            <w:tcW w:w="440" w:type="dxa"/>
            <w:vAlign w:val="bottom"/>
          </w:tcPr>
          <w:p>
            <w:pPr>
              <w:spacing w:after="0"/>
              <w:rPr>
                <w:sz w:val="11"/>
                <w:szCs w:val="11"/>
                <w:color w:val="auto"/>
              </w:rPr>
            </w:pPr>
          </w:p>
        </w:tc>
        <w:tc>
          <w:tcPr>
            <w:tcW w:w="76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Days</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Loans</w:t>
            </w:r>
          </w:p>
        </w:tc>
        <w:tc>
          <w:tcPr>
            <w:tcW w:w="280" w:type="dxa"/>
            <w:vAlign w:val="bottom"/>
          </w:tcPr>
          <w:p>
            <w:pPr>
              <w:spacing w:after="0"/>
              <w:rPr>
                <w:sz w:val="11"/>
                <w:szCs w:val="11"/>
                <w:color w:val="auto"/>
              </w:rPr>
            </w:pPr>
          </w:p>
        </w:tc>
        <w:tc>
          <w:tcPr>
            <w:tcW w:w="1020" w:type="dxa"/>
            <w:vAlign w:val="bottom"/>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91"/>
              </w:rPr>
              <w:t>Loans</w:t>
            </w:r>
          </w:p>
        </w:tc>
        <w:tc>
          <w:tcPr>
            <w:tcW w:w="0" w:type="dxa"/>
            <w:vAlign w:val="bottom"/>
          </w:tcPr>
          <w:p>
            <w:pPr>
              <w:spacing w:after="0"/>
              <w:rPr>
                <w:sz w:val="1"/>
                <w:szCs w:val="1"/>
                <w:color w:val="auto"/>
              </w:rPr>
            </w:pPr>
          </w:p>
        </w:tc>
      </w:tr>
      <w:tr>
        <w:trPr>
          <w:trHeight w:val="137"/>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Domestic credit card</w:t>
            </w: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127,066</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1,405</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975</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2,135</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4,515</w:t>
            </w:r>
          </w:p>
        </w:tc>
        <w:tc>
          <w:tcPr>
            <w:tcW w:w="10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131,581</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card businesses</w:t>
            </w: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5,895</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86</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58</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110</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254</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6,149</w:t>
            </w:r>
          </w:p>
        </w:tc>
        <w:tc>
          <w:tcPr>
            <w:tcW w:w="0" w:type="dxa"/>
            <w:vAlign w:val="bottom"/>
          </w:tcPr>
          <w:p>
            <w:pPr>
              <w:spacing w:after="0"/>
              <w:rPr>
                <w:sz w:val="1"/>
                <w:szCs w:val="1"/>
                <w:color w:val="auto"/>
              </w:rPr>
            </w:pPr>
          </w:p>
        </w:tc>
      </w:tr>
      <w:tr>
        <w:trPr>
          <w:trHeight w:val="132"/>
        </w:trPr>
        <w:tc>
          <w:tcPr>
            <w:tcW w:w="3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credit card</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132,961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1,491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1,033</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2,245</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4,769</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137,730</w:t>
            </w:r>
          </w:p>
        </w:tc>
        <w:tc>
          <w:tcPr>
            <w:tcW w:w="0" w:type="dxa"/>
            <w:vAlign w:val="bottom"/>
          </w:tcPr>
          <w:p>
            <w:pPr>
              <w:spacing w:after="0"/>
              <w:rPr>
                <w:sz w:val="1"/>
                <w:szCs w:val="1"/>
                <w:color w:val="auto"/>
              </w:rPr>
            </w:pPr>
          </w:p>
        </w:tc>
      </w:tr>
      <w:tr>
        <w:trPr>
          <w:trHeight w:val="125"/>
        </w:trPr>
        <w:tc>
          <w:tcPr>
            <w:tcW w:w="360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Consumer Banking:</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280" w:type="dxa"/>
            <w:vAlign w:val="bottom"/>
          </w:tcPr>
          <w:p>
            <w:pPr>
              <w:spacing w:after="0"/>
              <w:rPr>
                <w:sz w:val="12"/>
                <w:szCs w:val="12"/>
                <w:color w:val="auto"/>
              </w:rPr>
            </w:pP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73,467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3,101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1,418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387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4,906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78,373</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1,518</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4</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17</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34</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1,552</w:t>
            </w:r>
          </w:p>
        </w:tc>
        <w:tc>
          <w:tcPr>
            <w:tcW w:w="0" w:type="dxa"/>
            <w:vAlign w:val="bottom"/>
          </w:tcPr>
          <w:p>
            <w:pPr>
              <w:spacing w:after="0"/>
              <w:rPr>
                <w:sz w:val="1"/>
                <w:szCs w:val="1"/>
                <w:color w:val="auto"/>
              </w:rPr>
            </w:pPr>
          </w:p>
        </w:tc>
      </w:tr>
      <w:tr>
        <w:trPr>
          <w:trHeight w:val="132"/>
        </w:trPr>
        <w:tc>
          <w:tcPr>
            <w:tcW w:w="3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consumer banking</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74,985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3,114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1,422</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404</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4,940</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79,925</w:t>
            </w:r>
          </w:p>
        </w:tc>
        <w:tc>
          <w:tcPr>
            <w:tcW w:w="0" w:type="dxa"/>
            <w:vAlign w:val="bottom"/>
          </w:tcPr>
          <w:p>
            <w:pPr>
              <w:spacing w:after="0"/>
              <w:rPr>
                <w:sz w:val="1"/>
                <w:szCs w:val="1"/>
                <w:color w:val="auto"/>
              </w:rPr>
            </w:pPr>
          </w:p>
        </w:tc>
      </w:tr>
      <w:tr>
        <w:trPr>
          <w:trHeight w:val="125"/>
        </w:trPr>
        <w:tc>
          <w:tcPr>
            <w:tcW w:w="360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Commercial Banking:</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280" w:type="dxa"/>
            <w:vAlign w:val="bottom"/>
          </w:tcPr>
          <w:p>
            <w:pPr>
              <w:spacing w:after="0"/>
              <w:rPr>
                <w:sz w:val="12"/>
                <w:szCs w:val="12"/>
                <w:color w:val="auto"/>
              </w:rPr>
            </w:pP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37,417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35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36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37,453</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56,942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61</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55</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165</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281</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57,223</w:t>
            </w:r>
          </w:p>
        </w:tc>
        <w:tc>
          <w:tcPr>
            <w:tcW w:w="0" w:type="dxa"/>
            <w:vAlign w:val="bottom"/>
          </w:tcPr>
          <w:p>
            <w:pPr>
              <w:spacing w:after="0"/>
              <w:rPr>
                <w:sz w:val="1"/>
                <w:szCs w:val="1"/>
                <w:color w:val="auto"/>
              </w:rPr>
            </w:pPr>
          </w:p>
        </w:tc>
      </w:tr>
      <w:tr>
        <w:trPr>
          <w:trHeight w:val="132"/>
        </w:trPr>
        <w:tc>
          <w:tcPr>
            <w:tcW w:w="3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commercial banking</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94,359</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56</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200</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317</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94,676</w:t>
            </w:r>
          </w:p>
        </w:tc>
        <w:tc>
          <w:tcPr>
            <w:tcW w:w="0" w:type="dxa"/>
            <w:vAlign w:val="bottom"/>
          </w:tcPr>
          <w:p>
            <w:pPr>
              <w:spacing w:after="0"/>
              <w:rPr>
                <w:sz w:val="1"/>
                <w:szCs w:val="1"/>
                <w:color w:val="auto"/>
              </w:rPr>
            </w:pPr>
          </w:p>
        </w:tc>
      </w:tr>
      <w:tr>
        <w:trPr>
          <w:trHeight w:val="154"/>
        </w:trPr>
        <w:tc>
          <w:tcPr>
            <w:tcW w:w="3600" w:type="dxa"/>
            <w:vAlign w:val="bottom"/>
            <w:tcBorders>
              <w:bottom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1"/>
                <w:szCs w:val="11"/>
                <w:color w:val="auto"/>
              </w:rPr>
              <w:t>Total loans</w:t>
            </w:r>
            <w:r>
              <w:rPr>
                <w:rFonts w:ascii="Times New Roman" w:cs="Times New Roman" w:eastAsia="Times New Roman" w:hAnsi="Times New Roman"/>
                <w:sz w:val="14"/>
                <w:szCs w:val="14"/>
                <w:color w:val="auto"/>
                <w:vertAlign w:val="superscript"/>
              </w:rPr>
              <w:t>(1)</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302,305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4,666</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rPr>
              <w:t>2,511</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2,849</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10,026</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312,331</w:t>
            </w:r>
          </w:p>
        </w:tc>
        <w:tc>
          <w:tcPr>
            <w:tcW w:w="0" w:type="dxa"/>
            <w:vAlign w:val="bottom"/>
          </w:tcPr>
          <w:p>
            <w:pPr>
              <w:spacing w:after="0"/>
              <w:rPr>
                <w:sz w:val="1"/>
                <w:szCs w:val="1"/>
                <w:color w:val="auto"/>
              </w:rPr>
            </w:pPr>
          </w:p>
        </w:tc>
      </w:tr>
      <w:tr>
        <w:trPr>
          <w:trHeight w:val="138"/>
        </w:trPr>
        <w:tc>
          <w:tcPr>
            <w:tcW w:w="3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of Total loans</w:t>
            </w:r>
          </w:p>
        </w:tc>
        <w:tc>
          <w:tcPr>
            <w:tcW w:w="280" w:type="dxa"/>
            <w:vAlign w:val="bottom"/>
          </w:tcPr>
          <w:p>
            <w:pPr>
              <w:spacing w:after="0"/>
              <w:rPr>
                <w:sz w:val="12"/>
                <w:szCs w:val="12"/>
                <w:color w:val="auto"/>
              </w:rPr>
            </w:pP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96.79%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1.50%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0.80%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0.91%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3.21%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100.00%</w:t>
            </w:r>
          </w:p>
        </w:tc>
        <w:tc>
          <w:tcPr>
            <w:tcW w:w="0" w:type="dxa"/>
            <w:vAlign w:val="bottom"/>
          </w:tcPr>
          <w:p>
            <w:pPr>
              <w:spacing w:after="0"/>
              <w:rPr>
                <w:sz w:val="1"/>
                <w:szCs w:val="1"/>
                <w:color w:val="auto"/>
              </w:rPr>
            </w:pPr>
          </w:p>
        </w:tc>
      </w:tr>
      <w:tr>
        <w:trPr>
          <w:trHeight w:val="353"/>
        </w:trPr>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left="548"/>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0"/>
                <w:szCs w:val="10"/>
                <w:b w:val="1"/>
                <w:bCs w:val="1"/>
                <w:color w:val="auto"/>
              </w:rPr>
              <w:t>Delinquent Loans</w:t>
            </w: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30-59</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60-89</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vMerge w:val="restart"/>
          </w:tcPr>
          <w:p>
            <w:pPr>
              <w:jc w:val="center"/>
              <w:ind w:right="387"/>
              <w:spacing w:after="0"/>
              <w:rPr>
                <w:sz w:val="20"/>
                <w:szCs w:val="20"/>
                <w:color w:val="auto"/>
              </w:rPr>
            </w:pPr>
            <w:r>
              <w:rPr>
                <w:rFonts w:ascii="Times New Roman" w:cs="Times New Roman" w:eastAsia="Times New Roman" w:hAnsi="Times New Roman"/>
                <w:sz w:val="10"/>
                <w:szCs w:val="10"/>
                <w:b w:val="1"/>
                <w:bCs w:val="1"/>
                <w:u w:val="single" w:color="auto"/>
                <w:color w:val="auto"/>
                <w:w w:val="98"/>
              </w:rPr>
              <w:t>&gt;</w:t>
            </w:r>
            <w:r>
              <w:rPr>
                <w:rFonts w:ascii="Times New Roman" w:cs="Times New Roman" w:eastAsia="Times New Roman" w:hAnsi="Times New Roman"/>
                <w:sz w:val="10"/>
                <w:szCs w:val="10"/>
                <w:b w:val="1"/>
                <w:bCs w:val="1"/>
                <w:color w:val="auto"/>
                <w:w w:val="98"/>
              </w:rPr>
              <w:t xml:space="preserve"> 90</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tcPr>
          <w:p>
            <w:pPr>
              <w:jc w:val="center"/>
              <w:ind w:right="340"/>
              <w:spacing w:after="0" w:line="84" w:lineRule="exact"/>
              <w:rPr>
                <w:sz w:val="20"/>
                <w:szCs w:val="20"/>
                <w:color w:val="auto"/>
              </w:rPr>
            </w:pPr>
            <w:r>
              <w:rPr>
                <w:rFonts w:ascii="Times New Roman" w:cs="Times New Roman" w:eastAsia="Times New Roman" w:hAnsi="Times New Roman"/>
                <w:sz w:val="8"/>
                <w:szCs w:val="8"/>
                <w:b w:val="1"/>
                <w:bCs w:val="1"/>
                <w:color w:val="auto"/>
              </w:rPr>
              <w:t>Total</w:t>
            </w:r>
          </w:p>
        </w:tc>
        <w:tc>
          <w:tcPr>
            <w:tcW w:w="280" w:type="dxa"/>
            <w:vAlign w:val="bottom"/>
          </w:tcPr>
          <w:p>
            <w:pPr>
              <w:spacing w:after="0"/>
              <w:rPr>
                <w:sz w:val="7"/>
                <w:szCs w:val="7"/>
                <w:color w:val="auto"/>
              </w:rPr>
            </w:pPr>
          </w:p>
        </w:tc>
        <w:tc>
          <w:tcPr>
            <w:tcW w:w="1020" w:type="dxa"/>
            <w:vAlign w:val="bottom"/>
            <w:vMerge w:val="restart"/>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9"/>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80" w:type="dxa"/>
            <w:vAlign w:val="bottom"/>
          </w:tcPr>
          <w:p>
            <w:pPr>
              <w:spacing w:after="0"/>
              <w:rPr>
                <w:sz w:val="8"/>
                <w:szCs w:val="8"/>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7"/>
              </w:rPr>
              <w:t>Delinquent</w:t>
            </w:r>
          </w:p>
        </w:tc>
        <w:tc>
          <w:tcPr>
            <w:tcW w:w="2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6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Days</w:t>
            </w:r>
          </w:p>
        </w:tc>
        <w:tc>
          <w:tcPr>
            <w:tcW w:w="260" w:type="dxa"/>
            <w:vAlign w:val="bottom"/>
          </w:tcPr>
          <w:p>
            <w:pPr>
              <w:spacing w:after="0"/>
              <w:rPr>
                <w:sz w:val="11"/>
                <w:szCs w:val="11"/>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Days</w:t>
            </w:r>
          </w:p>
        </w:tc>
        <w:tc>
          <w:tcPr>
            <w:tcW w:w="440" w:type="dxa"/>
            <w:vAlign w:val="bottom"/>
          </w:tcPr>
          <w:p>
            <w:pPr>
              <w:spacing w:after="0"/>
              <w:rPr>
                <w:sz w:val="11"/>
                <w:szCs w:val="11"/>
                <w:color w:val="auto"/>
              </w:rPr>
            </w:pPr>
          </w:p>
        </w:tc>
        <w:tc>
          <w:tcPr>
            <w:tcW w:w="76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Days</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Loans</w:t>
            </w:r>
          </w:p>
        </w:tc>
        <w:tc>
          <w:tcPr>
            <w:tcW w:w="280" w:type="dxa"/>
            <w:vAlign w:val="bottom"/>
          </w:tcPr>
          <w:p>
            <w:pPr>
              <w:spacing w:after="0"/>
              <w:rPr>
                <w:sz w:val="11"/>
                <w:szCs w:val="11"/>
                <w:color w:val="auto"/>
              </w:rPr>
            </w:pPr>
          </w:p>
        </w:tc>
        <w:tc>
          <w:tcPr>
            <w:tcW w:w="1020" w:type="dxa"/>
            <w:vAlign w:val="bottom"/>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91"/>
              </w:rPr>
              <w:t>Loans</w:t>
            </w:r>
          </w:p>
        </w:tc>
        <w:tc>
          <w:tcPr>
            <w:tcW w:w="0" w:type="dxa"/>
            <w:vAlign w:val="bottom"/>
          </w:tcPr>
          <w:p>
            <w:pPr>
              <w:spacing w:after="0"/>
              <w:rPr>
                <w:sz w:val="1"/>
                <w:szCs w:val="1"/>
                <w:color w:val="auto"/>
              </w:rPr>
            </w:pPr>
          </w:p>
        </w:tc>
      </w:tr>
      <w:tr>
        <w:trPr>
          <w:trHeight w:val="138"/>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Domestic credit card</w:t>
            </w: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106,312</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773</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528</w:t>
            </w:r>
          </w:p>
        </w:tc>
        <w:tc>
          <w:tcPr>
            <w:tcW w:w="100" w:type="dxa"/>
            <w:vAlign w:val="bottom"/>
          </w:tcPr>
          <w:p>
            <w:pPr>
              <w:spacing w:after="0"/>
              <w:rPr>
                <w:sz w:val="12"/>
                <w:szCs w:val="12"/>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1,110</w:t>
            </w:r>
          </w:p>
        </w:tc>
        <w:tc>
          <w:tcPr>
            <w:tcW w:w="1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2,411</w:t>
            </w:r>
          </w:p>
        </w:tc>
        <w:tc>
          <w:tcPr>
            <w:tcW w:w="10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108,723</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card businesses</w:t>
            </w: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5,836</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6,049</w:t>
            </w:r>
          </w:p>
        </w:tc>
        <w:tc>
          <w:tcPr>
            <w:tcW w:w="0" w:type="dxa"/>
            <w:vAlign w:val="bottom"/>
          </w:tcPr>
          <w:p>
            <w:pPr>
              <w:spacing w:after="0"/>
              <w:rPr>
                <w:sz w:val="1"/>
                <w:szCs w:val="1"/>
                <w:color w:val="auto"/>
              </w:rPr>
            </w:pPr>
          </w:p>
        </w:tc>
      </w:tr>
      <w:tr>
        <w:trPr>
          <w:trHeight w:val="131"/>
        </w:trPr>
        <w:tc>
          <w:tcPr>
            <w:tcW w:w="3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credit card</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112,148</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rPr>
              <w:t>850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1,196</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2,624</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114,772</w:t>
            </w:r>
          </w:p>
        </w:tc>
        <w:tc>
          <w:tcPr>
            <w:tcW w:w="0" w:type="dxa"/>
            <w:vAlign w:val="bottom"/>
          </w:tcPr>
          <w:p>
            <w:pPr>
              <w:spacing w:after="0"/>
              <w:rPr>
                <w:sz w:val="1"/>
                <w:szCs w:val="1"/>
                <w:color w:val="auto"/>
              </w:rPr>
            </w:pPr>
          </w:p>
        </w:tc>
      </w:tr>
      <w:tr>
        <w:trPr>
          <w:trHeight w:val="126"/>
        </w:trPr>
        <w:tc>
          <w:tcPr>
            <w:tcW w:w="36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Consumer Banking:</w:t>
            </w: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280" w:type="dxa"/>
            <w:vAlign w:val="bottom"/>
          </w:tcPr>
          <w:p>
            <w:pPr>
              <w:spacing w:after="0"/>
              <w:rPr>
                <w:sz w:val="12"/>
                <w:szCs w:val="12"/>
                <w:color w:val="auto"/>
              </w:rPr>
            </w:pP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72,221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2,385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933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75,779</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1,807</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1,867</w:t>
            </w:r>
          </w:p>
        </w:tc>
        <w:tc>
          <w:tcPr>
            <w:tcW w:w="0" w:type="dxa"/>
            <w:vAlign w:val="bottom"/>
          </w:tcPr>
          <w:p>
            <w:pPr>
              <w:spacing w:after="0"/>
              <w:rPr>
                <w:sz w:val="1"/>
                <w:szCs w:val="1"/>
                <w:color w:val="auto"/>
              </w:rPr>
            </w:pPr>
          </w:p>
        </w:tc>
      </w:tr>
      <w:tr>
        <w:trPr>
          <w:trHeight w:val="131"/>
        </w:trPr>
        <w:tc>
          <w:tcPr>
            <w:tcW w:w="36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consumer banking</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74,028</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rPr>
              <w:t>2,420</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940</w:t>
            </w:r>
          </w:p>
        </w:tc>
        <w:tc>
          <w:tcPr>
            <w:tcW w:w="1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3,618</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77,646</w:t>
            </w:r>
          </w:p>
        </w:tc>
        <w:tc>
          <w:tcPr>
            <w:tcW w:w="0" w:type="dxa"/>
            <w:vAlign w:val="bottom"/>
          </w:tcPr>
          <w:p>
            <w:pPr>
              <w:spacing w:after="0"/>
              <w:rPr>
                <w:sz w:val="1"/>
                <w:szCs w:val="1"/>
                <w:color w:val="auto"/>
              </w:rPr>
            </w:pPr>
          </w:p>
        </w:tc>
      </w:tr>
      <w:tr>
        <w:trPr>
          <w:trHeight w:val="694"/>
        </w:trPr>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67"/>
              <w:spacing w:after="0"/>
              <w:rPr>
                <w:sz w:val="20"/>
                <w:szCs w:val="20"/>
                <w:color w:val="auto"/>
              </w:rPr>
            </w:pPr>
            <w:r>
              <w:rPr>
                <w:rFonts w:ascii="Times New Roman" w:cs="Times New Roman" w:eastAsia="Times New Roman" w:hAnsi="Times New Roman"/>
                <w:sz w:val="10"/>
                <w:szCs w:val="10"/>
                <w:color w:val="auto"/>
              </w:rPr>
              <w:t>141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2" w:name="page143"/>
    <w:bookmarkEnd w:id="14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0"/>
                <w:szCs w:val="10"/>
                <w:b w:val="1"/>
                <w:bCs w:val="1"/>
                <w:color w:val="auto"/>
              </w:rPr>
              <w:t>Delinquent Loans</w:t>
            </w: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vMerge w:val="restart"/>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30-59</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vMerge w:val="restart"/>
          </w:tcPr>
          <w:p>
            <w:pPr>
              <w:jc w:val="right"/>
              <w:ind w:right="389"/>
              <w:spacing w:after="0"/>
              <w:rPr>
                <w:sz w:val="20"/>
                <w:szCs w:val="20"/>
                <w:color w:val="auto"/>
              </w:rPr>
            </w:pPr>
            <w:r>
              <w:rPr>
                <w:rFonts w:ascii="Times New Roman" w:cs="Times New Roman" w:eastAsia="Times New Roman" w:hAnsi="Times New Roman"/>
                <w:sz w:val="10"/>
                <w:szCs w:val="10"/>
                <w:b w:val="1"/>
                <w:bCs w:val="1"/>
                <w:color w:val="auto"/>
              </w:rPr>
              <w:t>60-89</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vMerge w:val="restart"/>
          </w:tcPr>
          <w:p>
            <w:pPr>
              <w:jc w:val="right"/>
              <w:ind w:right="408"/>
              <w:spacing w:after="0"/>
              <w:rPr>
                <w:sz w:val="20"/>
                <w:szCs w:val="20"/>
                <w:color w:val="auto"/>
              </w:rPr>
            </w:pPr>
            <w:r>
              <w:rPr>
                <w:rFonts w:ascii="Times New Roman" w:cs="Times New Roman" w:eastAsia="Times New Roman" w:hAnsi="Times New Roman"/>
                <w:sz w:val="10"/>
                <w:szCs w:val="10"/>
                <w:b w:val="1"/>
                <w:bCs w:val="1"/>
                <w:u w:val="single" w:color="auto"/>
                <w:color w:val="auto"/>
                <w:w w:val="98"/>
              </w:rPr>
              <w:t>&gt;</w:t>
            </w:r>
            <w:r>
              <w:rPr>
                <w:rFonts w:ascii="Times New Roman" w:cs="Times New Roman" w:eastAsia="Times New Roman" w:hAnsi="Times New Roman"/>
                <w:sz w:val="10"/>
                <w:szCs w:val="10"/>
                <w:b w:val="1"/>
                <w:bCs w:val="1"/>
                <w:color w:val="auto"/>
                <w:w w:val="98"/>
              </w:rPr>
              <w:t xml:space="preserve"> 90</w:t>
            </w: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tcPr>
          <w:p>
            <w:pPr>
              <w:jc w:val="center"/>
              <w:ind w:right="340"/>
              <w:spacing w:after="0" w:line="86" w:lineRule="exact"/>
              <w:rPr>
                <w:sz w:val="20"/>
                <w:szCs w:val="20"/>
                <w:color w:val="auto"/>
              </w:rPr>
            </w:pPr>
            <w:r>
              <w:rPr>
                <w:rFonts w:ascii="Times New Roman" w:cs="Times New Roman" w:eastAsia="Times New Roman" w:hAnsi="Times New Roman"/>
                <w:sz w:val="8"/>
                <w:szCs w:val="8"/>
                <w:b w:val="1"/>
                <w:bCs w:val="1"/>
                <w:color w:val="auto"/>
              </w:rPr>
              <w:t>Total</w:t>
            </w:r>
          </w:p>
        </w:tc>
        <w:tc>
          <w:tcPr>
            <w:tcW w:w="280" w:type="dxa"/>
            <w:vAlign w:val="bottom"/>
          </w:tcPr>
          <w:p>
            <w:pPr>
              <w:spacing w:after="0"/>
              <w:rPr>
                <w:sz w:val="7"/>
                <w:szCs w:val="7"/>
                <w:color w:val="auto"/>
              </w:rPr>
            </w:pPr>
          </w:p>
        </w:tc>
        <w:tc>
          <w:tcPr>
            <w:tcW w:w="1020" w:type="dxa"/>
            <w:vAlign w:val="bottom"/>
            <w:vMerge w:val="restart"/>
          </w:tcPr>
          <w:p>
            <w:pPr>
              <w:jc w:val="right"/>
              <w:ind w:right="50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7"/>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80" w:type="dxa"/>
            <w:vAlign w:val="bottom"/>
          </w:tcPr>
          <w:p>
            <w:pPr>
              <w:spacing w:after="0"/>
              <w:rPr>
                <w:sz w:val="8"/>
                <w:szCs w:val="8"/>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tcPr>
          <w:p>
            <w:pPr>
              <w:jc w:val="center"/>
              <w:ind w:right="340"/>
              <w:spacing w:after="0" w:line="98" w:lineRule="exact"/>
              <w:rPr>
                <w:sz w:val="20"/>
                <w:szCs w:val="20"/>
                <w:color w:val="auto"/>
              </w:rPr>
            </w:pPr>
            <w:r>
              <w:rPr>
                <w:rFonts w:ascii="Times New Roman" w:cs="Times New Roman" w:eastAsia="Times New Roman" w:hAnsi="Times New Roman"/>
                <w:sz w:val="10"/>
                <w:szCs w:val="10"/>
                <w:b w:val="1"/>
                <w:bCs w:val="1"/>
                <w:color w:val="auto"/>
                <w:w w:val="97"/>
              </w:rPr>
              <w:t>Delinquent</w:t>
            </w:r>
          </w:p>
        </w:tc>
        <w:tc>
          <w:tcPr>
            <w:tcW w:w="2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6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Days</w:t>
            </w:r>
          </w:p>
        </w:tc>
        <w:tc>
          <w:tcPr>
            <w:tcW w:w="260" w:type="dxa"/>
            <w:vAlign w:val="bottom"/>
          </w:tcPr>
          <w:p>
            <w:pPr>
              <w:spacing w:after="0"/>
              <w:rPr>
                <w:sz w:val="11"/>
                <w:szCs w:val="11"/>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Days</w:t>
            </w:r>
          </w:p>
        </w:tc>
        <w:tc>
          <w:tcPr>
            <w:tcW w:w="4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Days</w:t>
            </w:r>
          </w:p>
        </w:tc>
        <w:tc>
          <w:tcPr>
            <w:tcW w:w="24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Loans</w:t>
            </w:r>
          </w:p>
        </w:tc>
        <w:tc>
          <w:tcPr>
            <w:tcW w:w="280" w:type="dxa"/>
            <w:vAlign w:val="bottom"/>
          </w:tcPr>
          <w:p>
            <w:pPr>
              <w:spacing w:after="0"/>
              <w:rPr>
                <w:sz w:val="11"/>
                <w:szCs w:val="11"/>
                <w:color w:val="auto"/>
              </w:rPr>
            </w:pPr>
          </w:p>
        </w:tc>
        <w:tc>
          <w:tcPr>
            <w:tcW w:w="1020" w:type="dxa"/>
            <w:vAlign w:val="bottom"/>
          </w:tcPr>
          <w:p>
            <w:pPr>
              <w:jc w:val="right"/>
              <w:ind w:right="488"/>
              <w:spacing w:after="0"/>
              <w:rPr>
                <w:sz w:val="20"/>
                <w:szCs w:val="20"/>
                <w:color w:val="auto"/>
              </w:rPr>
            </w:pPr>
            <w:r>
              <w:rPr>
                <w:rFonts w:ascii="Times New Roman" w:cs="Times New Roman" w:eastAsia="Times New Roman" w:hAnsi="Times New Roman"/>
                <w:sz w:val="10"/>
                <w:szCs w:val="10"/>
                <w:b w:val="1"/>
                <w:bCs w:val="1"/>
                <w:color w:val="auto"/>
              </w:rPr>
              <w:t>Loans</w:t>
            </w:r>
          </w:p>
        </w:tc>
        <w:tc>
          <w:tcPr>
            <w:tcW w:w="0" w:type="dxa"/>
            <w:vAlign w:val="bottom"/>
          </w:tcPr>
          <w:p>
            <w:pPr>
              <w:spacing w:after="0"/>
              <w:rPr>
                <w:sz w:val="1"/>
                <w:szCs w:val="1"/>
                <w:color w:val="auto"/>
              </w:rPr>
            </w:pPr>
          </w:p>
        </w:tc>
      </w:tr>
      <w:tr>
        <w:trPr>
          <w:trHeight w:val="137"/>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Commercial Banking:</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280" w:type="dxa"/>
            <w:vAlign w:val="bottom"/>
          </w:tcPr>
          <w:p>
            <w:pPr>
              <w:spacing w:after="0"/>
              <w:rPr>
                <w:sz w:val="12"/>
                <w:szCs w:val="12"/>
                <w:color w:val="auto"/>
              </w:rPr>
            </w:pP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35,100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rPr>
              <w:t>162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35,262</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49,379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139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49,660</w:t>
            </w:r>
          </w:p>
        </w:tc>
        <w:tc>
          <w:tcPr>
            <w:tcW w:w="0" w:type="dxa"/>
            <w:vAlign w:val="bottom"/>
          </w:tcPr>
          <w:p>
            <w:pPr>
              <w:spacing w:after="0"/>
              <w:rPr>
                <w:sz w:val="1"/>
                <w:szCs w:val="1"/>
                <w:color w:val="auto"/>
              </w:rPr>
            </w:pPr>
          </w:p>
        </w:tc>
      </w:tr>
      <w:tr>
        <w:trPr>
          <w:trHeight w:val="131"/>
        </w:trPr>
        <w:tc>
          <w:tcPr>
            <w:tcW w:w="3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commercial banking</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84,479</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color w:val="auto"/>
              </w:rPr>
              <w:t>231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1"/>
                <w:szCs w:val="11"/>
                <w:color w:val="auto"/>
              </w:rPr>
              <w:t>443</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1"/>
                <w:szCs w:val="11"/>
                <w:color w:val="auto"/>
              </w:rPr>
              <w:t>84,922</w:t>
            </w:r>
          </w:p>
        </w:tc>
        <w:tc>
          <w:tcPr>
            <w:tcW w:w="0" w:type="dxa"/>
            <w:vAlign w:val="bottom"/>
          </w:tcPr>
          <w:p>
            <w:pPr>
              <w:spacing w:after="0"/>
              <w:rPr>
                <w:sz w:val="1"/>
                <w:szCs w:val="1"/>
                <w:color w:val="auto"/>
              </w:rPr>
            </w:pPr>
          </w:p>
        </w:tc>
      </w:tr>
      <w:tr>
        <w:trPr>
          <w:trHeight w:val="155"/>
        </w:trPr>
        <w:tc>
          <w:tcPr>
            <w:tcW w:w="360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Total loans</w:t>
            </w:r>
            <w:r>
              <w:rPr>
                <w:rFonts w:ascii="Times New Roman" w:cs="Times New Roman" w:eastAsia="Times New Roman" w:hAnsi="Times New Roman"/>
                <w:sz w:val="14"/>
                <w:szCs w:val="14"/>
                <w:color w:val="auto"/>
                <w:vertAlign w:val="superscript"/>
              </w:rPr>
              <w:t>(1)</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270,655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3,501</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1,656</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1,528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rPr>
              <w:t>6,685</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277,340</w:t>
            </w:r>
          </w:p>
        </w:tc>
        <w:tc>
          <w:tcPr>
            <w:tcW w:w="0" w:type="dxa"/>
            <w:vAlign w:val="bottom"/>
          </w:tcPr>
          <w:p>
            <w:pPr>
              <w:spacing w:after="0"/>
              <w:rPr>
                <w:sz w:val="1"/>
                <w:szCs w:val="1"/>
                <w:color w:val="auto"/>
              </w:rPr>
            </w:pPr>
          </w:p>
        </w:tc>
      </w:tr>
      <w:tr>
        <w:trPr>
          <w:trHeight w:val="136"/>
        </w:trPr>
        <w:tc>
          <w:tcPr>
            <w:tcW w:w="3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of Total loans</w:t>
            </w:r>
          </w:p>
        </w:tc>
        <w:tc>
          <w:tcPr>
            <w:tcW w:w="280" w:type="dxa"/>
            <w:vAlign w:val="bottom"/>
          </w:tcPr>
          <w:p>
            <w:pPr>
              <w:spacing w:after="0"/>
              <w:rPr>
                <w:sz w:val="11"/>
                <w:szCs w:val="11"/>
                <w:color w:val="auto"/>
              </w:rPr>
            </w:pP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97.59%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rPr>
              <w:t>0.60%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0.55%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7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Loans include unamortized premiums, discounts, and deferred fees and costs totaling $1.4 billion as of both December 31, 2022 and 2021.</w:t>
      </w:r>
    </w:p>
    <w:p>
      <w:pPr>
        <w:spacing w:after="0" w:line="96"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following table presents our loans held for investment that are 90 days or more past due that continue to accrue interest, loans that are classified as nonperforming and loans that are classified as nonperforming without an allowance as of December 31, 2022 and 2021. Nonperforming loans generally include loans that have been placed on nonaccrual status.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3.2: 90+ Day Delinquent Loans Accruing Interest and Nonperforming Loans</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00" w:type="dxa"/>
            <w:vAlign w:val="bottom"/>
          </w:tcPr>
          <w:p>
            <w:pPr>
              <w:spacing w:after="0"/>
              <w:rPr>
                <w:sz w:val="7"/>
                <w:szCs w:val="7"/>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u w:val="single" w:color="auto"/>
                <w:color w:val="auto"/>
              </w:rPr>
              <w:t>&gt;</w:t>
            </w:r>
            <w:r>
              <w:rPr>
                <w:rFonts w:ascii="Times New Roman" w:cs="Times New Roman" w:eastAsia="Times New Roman" w:hAnsi="Times New Roman"/>
                <w:sz w:val="10"/>
                <w:szCs w:val="10"/>
                <w:b w:val="1"/>
                <w:bCs w:val="1"/>
                <w:color w:val="auto"/>
              </w:rPr>
              <w:t xml:space="preserve"> 90 Days and Accruing</w:t>
            </w:r>
          </w:p>
        </w:tc>
        <w:tc>
          <w:tcPr>
            <w:tcW w:w="220" w:type="dxa"/>
            <w:vAlign w:val="bottom"/>
          </w:tcPr>
          <w:p>
            <w:pPr>
              <w:spacing w:after="0"/>
              <w:rPr>
                <w:sz w:val="7"/>
                <w:szCs w:val="7"/>
                <w:color w:val="auto"/>
              </w:rPr>
            </w:pPr>
          </w:p>
        </w:tc>
        <w:tc>
          <w:tcPr>
            <w:tcW w:w="1240" w:type="dxa"/>
            <w:vAlign w:val="bottom"/>
            <w:gridSpan w:val="2"/>
          </w:tcPr>
          <w:p>
            <w:pPr>
              <w:ind w:left="140"/>
              <w:spacing w:after="0" w:line="88" w:lineRule="exact"/>
              <w:rPr>
                <w:sz w:val="20"/>
                <w:szCs w:val="20"/>
                <w:color w:val="auto"/>
              </w:rPr>
            </w:pPr>
            <w:r>
              <w:rPr>
                <w:rFonts w:ascii="Times New Roman" w:cs="Times New Roman" w:eastAsia="Times New Roman" w:hAnsi="Times New Roman"/>
                <w:sz w:val="10"/>
                <w:szCs w:val="10"/>
                <w:b w:val="1"/>
                <w:bCs w:val="1"/>
                <w:color w:val="auto"/>
              </w:rPr>
              <w:t>Nonperforming</w:t>
            </w:r>
          </w:p>
        </w:tc>
        <w:tc>
          <w:tcPr>
            <w:tcW w:w="80" w:type="dxa"/>
            <w:vAlign w:val="bottom"/>
          </w:tcPr>
          <w:p>
            <w:pPr>
              <w:spacing w:after="0"/>
              <w:rPr>
                <w:sz w:val="7"/>
                <w:szCs w:val="7"/>
                <w:color w:val="auto"/>
              </w:rPr>
            </w:pPr>
          </w:p>
        </w:tc>
        <w:tc>
          <w:tcPr>
            <w:tcW w:w="1300" w:type="dxa"/>
            <w:vAlign w:val="bottom"/>
          </w:tcPr>
          <w:p>
            <w:pPr>
              <w:jc w:val="center"/>
              <w:ind w:right="47"/>
              <w:spacing w:after="0" w:line="88" w:lineRule="exact"/>
              <w:rPr>
                <w:sz w:val="20"/>
                <w:szCs w:val="20"/>
                <w:color w:val="auto"/>
              </w:rPr>
            </w:pPr>
            <w:r>
              <w:rPr>
                <w:rFonts w:ascii="Times New Roman" w:cs="Times New Roman" w:eastAsia="Times New Roman" w:hAnsi="Times New Roman"/>
                <w:sz w:val="10"/>
                <w:szCs w:val="10"/>
                <w:b w:val="1"/>
                <w:bCs w:val="1"/>
                <w:color w:val="auto"/>
                <w:w w:val="95"/>
              </w:rPr>
              <w:t>Nonperforming</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u w:val="single" w:color="auto"/>
                <w:color w:val="auto"/>
              </w:rPr>
              <w:t>&gt;</w:t>
            </w:r>
            <w:r>
              <w:rPr>
                <w:rFonts w:ascii="Times New Roman" w:cs="Times New Roman" w:eastAsia="Times New Roman" w:hAnsi="Times New Roman"/>
                <w:sz w:val="10"/>
                <w:szCs w:val="10"/>
                <w:b w:val="1"/>
                <w:bCs w:val="1"/>
                <w:color w:val="auto"/>
              </w:rPr>
              <w:t xml:space="preserve"> 90 Days and Accruing</w:t>
            </w:r>
          </w:p>
        </w:tc>
        <w:tc>
          <w:tcPr>
            <w:tcW w:w="220" w:type="dxa"/>
            <w:vAlign w:val="bottom"/>
          </w:tcPr>
          <w:p>
            <w:pPr>
              <w:spacing w:after="0"/>
              <w:rPr>
                <w:sz w:val="7"/>
                <w:szCs w:val="7"/>
                <w:color w:val="auto"/>
              </w:rPr>
            </w:pPr>
          </w:p>
        </w:tc>
        <w:tc>
          <w:tcPr>
            <w:tcW w:w="1220" w:type="dxa"/>
            <w:vAlign w:val="bottom"/>
            <w:gridSpan w:val="2"/>
          </w:tcPr>
          <w:p>
            <w:pPr>
              <w:ind w:left="140"/>
              <w:spacing w:after="0" w:line="88" w:lineRule="exact"/>
              <w:rPr>
                <w:sz w:val="20"/>
                <w:szCs w:val="20"/>
                <w:color w:val="auto"/>
              </w:rPr>
            </w:pPr>
            <w:r>
              <w:rPr>
                <w:rFonts w:ascii="Times New Roman" w:cs="Times New Roman" w:eastAsia="Times New Roman" w:hAnsi="Times New Roman"/>
                <w:sz w:val="10"/>
                <w:szCs w:val="10"/>
                <w:b w:val="1"/>
                <w:bCs w:val="1"/>
                <w:color w:val="auto"/>
              </w:rPr>
              <w:t>Nonperforming</w:t>
            </w:r>
          </w:p>
        </w:tc>
        <w:tc>
          <w:tcPr>
            <w:tcW w:w="80" w:type="dxa"/>
            <w:vAlign w:val="bottom"/>
          </w:tcPr>
          <w:p>
            <w:pPr>
              <w:spacing w:after="0"/>
              <w:rPr>
                <w:sz w:val="7"/>
                <w:szCs w:val="7"/>
                <w:color w:val="auto"/>
              </w:rPr>
            </w:pPr>
          </w:p>
        </w:tc>
        <w:tc>
          <w:tcPr>
            <w:tcW w:w="1300" w:type="dxa"/>
            <w:vAlign w:val="bottom"/>
          </w:tcPr>
          <w:p>
            <w:pPr>
              <w:jc w:val="right"/>
              <w:ind w:right="327"/>
              <w:spacing w:after="0" w:line="88" w:lineRule="exact"/>
              <w:rPr>
                <w:sz w:val="20"/>
                <w:szCs w:val="20"/>
                <w:color w:val="auto"/>
              </w:rPr>
            </w:pPr>
            <w:r>
              <w:rPr>
                <w:rFonts w:ascii="Times New Roman" w:cs="Times New Roman" w:eastAsia="Times New Roman" w:hAnsi="Times New Roman"/>
                <w:sz w:val="10"/>
                <w:szCs w:val="10"/>
                <w:b w:val="1"/>
                <w:bCs w:val="1"/>
                <w:color w:val="auto"/>
              </w:rPr>
              <w:t>Nonperforming</w:t>
            </w:r>
          </w:p>
        </w:tc>
        <w:tc>
          <w:tcPr>
            <w:tcW w:w="0" w:type="dxa"/>
            <w:vAlign w:val="bottom"/>
          </w:tcPr>
          <w:p>
            <w:pPr>
              <w:spacing w:after="0"/>
              <w:rPr>
                <w:sz w:val="1"/>
                <w:szCs w:val="1"/>
                <w:color w:val="auto"/>
              </w:rPr>
            </w:pPr>
          </w:p>
        </w:tc>
      </w:tr>
      <w:tr>
        <w:trPr>
          <w:trHeight w:val="135"/>
        </w:trPr>
        <w:tc>
          <w:tcPr>
            <w:tcW w:w="2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0"/>
                <w:szCs w:val="10"/>
                <w:b w:val="1"/>
                <w:bCs w:val="1"/>
                <w:color w:val="auto"/>
              </w:rPr>
              <w:t>Loans</w:t>
            </w:r>
            <w:r>
              <w:rPr>
                <w:rFonts w:ascii="Times New Roman" w:cs="Times New Roman" w:eastAsia="Times New Roman" w:hAnsi="Times New Roman"/>
                <w:sz w:val="12"/>
                <w:szCs w:val="12"/>
                <w:b w:val="1"/>
                <w:bCs w:val="1"/>
                <w:color w:val="auto"/>
                <w:vertAlign w:val="superscript"/>
              </w:rPr>
              <w:t>(1)</w:t>
            </w:r>
          </w:p>
        </w:tc>
        <w:tc>
          <w:tcPr>
            <w:tcW w:w="80" w:type="dxa"/>
            <w:vAlign w:val="bottom"/>
          </w:tcPr>
          <w:p>
            <w:pPr>
              <w:spacing w:after="0"/>
              <w:rPr>
                <w:sz w:val="11"/>
                <w:szCs w:val="11"/>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Loans Without an Allowance</w:t>
            </w: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0"/>
                <w:szCs w:val="10"/>
                <w:b w:val="1"/>
                <w:bCs w:val="1"/>
                <w:color w:val="auto"/>
              </w:rPr>
              <w:t>Loans</w:t>
            </w:r>
            <w:r>
              <w:rPr>
                <w:rFonts w:ascii="Times New Roman" w:cs="Times New Roman" w:eastAsia="Times New Roman" w:hAnsi="Times New Roman"/>
                <w:sz w:val="12"/>
                <w:szCs w:val="12"/>
                <w:b w:val="1"/>
                <w:bCs w:val="1"/>
                <w:color w:val="auto"/>
                <w:vertAlign w:val="superscript"/>
              </w:rPr>
              <w:t>(1)</w:t>
            </w:r>
          </w:p>
        </w:tc>
        <w:tc>
          <w:tcPr>
            <w:tcW w:w="80" w:type="dxa"/>
            <w:vAlign w:val="bottom"/>
          </w:tcPr>
          <w:p>
            <w:pPr>
              <w:spacing w:after="0"/>
              <w:rPr>
                <w:sz w:val="11"/>
                <w:szCs w:val="11"/>
                <w:color w:val="auto"/>
              </w:rPr>
            </w:pPr>
          </w:p>
        </w:tc>
        <w:tc>
          <w:tcPr>
            <w:tcW w:w="130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w w:val="96"/>
              </w:rPr>
              <w:t>Loans Without an Allowance</w:t>
            </w:r>
          </w:p>
        </w:tc>
        <w:tc>
          <w:tcPr>
            <w:tcW w:w="0" w:type="dxa"/>
            <w:vAlign w:val="bottom"/>
          </w:tcPr>
          <w:p>
            <w:pPr>
              <w:spacing w:after="0"/>
              <w:rPr>
                <w:sz w:val="1"/>
                <w:szCs w:val="1"/>
                <w:color w:val="auto"/>
              </w:rPr>
            </w:pPr>
          </w:p>
        </w:tc>
      </w:tr>
      <w:tr>
        <w:trPr>
          <w:trHeight w:val="133"/>
        </w:trPr>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Domestic credit card</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2,135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N/A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1,110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N/A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5"/>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card businesses</w:t>
            </w: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105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32"/>
        </w:trPr>
        <w:tc>
          <w:tcPr>
            <w:tcW w:w="2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credit card</w:t>
            </w: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2,240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1,192</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5"/>
        </w:trPr>
        <w:tc>
          <w:tcPr>
            <w:tcW w:w="288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Consumer Banking:</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100" w:type="dxa"/>
            <w:vAlign w:val="bottom"/>
          </w:tcPr>
          <w:p>
            <w:pPr>
              <w:spacing w:after="0"/>
              <w:rPr>
                <w:sz w:val="12"/>
                <w:szCs w:val="12"/>
                <w:color w:val="auto"/>
              </w:rPr>
            </w:pPr>
          </w:p>
        </w:tc>
        <w:tc>
          <w:tcPr>
            <w:tcW w:w="11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595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5"/>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39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32"/>
        </w:trPr>
        <w:tc>
          <w:tcPr>
            <w:tcW w:w="2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consumer banking</w:t>
            </w: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634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391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5"/>
        </w:trPr>
        <w:tc>
          <w:tcPr>
            <w:tcW w:w="288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Commercial Banking:</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100" w:type="dxa"/>
            <w:vAlign w:val="bottom"/>
          </w:tcPr>
          <w:p>
            <w:pPr>
              <w:spacing w:after="0"/>
              <w:rPr>
                <w:sz w:val="12"/>
                <w:szCs w:val="12"/>
                <w:color w:val="auto"/>
              </w:rPr>
            </w:pPr>
          </w:p>
        </w:tc>
        <w:tc>
          <w:tcPr>
            <w:tcW w:w="11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268</w:t>
            </w:r>
          </w:p>
        </w:tc>
        <w:tc>
          <w:tcPr>
            <w:tcW w:w="0" w:type="dxa"/>
            <w:vAlign w:val="bottom"/>
          </w:tcPr>
          <w:p>
            <w:pPr>
              <w:spacing w:after="0"/>
              <w:rPr>
                <w:sz w:val="1"/>
                <w:szCs w:val="1"/>
                <w:color w:val="auto"/>
              </w:rPr>
            </w:pPr>
          </w:p>
        </w:tc>
      </w:tr>
      <w:tr>
        <w:trPr>
          <w:trHeight w:val="145"/>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430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294</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316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257</w:t>
            </w:r>
          </w:p>
        </w:tc>
        <w:tc>
          <w:tcPr>
            <w:tcW w:w="0" w:type="dxa"/>
            <w:vAlign w:val="bottom"/>
          </w:tcPr>
          <w:p>
            <w:pPr>
              <w:spacing w:after="0"/>
              <w:rPr>
                <w:sz w:val="1"/>
                <w:szCs w:val="1"/>
                <w:color w:val="auto"/>
              </w:rPr>
            </w:pPr>
          </w:p>
        </w:tc>
      </w:tr>
      <w:tr>
        <w:trPr>
          <w:trHeight w:val="132"/>
        </w:trPr>
        <w:tc>
          <w:tcPr>
            <w:tcW w:w="2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commercial banking</w:t>
            </w: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701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540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rPr>
              <w:t>699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525</w:t>
            </w:r>
          </w:p>
        </w:tc>
        <w:tc>
          <w:tcPr>
            <w:tcW w:w="0" w:type="dxa"/>
            <w:vAlign w:val="bottom"/>
          </w:tcPr>
          <w:p>
            <w:pPr>
              <w:spacing w:after="0"/>
              <w:rPr>
                <w:sz w:val="1"/>
                <w:szCs w:val="1"/>
                <w:color w:val="auto"/>
              </w:rPr>
            </w:pPr>
          </w:p>
        </w:tc>
      </w:tr>
      <w:tr>
        <w:trPr>
          <w:trHeight w:val="154"/>
        </w:trPr>
        <w:tc>
          <w:tcPr>
            <w:tcW w:w="2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2,240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1,344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548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1,195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1,100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529</w:t>
            </w:r>
          </w:p>
        </w:tc>
        <w:tc>
          <w:tcPr>
            <w:tcW w:w="0" w:type="dxa"/>
            <w:vAlign w:val="bottom"/>
          </w:tcPr>
          <w:p>
            <w:pPr>
              <w:spacing w:after="0"/>
              <w:rPr>
                <w:sz w:val="1"/>
                <w:szCs w:val="1"/>
                <w:color w:val="auto"/>
              </w:rPr>
            </w:pPr>
          </w:p>
        </w:tc>
      </w:tr>
      <w:tr>
        <w:trPr>
          <w:trHeight w:val="138"/>
        </w:trPr>
        <w:tc>
          <w:tcPr>
            <w:tcW w:w="2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of Total loans held for investment</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0.72 %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0.43 %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0.18 %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0.43 %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0.19 %</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51" w:lineRule="exact"/>
        <w:rPr>
          <w:sz w:val="20"/>
          <w:szCs w:val="20"/>
          <w:color w:val="auto"/>
        </w:rPr>
      </w:pPr>
    </w:p>
    <w:p>
      <w:pPr>
        <w:ind w:left="208" w:hanging="208"/>
        <w:spacing w:after="0"/>
        <w:tabs>
          <w:tab w:leader="none" w:pos="208" w:val="left"/>
        </w:tabs>
        <w:numPr>
          <w:ilvl w:val="0"/>
          <w:numId w:val="7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recognized interest income for loans classified as nonperforming of $66 million and $43 million for the years ended December 31, 2022 and 2021 respectively.</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142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Credit Quality Indicators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closely monitor economic conditions and loan performance trends to assess and manage our exposure to credit risk. We discuss these risks and our credit quality indicator for each portfolio segment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Credit Card</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credit card loan portfolio is highly diversified across millions of accounts and numerous geographies without significant individual exposure. We therefore generally manage credit risk based on portfolios with common risk characteristics. The risk in our credit card loan portfolio correlates to broad economic trends, such as unemployment rates and the U.S. Real Gross Domestic Product (“GDP”) Rate, as well as consumers’ financial condition, all of which can have a material effect on credit performance. The key indicator we assess in monitoring the credit quality and risk of our credit card loan portfolio is delinquency trends, including an analysis of loan migration between delinquency categories over time.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presents our credit card portfolio by delinquency status as of December 31, 2022 and 2021.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3.3: Credit Card Delinquency Status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Pr>
          <w:p>
            <w:pPr>
              <w:spacing w:after="0"/>
              <w:rPr>
                <w:sz w:val="7"/>
                <w:szCs w:val="7"/>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Revolving Loans</w:t>
            </w:r>
          </w:p>
        </w:tc>
        <w:tc>
          <w:tcPr>
            <w:tcW w:w="1300" w:type="dxa"/>
            <w:vAlign w:val="bottom"/>
            <w:gridSpan w:val="3"/>
          </w:tcPr>
          <w:p>
            <w:pPr>
              <w:jc w:val="center"/>
              <w:ind w:right="80"/>
              <w:spacing w:after="0" w:line="89" w:lineRule="exact"/>
              <w:rPr>
                <w:sz w:val="20"/>
                <w:szCs w:val="20"/>
                <w:color w:val="auto"/>
              </w:rPr>
            </w:pPr>
            <w:r>
              <w:rPr>
                <w:rFonts w:ascii="Times New Roman" w:cs="Times New Roman" w:eastAsia="Times New Roman" w:hAnsi="Times New Roman"/>
                <w:sz w:val="10"/>
                <w:szCs w:val="10"/>
                <w:b w:val="1"/>
                <w:bCs w:val="1"/>
                <w:color w:val="auto"/>
                <w:w w:val="95"/>
              </w:rPr>
              <w:t>Revolving Loans Converted</w:t>
            </w:r>
          </w:p>
        </w:tc>
        <w:tc>
          <w:tcPr>
            <w:tcW w:w="280" w:type="dxa"/>
            <w:vAlign w:val="bottom"/>
          </w:tcPr>
          <w:p>
            <w:pPr>
              <w:spacing w:after="0"/>
              <w:rPr>
                <w:sz w:val="7"/>
                <w:szCs w:val="7"/>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Pr>
          <w:p>
            <w:pPr>
              <w:spacing w:after="0"/>
              <w:rPr>
                <w:sz w:val="7"/>
                <w:szCs w:val="7"/>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Revolving Loans</w:t>
            </w:r>
          </w:p>
        </w:tc>
        <w:tc>
          <w:tcPr>
            <w:tcW w:w="1280" w:type="dxa"/>
            <w:vAlign w:val="bottom"/>
            <w:gridSpan w:val="3"/>
          </w:tcPr>
          <w:p>
            <w:pPr>
              <w:jc w:val="center"/>
              <w:ind w:right="100"/>
              <w:spacing w:after="0" w:line="89" w:lineRule="exact"/>
              <w:rPr>
                <w:sz w:val="20"/>
                <w:szCs w:val="20"/>
                <w:color w:val="auto"/>
              </w:rPr>
            </w:pPr>
            <w:r>
              <w:rPr>
                <w:rFonts w:ascii="Times New Roman" w:cs="Times New Roman" w:eastAsia="Times New Roman" w:hAnsi="Times New Roman"/>
                <w:sz w:val="10"/>
                <w:szCs w:val="10"/>
                <w:b w:val="1"/>
                <w:bCs w:val="1"/>
                <w:color w:val="auto"/>
                <w:w w:val="95"/>
              </w:rPr>
              <w:t>Revolving Loans Converted</w:t>
            </w:r>
          </w:p>
        </w:tc>
        <w:tc>
          <w:tcPr>
            <w:tcW w:w="300" w:type="dxa"/>
            <w:vAlign w:val="bottom"/>
          </w:tcPr>
          <w:p>
            <w:pPr>
              <w:spacing w:after="0"/>
              <w:rPr>
                <w:sz w:val="7"/>
                <w:szCs w:val="7"/>
                <w:color w:val="auto"/>
              </w:rPr>
            </w:pPr>
          </w:p>
        </w:tc>
        <w:tc>
          <w:tcPr>
            <w:tcW w:w="920" w:type="dxa"/>
            <w:vAlign w:val="bottom"/>
            <w:vMerge w:val="restart"/>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9"/>
        </w:trPr>
        <w:tc>
          <w:tcPr>
            <w:tcW w:w="3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2"/>
              </w:rPr>
              <w:t>to Term</w:t>
            </w:r>
          </w:p>
        </w:tc>
        <w:tc>
          <w:tcPr>
            <w:tcW w:w="2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2"/>
              </w:rPr>
              <w:t>to Term</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Domestic credit card:</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Current</w:t>
            </w: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126,811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127,066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106,312</w:t>
            </w:r>
          </w:p>
        </w:tc>
        <w:tc>
          <w:tcPr>
            <w:tcW w:w="0" w:type="dxa"/>
            <w:vAlign w:val="bottom"/>
          </w:tcPr>
          <w:p>
            <w:pPr>
              <w:spacing w:after="0"/>
              <w:rPr>
                <w:sz w:val="1"/>
                <w:szCs w:val="1"/>
                <w:color w:val="auto"/>
              </w:rPr>
            </w:pPr>
          </w:p>
        </w:tc>
      </w:tr>
      <w:tr>
        <w:trPr>
          <w:trHeight w:val="143"/>
        </w:trPr>
        <w:tc>
          <w:tcPr>
            <w:tcW w:w="36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30-59 days</w:t>
            </w:r>
          </w:p>
        </w:tc>
        <w:tc>
          <w:tcPr>
            <w:tcW w:w="1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1,388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0" w:type="dxa"/>
            <w:vAlign w:val="bottom"/>
          </w:tcPr>
          <w:p>
            <w:pPr>
              <w:spacing w:after="0"/>
              <w:rPr>
                <w:sz w:val="1"/>
                <w:szCs w:val="1"/>
                <w:color w:val="auto"/>
              </w:rPr>
            </w:pPr>
          </w:p>
        </w:tc>
      </w:tr>
      <w:tr>
        <w:trPr>
          <w:trHeight w:val="145"/>
        </w:trPr>
        <w:tc>
          <w:tcPr>
            <w:tcW w:w="3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60-89 days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964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0" w:type="dxa"/>
            <w:vAlign w:val="bottom"/>
          </w:tcPr>
          <w:p>
            <w:pPr>
              <w:spacing w:after="0"/>
              <w:rPr>
                <w:sz w:val="1"/>
                <w:szCs w:val="1"/>
                <w:color w:val="auto"/>
              </w:rPr>
            </w:pPr>
          </w:p>
        </w:tc>
      </w:tr>
      <w:tr>
        <w:trPr>
          <w:trHeight w:val="143"/>
        </w:trPr>
        <w:tc>
          <w:tcPr>
            <w:tcW w:w="36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1"/>
                <w:szCs w:val="11"/>
                <w:color w:val="auto"/>
              </w:rPr>
              <w:t>Greater than 90 days</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2,121</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2,135</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1,100</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1,110</w:t>
            </w:r>
          </w:p>
        </w:tc>
        <w:tc>
          <w:tcPr>
            <w:tcW w:w="0" w:type="dxa"/>
            <w:vAlign w:val="bottom"/>
          </w:tcPr>
          <w:p>
            <w:pPr>
              <w:spacing w:after="0"/>
              <w:rPr>
                <w:sz w:val="1"/>
                <w:szCs w:val="1"/>
                <w:color w:val="auto"/>
              </w:rPr>
            </w:pPr>
          </w:p>
        </w:tc>
      </w:tr>
      <w:tr>
        <w:trPr>
          <w:trHeight w:val="133"/>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domestic credit card</w:t>
            </w:r>
          </w:p>
        </w:tc>
        <w:tc>
          <w:tcPr>
            <w:tcW w:w="16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131,284</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297</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131,581</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108,364</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108,723</w:t>
            </w:r>
          </w:p>
        </w:tc>
        <w:tc>
          <w:tcPr>
            <w:tcW w:w="0" w:type="dxa"/>
            <w:vAlign w:val="bottom"/>
          </w:tcPr>
          <w:p>
            <w:pPr>
              <w:spacing w:after="0"/>
              <w:rPr>
                <w:sz w:val="1"/>
                <w:szCs w:val="1"/>
                <w:color w:val="auto"/>
              </w:rPr>
            </w:pPr>
          </w:p>
        </w:tc>
      </w:tr>
      <w:tr>
        <w:trPr>
          <w:trHeight w:val="125"/>
        </w:trPr>
        <w:tc>
          <w:tcPr>
            <w:tcW w:w="3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International card businesses: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Current</w:t>
            </w:r>
          </w:p>
        </w:tc>
        <w:tc>
          <w:tcPr>
            <w:tcW w:w="1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5,866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5,895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5,836</w:t>
            </w:r>
          </w:p>
        </w:tc>
        <w:tc>
          <w:tcPr>
            <w:tcW w:w="0" w:type="dxa"/>
            <w:vAlign w:val="bottom"/>
          </w:tcPr>
          <w:p>
            <w:pPr>
              <w:spacing w:after="0"/>
              <w:rPr>
                <w:sz w:val="1"/>
                <w:szCs w:val="1"/>
                <w:color w:val="auto"/>
              </w:rPr>
            </w:pPr>
          </w:p>
        </w:tc>
      </w:tr>
      <w:tr>
        <w:trPr>
          <w:trHeight w:val="145"/>
        </w:trPr>
        <w:tc>
          <w:tcPr>
            <w:tcW w:w="3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30-59 days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83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0" w:type="dxa"/>
            <w:vAlign w:val="bottom"/>
          </w:tcPr>
          <w:p>
            <w:pPr>
              <w:spacing w:after="0"/>
              <w:rPr>
                <w:sz w:val="1"/>
                <w:szCs w:val="1"/>
                <w:color w:val="auto"/>
              </w:rPr>
            </w:pPr>
          </w:p>
        </w:tc>
      </w:tr>
      <w:tr>
        <w:trPr>
          <w:trHeight w:val="143"/>
        </w:trPr>
        <w:tc>
          <w:tcPr>
            <w:tcW w:w="36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60-89 days</w:t>
            </w:r>
          </w:p>
        </w:tc>
        <w:tc>
          <w:tcPr>
            <w:tcW w:w="160" w:type="dxa"/>
            <w:vAlign w:val="bottom"/>
          </w:tcPr>
          <w:p>
            <w:pPr>
              <w:spacing w:after="0"/>
              <w:rPr>
                <w:sz w:val="12"/>
                <w:szCs w:val="12"/>
                <w:color w:val="auto"/>
              </w:rPr>
            </w:pP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55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45"/>
        </w:trPr>
        <w:tc>
          <w:tcPr>
            <w:tcW w:w="3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Greater than 90 days</w:t>
            </w: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106</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132"/>
        </w:trPr>
        <w:tc>
          <w:tcPr>
            <w:tcW w:w="3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Total international card businesses</w:t>
            </w: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6,110</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6,149</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5,997</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6,049</w:t>
            </w:r>
          </w:p>
        </w:tc>
        <w:tc>
          <w:tcPr>
            <w:tcW w:w="0" w:type="dxa"/>
            <w:vAlign w:val="bottom"/>
          </w:tcPr>
          <w:p>
            <w:pPr>
              <w:spacing w:after="0"/>
              <w:rPr>
                <w:sz w:val="1"/>
                <w:szCs w:val="1"/>
                <w:color w:val="auto"/>
              </w:rPr>
            </w:pPr>
          </w:p>
        </w:tc>
      </w:tr>
      <w:tr>
        <w:trPr>
          <w:trHeight w:val="141"/>
        </w:trPr>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credit card</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137,394</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336</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137,730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114,361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114,772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2"/>
        </w:trPr>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Times New Roman" w:cs="Times New Roman" w:eastAsia="Times New Roman" w:hAnsi="Times New Roman"/>
                <w:sz w:val="10"/>
                <w:szCs w:val="10"/>
                <w:color w:val="auto"/>
              </w:rPr>
              <w:t>143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c>
          <w:tcPr>
            <w:tcW w:w="0" w:type="dxa"/>
            <w:vAlign w:val="bottom"/>
          </w:tcPr>
          <w:p>
            <w:pPr>
              <w:spacing w:after="0"/>
              <w:rPr>
                <w:sz w:val="1"/>
                <w:szCs w:val="1"/>
                <w:color w:val="auto"/>
              </w:rPr>
            </w:pPr>
          </w:p>
        </w:tc>
      </w:tr>
      <w:tr>
        <w:trPr>
          <w:trHeight w:val="224"/>
        </w:trPr>
        <w:tc>
          <w:tcPr>
            <w:tcW w:w="3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Consumer Banking</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consumer banking loan portfolio consists of auto and retail banking loans. Similar to our credit card loan portfolio, the risk in our consumer banking loan portfolio correlates to broad economic trends as well as consumers’ financial condition, all of which can have a material effect on credit performance. The key indicator we monitor when assessing the credit quality and risk of our auto loan portfolio is borrower credit scores as they measure the creditworthiness of borrowers. Delinquency trends are the key indicator we assess in monitoring the credit quality and risk of our retail banking loan portfolio.</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table below presents our consumer banking portfolio of loans held for investment by credit quality indicator as of December 31, 2022 and 2021. We present our auto loan portfolio by FICO scores at origination and our retail banking loan portfolio by delinquency status, which includes all past due loans, both performing and nonperforming.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3.4: Consumer Banking Portfolio by Credit Quality Indicator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9"/>
                <w:szCs w:val="9"/>
                <w:b w:val="1"/>
                <w:bCs w:val="1"/>
                <w:color w:val="auto"/>
              </w:rPr>
              <w:t>December 31, 2022</w:t>
            </w: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10"/>
          </w:tcPr>
          <w:p>
            <w:pPr>
              <w:jc w:val="right"/>
              <w:ind w:right="66"/>
              <w:spacing w:after="0"/>
              <w:rPr>
                <w:sz w:val="20"/>
                <w:szCs w:val="20"/>
                <w:color w:val="auto"/>
              </w:rPr>
            </w:pPr>
            <w:r>
              <w:rPr>
                <w:rFonts w:ascii="Times New Roman" w:cs="Times New Roman" w:eastAsia="Times New Roman" w:hAnsi="Times New Roman"/>
                <w:sz w:val="9"/>
                <w:szCs w:val="9"/>
                <w:b w:val="1"/>
                <w:bCs w:val="1"/>
                <w:color w:val="auto"/>
              </w:rPr>
              <w:t>Term Loans by Vintage Year</w:t>
            </w:r>
          </w:p>
        </w:tc>
        <w:tc>
          <w:tcPr>
            <w:tcW w:w="5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9"/>
                <w:szCs w:val="9"/>
                <w:i w:val="1"/>
                <w:iCs w:val="1"/>
                <w:color w:val="auto"/>
              </w:rPr>
              <w:t>(Dollars in millions)</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jc w:val="right"/>
              <w:ind w:right="167"/>
              <w:spacing w:after="0"/>
              <w:rPr>
                <w:sz w:val="20"/>
                <w:szCs w:val="20"/>
                <w:color w:val="auto"/>
              </w:rPr>
            </w:pPr>
            <w:r>
              <w:rPr>
                <w:rFonts w:ascii="Times New Roman" w:cs="Times New Roman" w:eastAsia="Times New Roman" w:hAnsi="Times New Roman"/>
                <w:sz w:val="9"/>
                <w:szCs w:val="9"/>
                <w:b w:val="1"/>
                <w:bCs w:val="1"/>
                <w:color w:val="auto"/>
              </w:rPr>
              <w:t>2022</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187"/>
              <w:spacing w:after="0"/>
              <w:rPr>
                <w:sz w:val="20"/>
                <w:szCs w:val="20"/>
                <w:color w:val="auto"/>
              </w:rPr>
            </w:pPr>
            <w:r>
              <w:rPr>
                <w:rFonts w:ascii="Times New Roman" w:cs="Times New Roman" w:eastAsia="Times New Roman" w:hAnsi="Times New Roman"/>
                <w:sz w:val="9"/>
                <w:szCs w:val="9"/>
                <w:b w:val="1"/>
                <w:bCs w:val="1"/>
                <w:color w:val="auto"/>
              </w:rPr>
              <w:t>2021</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188"/>
              <w:spacing w:after="0"/>
              <w:rPr>
                <w:sz w:val="20"/>
                <w:szCs w:val="20"/>
                <w:color w:val="auto"/>
              </w:rPr>
            </w:pPr>
            <w:r>
              <w:rPr>
                <w:rFonts w:ascii="Times New Roman" w:cs="Times New Roman" w:eastAsia="Times New Roman" w:hAnsi="Times New Roman"/>
                <w:sz w:val="9"/>
                <w:szCs w:val="9"/>
                <w:b w:val="1"/>
                <w:bCs w:val="1"/>
                <w:color w:val="auto"/>
              </w:rPr>
              <w:t>2020</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187"/>
              <w:spacing w:after="0"/>
              <w:rPr>
                <w:sz w:val="20"/>
                <w:szCs w:val="20"/>
                <w:color w:val="auto"/>
              </w:rPr>
            </w:pPr>
            <w:r>
              <w:rPr>
                <w:rFonts w:ascii="Times New Roman" w:cs="Times New Roman" w:eastAsia="Times New Roman" w:hAnsi="Times New Roman"/>
                <w:sz w:val="9"/>
                <w:szCs w:val="9"/>
                <w:b w:val="1"/>
                <w:bCs w:val="1"/>
                <w:color w:val="auto"/>
              </w:rPr>
              <w:t>2019</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188"/>
              <w:spacing w:after="0"/>
              <w:rPr>
                <w:sz w:val="20"/>
                <w:szCs w:val="20"/>
                <w:color w:val="auto"/>
              </w:rPr>
            </w:pPr>
            <w:r>
              <w:rPr>
                <w:rFonts w:ascii="Times New Roman" w:cs="Times New Roman" w:eastAsia="Times New Roman" w:hAnsi="Times New Roman"/>
                <w:sz w:val="9"/>
                <w:szCs w:val="9"/>
                <w:b w:val="1"/>
                <w:bCs w:val="1"/>
                <w:color w:val="auto"/>
              </w:rPr>
              <w:t>2018</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Prior</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Total Term Loans</w:t>
            </w:r>
          </w:p>
        </w:tc>
        <w:tc>
          <w:tcPr>
            <w:tcW w:w="8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Revolving Loans</w:t>
            </w:r>
          </w:p>
        </w:tc>
        <w:tc>
          <w:tcPr>
            <w:tcW w:w="100" w:type="dxa"/>
            <w:vAlign w:val="bottom"/>
          </w:tcPr>
          <w:p>
            <w:pPr>
              <w:spacing w:after="0"/>
              <w:rPr>
                <w:sz w:val="6"/>
                <w:szCs w:val="6"/>
                <w:color w:val="auto"/>
              </w:rPr>
            </w:pPr>
          </w:p>
        </w:tc>
        <w:tc>
          <w:tcPr>
            <w:tcW w:w="1020" w:type="dxa"/>
            <w:vAlign w:val="bottom"/>
            <w:gridSpan w:val="2"/>
          </w:tcPr>
          <w:p>
            <w:pPr>
              <w:jc w:val="center"/>
              <w:ind w:right="180"/>
              <w:spacing w:after="0" w:line="78" w:lineRule="exact"/>
              <w:rPr>
                <w:sz w:val="20"/>
                <w:szCs w:val="20"/>
                <w:color w:val="auto"/>
              </w:rPr>
            </w:pPr>
            <w:r>
              <w:rPr>
                <w:rFonts w:ascii="Times New Roman" w:cs="Times New Roman" w:eastAsia="Times New Roman" w:hAnsi="Times New Roman"/>
                <w:sz w:val="9"/>
                <w:szCs w:val="9"/>
                <w:b w:val="1"/>
                <w:bCs w:val="1"/>
                <w:color w:val="auto"/>
                <w:w w:val="99"/>
              </w:rPr>
              <w:t>Revolving Loans</w:t>
            </w:r>
          </w:p>
        </w:tc>
        <w:tc>
          <w:tcPr>
            <w:tcW w:w="180" w:type="dxa"/>
            <w:vAlign w:val="bottom"/>
          </w:tcPr>
          <w:p>
            <w:pPr>
              <w:spacing w:after="0"/>
              <w:rPr>
                <w:sz w:val="6"/>
                <w:szCs w:val="6"/>
                <w:color w:val="auto"/>
              </w:rPr>
            </w:pP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2"/>
        </w:trPr>
        <w:tc>
          <w:tcPr>
            <w:tcW w:w="22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Converted to Term</w:t>
            </w: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tcBorders>
              <w:top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1"/>
                <w:szCs w:val="11"/>
                <w:b w:val="1"/>
                <w:bCs w:val="1"/>
                <w:color w:val="auto"/>
              </w:rPr>
              <w:t>Auto</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At origination FICO scores:</w:t>
            </w:r>
            <w:r>
              <w:rPr>
                <w:rFonts w:ascii="Times New Roman" w:cs="Times New Roman" w:eastAsia="Times New Roman" w:hAnsi="Times New Roman"/>
                <w:sz w:val="14"/>
                <w:szCs w:val="14"/>
                <w:b w:val="1"/>
                <w:bCs w:val="1"/>
                <w:color w:val="auto"/>
                <w:vertAlign w:val="superscript"/>
              </w:rPr>
              <w:t>(1)</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Greater than 660</w:t>
            </w:r>
          </w:p>
        </w:tc>
        <w:tc>
          <w:tcPr>
            <w:tcW w:w="24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17,872</w:t>
            </w:r>
          </w:p>
        </w:tc>
        <w:tc>
          <w:tcPr>
            <w:tcW w:w="24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14,246</w:t>
            </w:r>
          </w:p>
        </w:tc>
        <w:tc>
          <w:tcPr>
            <w:tcW w:w="24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5,354</w:t>
            </w:r>
          </w:p>
        </w:tc>
        <w:tc>
          <w:tcPr>
            <w:tcW w:w="24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2,595</w:t>
            </w:r>
          </w:p>
        </w:tc>
        <w:tc>
          <w:tcPr>
            <w:tcW w:w="24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1,032</w:t>
            </w:r>
          </w:p>
        </w:tc>
        <w:tc>
          <w:tcPr>
            <w:tcW w:w="2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328</w:t>
            </w:r>
          </w:p>
        </w:tc>
        <w:tc>
          <w:tcPr>
            <w:tcW w:w="80" w:type="dxa"/>
            <w:vAlign w:val="bottom"/>
          </w:tcPr>
          <w:p>
            <w:pPr>
              <w:spacing w:after="0"/>
              <w:rPr>
                <w:sz w:val="12"/>
                <w:szCs w:val="12"/>
                <w:color w:val="auto"/>
              </w:rPr>
            </w:pPr>
          </w:p>
        </w:tc>
        <w:tc>
          <w:tcPr>
            <w:tcW w:w="260" w:type="dxa"/>
            <w:vAlign w:val="bottom"/>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41,427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41,427</w:t>
            </w:r>
          </w:p>
        </w:tc>
        <w:tc>
          <w:tcPr>
            <w:tcW w:w="0" w:type="dxa"/>
            <w:vAlign w:val="bottom"/>
          </w:tcPr>
          <w:p>
            <w:pPr>
              <w:spacing w:after="0"/>
              <w:rPr>
                <w:sz w:val="1"/>
                <w:szCs w:val="1"/>
                <w:color w:val="auto"/>
              </w:rPr>
            </w:pPr>
          </w:p>
        </w:tc>
      </w:tr>
      <w:tr>
        <w:trPr>
          <w:trHeight w:val="145"/>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621-660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6,212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5,060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2,257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1,167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513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15,394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15,394</w:t>
            </w:r>
          </w:p>
        </w:tc>
        <w:tc>
          <w:tcPr>
            <w:tcW w:w="0" w:type="dxa"/>
            <w:vAlign w:val="bottom"/>
          </w:tcPr>
          <w:p>
            <w:pPr>
              <w:spacing w:after="0"/>
              <w:rPr>
                <w:sz w:val="1"/>
                <w:szCs w:val="1"/>
                <w:color w:val="auto"/>
              </w:rPr>
            </w:pPr>
          </w:p>
        </w:tc>
      </w:tr>
      <w:tr>
        <w:trPr>
          <w:trHeight w:val="143"/>
        </w:trPr>
        <w:tc>
          <w:tcPr>
            <w:tcW w:w="2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1"/>
                <w:szCs w:val="11"/>
                <w:color w:val="auto"/>
              </w:rPr>
              <w:t>620 or below</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7,717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6,501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3,898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2,144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914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378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21,552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21,552</w:t>
            </w:r>
          </w:p>
        </w:tc>
        <w:tc>
          <w:tcPr>
            <w:tcW w:w="0" w:type="dxa"/>
            <w:vAlign w:val="bottom"/>
          </w:tcPr>
          <w:p>
            <w:pPr>
              <w:spacing w:after="0"/>
              <w:rPr>
                <w:sz w:val="1"/>
                <w:szCs w:val="1"/>
                <w:color w:val="auto"/>
              </w:rPr>
            </w:pPr>
          </w:p>
        </w:tc>
      </w:tr>
      <w:tr>
        <w:trPr>
          <w:trHeight w:val="13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auto</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31,801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25,807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11,509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5,906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2,459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891</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78,373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78,373</w:t>
            </w: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Retail banking—Delinquency status: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166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82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470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1,518</w:t>
            </w:r>
          </w:p>
        </w:tc>
        <w:tc>
          <w:tcPr>
            <w:tcW w:w="0" w:type="dxa"/>
            <w:vAlign w:val="bottom"/>
          </w:tcPr>
          <w:p>
            <w:pPr>
              <w:spacing w:after="0"/>
              <w:rPr>
                <w:sz w:val="1"/>
                <w:szCs w:val="1"/>
                <w:color w:val="auto"/>
              </w:rPr>
            </w:pPr>
          </w:p>
        </w:tc>
      </w:tr>
      <w:tr>
        <w:trPr>
          <w:trHeight w:val="145"/>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30-59 days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w:t>
            </w:r>
          </w:p>
        </w:tc>
        <w:tc>
          <w:tcPr>
            <w:tcW w:w="0" w:type="dxa"/>
            <w:vAlign w:val="bottom"/>
          </w:tcPr>
          <w:p>
            <w:pPr>
              <w:spacing w:after="0"/>
              <w:rPr>
                <w:sz w:val="1"/>
                <w:szCs w:val="1"/>
                <w:color w:val="auto"/>
              </w:rPr>
            </w:pPr>
          </w:p>
        </w:tc>
      </w:tr>
      <w:tr>
        <w:trPr>
          <w:trHeight w:val="143"/>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60-89 days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0" w:type="dxa"/>
            <w:vAlign w:val="bottom"/>
          </w:tcPr>
          <w:p>
            <w:pPr>
              <w:spacing w:after="0"/>
              <w:rPr>
                <w:sz w:val="1"/>
                <w:szCs w:val="1"/>
                <w:color w:val="auto"/>
              </w:rPr>
            </w:pPr>
          </w:p>
        </w:tc>
      </w:tr>
      <w:tr>
        <w:trPr>
          <w:trHeight w:val="145"/>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Greater than 90 days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0" w:type="dxa"/>
            <w:vAlign w:val="bottom"/>
          </w:tcPr>
          <w:p>
            <w:pPr>
              <w:spacing w:after="0"/>
              <w:rPr>
                <w:sz w:val="1"/>
                <w:szCs w:val="1"/>
                <w:color w:val="auto"/>
              </w:rPr>
            </w:pPr>
          </w:p>
        </w:tc>
      </w:tr>
      <w:tr>
        <w:trPr>
          <w:trHeight w:val="132"/>
        </w:trPr>
        <w:tc>
          <w:tcPr>
            <w:tcW w:w="2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retail banking</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168</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130</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82</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133</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130</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481</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1,124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1,552</w:t>
            </w:r>
          </w:p>
        </w:tc>
        <w:tc>
          <w:tcPr>
            <w:tcW w:w="0" w:type="dxa"/>
            <w:vAlign w:val="bottom"/>
          </w:tcPr>
          <w:p>
            <w:pPr>
              <w:spacing w:after="0"/>
              <w:rPr>
                <w:sz w:val="1"/>
                <w:szCs w:val="1"/>
                <w:color w:val="auto"/>
              </w:rPr>
            </w:pPr>
          </w:p>
        </w:tc>
      </w:tr>
      <w:tr>
        <w:trPr>
          <w:trHeight w:val="150"/>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consumer banking</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31,969</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25,937</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11,591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6,039</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2,589</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1,372</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79,497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79,925</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9"/>
                <w:szCs w:val="9"/>
                <w:b w:val="1"/>
                <w:bCs w:val="1"/>
                <w:color w:val="auto"/>
              </w:rPr>
              <w:t>December 31, 2021</w:t>
            </w: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10"/>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Term Loans by Vintage Year</w:t>
            </w:r>
          </w:p>
        </w:tc>
        <w:tc>
          <w:tcPr>
            <w:tcW w:w="5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180" w:type="dxa"/>
            <w:vAlign w:val="bottom"/>
            <w:vMerge w:val="restart"/>
          </w:tcPr>
          <w:p>
            <w:pPr>
              <w:spacing w:after="0"/>
              <w:rPr>
                <w:sz w:val="20"/>
                <w:szCs w:val="20"/>
                <w:color w:val="auto"/>
              </w:rPr>
            </w:pPr>
            <w:r>
              <w:rPr>
                <w:rFonts w:ascii="Times New Roman" w:cs="Times New Roman" w:eastAsia="Times New Roman" w:hAnsi="Times New Roman"/>
                <w:sz w:val="9"/>
                <w:szCs w:val="9"/>
                <w:i w:val="1"/>
                <w:iCs w:val="1"/>
                <w:color w:val="auto"/>
              </w:rPr>
              <w:t>(Dollars in millions)</w:t>
            </w:r>
          </w:p>
        </w:tc>
        <w:tc>
          <w:tcPr>
            <w:tcW w:w="8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2021</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267"/>
              <w:spacing w:after="0"/>
              <w:rPr>
                <w:sz w:val="20"/>
                <w:szCs w:val="20"/>
                <w:color w:val="auto"/>
              </w:rPr>
            </w:pPr>
            <w:r>
              <w:rPr>
                <w:rFonts w:ascii="Times New Roman" w:cs="Times New Roman" w:eastAsia="Times New Roman" w:hAnsi="Times New Roman"/>
                <w:sz w:val="9"/>
                <w:szCs w:val="9"/>
                <w:b w:val="1"/>
                <w:bCs w:val="1"/>
                <w:color w:val="auto"/>
              </w:rPr>
              <w:t>2020</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268"/>
              <w:spacing w:after="0"/>
              <w:rPr>
                <w:sz w:val="20"/>
                <w:szCs w:val="20"/>
                <w:color w:val="auto"/>
              </w:rPr>
            </w:pPr>
            <w:r>
              <w:rPr>
                <w:rFonts w:ascii="Times New Roman" w:cs="Times New Roman" w:eastAsia="Times New Roman" w:hAnsi="Times New Roman"/>
                <w:sz w:val="9"/>
                <w:szCs w:val="9"/>
                <w:b w:val="1"/>
                <w:bCs w:val="1"/>
                <w:color w:val="auto"/>
              </w:rPr>
              <w:t>2019</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2018</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248"/>
              <w:spacing w:after="0"/>
              <w:rPr>
                <w:sz w:val="20"/>
                <w:szCs w:val="20"/>
                <w:color w:val="auto"/>
              </w:rPr>
            </w:pPr>
            <w:r>
              <w:rPr>
                <w:rFonts w:ascii="Times New Roman" w:cs="Times New Roman" w:eastAsia="Times New Roman" w:hAnsi="Times New Roman"/>
                <w:sz w:val="9"/>
                <w:szCs w:val="9"/>
                <w:b w:val="1"/>
                <w:bCs w:val="1"/>
                <w:color w:val="auto"/>
              </w:rPr>
              <w:t>2017</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Prior</w:t>
            </w:r>
          </w:p>
        </w:tc>
        <w:tc>
          <w:tcPr>
            <w:tcW w:w="80" w:type="dxa"/>
            <w:vAlign w:val="bottom"/>
            <w:vMerge w:val="restart"/>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Total Term Loans</w:t>
            </w:r>
          </w:p>
        </w:tc>
        <w:tc>
          <w:tcPr>
            <w:tcW w:w="10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Revolving Loans</w:t>
            </w:r>
          </w:p>
        </w:tc>
        <w:tc>
          <w:tcPr>
            <w:tcW w:w="10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180"/>
              <w:spacing w:after="0" w:line="78" w:lineRule="exact"/>
              <w:rPr>
                <w:sz w:val="20"/>
                <w:szCs w:val="20"/>
                <w:color w:val="auto"/>
              </w:rPr>
            </w:pPr>
            <w:r>
              <w:rPr>
                <w:rFonts w:ascii="Times New Roman" w:cs="Times New Roman" w:eastAsia="Times New Roman" w:hAnsi="Times New Roman"/>
                <w:sz w:val="9"/>
                <w:szCs w:val="9"/>
                <w:b w:val="1"/>
                <w:bCs w:val="1"/>
                <w:color w:val="auto"/>
                <w:w w:val="99"/>
              </w:rPr>
              <w:t>Revolving Loans</w:t>
            </w:r>
          </w:p>
        </w:tc>
        <w:tc>
          <w:tcPr>
            <w:tcW w:w="180" w:type="dxa"/>
            <w:vAlign w:val="bottom"/>
          </w:tcPr>
          <w:p>
            <w:pPr>
              <w:spacing w:after="0"/>
              <w:rPr>
                <w:sz w:val="6"/>
                <w:szCs w:val="6"/>
                <w:color w:val="auto"/>
              </w:rPr>
            </w:pP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2"/>
        </w:trPr>
        <w:tc>
          <w:tcPr>
            <w:tcW w:w="21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9"/>
                <w:szCs w:val="9"/>
                <w:b w:val="1"/>
                <w:bCs w:val="1"/>
                <w:color w:val="auto"/>
                <w:w w:val="97"/>
              </w:rPr>
              <w:t>Converted to Term</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1"/>
                <w:szCs w:val="11"/>
                <w:b w:val="1"/>
                <w:bCs w:val="1"/>
                <w:color w:val="auto"/>
              </w:rPr>
              <w:t>Auto</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At origination FICO scores:</w:t>
            </w:r>
            <w:r>
              <w:rPr>
                <w:rFonts w:ascii="Times New Roman" w:cs="Times New Roman" w:eastAsia="Times New Roman" w:hAnsi="Times New Roman"/>
                <w:sz w:val="14"/>
                <w:szCs w:val="14"/>
                <w:b w:val="1"/>
                <w:bCs w:val="1"/>
                <w:color w:val="auto"/>
                <w:vertAlign w:val="superscript"/>
              </w:rPr>
              <w:t>(1)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Greater than 660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20,758</w:t>
            </w:r>
          </w:p>
        </w:tc>
        <w:tc>
          <w:tcPr>
            <w:tcW w:w="80" w:type="dxa"/>
            <w:vAlign w:val="bottom"/>
          </w:tcPr>
          <w:p>
            <w:pPr>
              <w:spacing w:after="0"/>
              <w:rPr>
                <w:sz w:val="12"/>
                <w:szCs w:val="12"/>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8,630</w:t>
            </w:r>
          </w:p>
        </w:tc>
        <w:tc>
          <w:tcPr>
            <w:tcW w:w="60" w:type="dxa"/>
            <w:vAlign w:val="bottom"/>
          </w:tcPr>
          <w:p>
            <w:pPr>
              <w:spacing w:after="0"/>
              <w:rPr>
                <w:sz w:val="12"/>
                <w:szCs w:val="12"/>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4,739</w:t>
            </w:r>
          </w:p>
        </w:tc>
        <w:tc>
          <w:tcPr>
            <w:tcW w:w="6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w:t>
            </w:r>
          </w:p>
        </w:tc>
        <w:tc>
          <w:tcPr>
            <w:tcW w:w="6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6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tcPr>
          <w:p>
            <w:pPr>
              <w:spacing w:after="0"/>
              <w:rPr>
                <w:sz w:val="12"/>
                <w:szCs w:val="12"/>
                <w:color w:val="auto"/>
              </w:rPr>
            </w:pPr>
          </w:p>
        </w:tc>
        <w:tc>
          <w:tcPr>
            <w:tcW w:w="260" w:type="dxa"/>
            <w:vAlign w:val="bottom"/>
          </w:tcPr>
          <w:p>
            <w:pPr>
              <w:jc w:val="right"/>
              <w:ind w:right="13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37,975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37,975</w:t>
            </w: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621-660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3,721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2,109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15,064</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1"/>
                <w:szCs w:val="11"/>
                <w:color w:val="auto"/>
              </w:rPr>
              <w:t>620 or below</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9,522</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6,336</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3,767</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1,840</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22,740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22,740</w:t>
            </w:r>
          </w:p>
        </w:tc>
        <w:tc>
          <w:tcPr>
            <w:tcW w:w="0" w:type="dxa"/>
            <w:vAlign w:val="bottom"/>
          </w:tcPr>
          <w:p>
            <w:pPr>
              <w:spacing w:after="0"/>
              <w:rPr>
                <w:sz w:val="1"/>
                <w:szCs w:val="1"/>
                <w:color w:val="auto"/>
              </w:rPr>
            </w:pPr>
          </w:p>
        </w:tc>
      </w:tr>
      <w:tr>
        <w:trPr>
          <w:trHeight w:val="133"/>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auto</w:t>
            </w: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37,736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18,687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10,615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784</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75,779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75,779</w:t>
            </w: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Retail banking—Delinquency status: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Current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172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1,807</w:t>
            </w:r>
          </w:p>
        </w:tc>
        <w:tc>
          <w:tcPr>
            <w:tcW w:w="0" w:type="dxa"/>
            <w:vAlign w:val="bottom"/>
          </w:tcPr>
          <w:p>
            <w:pPr>
              <w:spacing w:after="0"/>
              <w:rPr>
                <w:sz w:val="1"/>
                <w:szCs w:val="1"/>
                <w:color w:val="auto"/>
              </w:rPr>
            </w:pPr>
          </w:p>
        </w:tc>
      </w:tr>
      <w:tr>
        <w:trPr>
          <w:trHeight w:val="146"/>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30-59 days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42"/>
        </w:trPr>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60-89 days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6"/>
        </w:trPr>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Greater than 90 days</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31"/>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retail banking</w:t>
            </w: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178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174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1,486</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1,867</w:t>
            </w:r>
          </w:p>
        </w:tc>
        <w:tc>
          <w:tcPr>
            <w:tcW w:w="0" w:type="dxa"/>
            <w:vAlign w:val="bottom"/>
          </w:tcPr>
          <w:p>
            <w:pPr>
              <w:spacing w:after="0"/>
              <w:rPr>
                <w:sz w:val="1"/>
                <w:szCs w:val="1"/>
                <w:color w:val="auto"/>
              </w:rPr>
            </w:pPr>
          </w:p>
        </w:tc>
      </w:tr>
      <w:tr>
        <w:trPr>
          <w:trHeight w:val="694"/>
        </w:trPr>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c>
          <w:tcPr>
            <w:tcW w:w="0" w:type="dxa"/>
            <w:vAlign w:val="bottom"/>
          </w:tcPr>
          <w:p>
            <w:pPr>
              <w:spacing w:after="0"/>
              <w:rPr>
                <w:sz w:val="1"/>
                <w:szCs w:val="1"/>
                <w:color w:val="auto"/>
              </w:rPr>
            </w:pPr>
          </w:p>
        </w:tc>
      </w:tr>
      <w:tr>
        <w:trPr>
          <w:trHeight w:val="224"/>
        </w:trPr>
        <w:tc>
          <w:tcPr>
            <w:tcW w:w="21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5" w:name="page146"/>
    <w:bookmarkEnd w:id="145"/>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2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December 31, 2021</w:t>
            </w: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6"/>
          </w:tcPr>
          <w:p>
            <w:pPr>
              <w:jc w:val="right"/>
              <w:ind w:right="66"/>
              <w:spacing w:after="0"/>
              <w:rPr>
                <w:sz w:val="20"/>
                <w:szCs w:val="20"/>
                <w:color w:val="auto"/>
              </w:rPr>
            </w:pPr>
            <w:r>
              <w:rPr>
                <w:rFonts w:ascii="Times New Roman" w:cs="Times New Roman" w:eastAsia="Times New Roman" w:hAnsi="Times New Roman"/>
                <w:sz w:val="9"/>
                <w:szCs w:val="9"/>
                <w:b w:val="1"/>
                <w:bCs w:val="1"/>
                <w:color w:val="auto"/>
              </w:rPr>
              <w:t>Term Loans by Vintage Year</w:t>
            </w: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280" w:type="dxa"/>
            <w:vAlign w:val="bottom"/>
            <w:vMerge w:val="restart"/>
          </w:tcPr>
          <w:p>
            <w:pPr>
              <w:spacing w:after="0"/>
              <w:rPr>
                <w:sz w:val="20"/>
                <w:szCs w:val="20"/>
                <w:color w:val="auto"/>
              </w:rPr>
            </w:pPr>
            <w:r>
              <w:rPr>
                <w:rFonts w:ascii="Times New Roman" w:cs="Times New Roman" w:eastAsia="Times New Roman" w:hAnsi="Times New Roman"/>
                <w:sz w:val="9"/>
                <w:szCs w:val="9"/>
                <w:i w:val="1"/>
                <w:iCs w:val="1"/>
                <w:color w:val="auto"/>
              </w:rPr>
              <w:t>(Dollars in millions)</w:t>
            </w:r>
          </w:p>
        </w:tc>
        <w:tc>
          <w:tcPr>
            <w:tcW w:w="180" w:type="dxa"/>
            <w:vAlign w:val="bottom"/>
          </w:tcPr>
          <w:p>
            <w:pPr>
              <w:spacing w:after="0"/>
              <w:rPr>
                <w:sz w:val="6"/>
                <w:szCs w:val="6"/>
                <w:color w:val="auto"/>
              </w:rPr>
            </w:pPr>
          </w:p>
        </w:tc>
        <w:tc>
          <w:tcPr>
            <w:tcW w:w="600" w:type="dxa"/>
            <w:vAlign w:val="bottom"/>
            <w:vMerge w:val="restart"/>
          </w:tcPr>
          <w:p>
            <w:pPr>
              <w:jc w:val="right"/>
              <w:ind w:right="251"/>
              <w:spacing w:after="0"/>
              <w:rPr>
                <w:sz w:val="20"/>
                <w:szCs w:val="20"/>
                <w:color w:val="auto"/>
              </w:rPr>
            </w:pPr>
            <w:r>
              <w:rPr>
                <w:rFonts w:ascii="Times New Roman" w:cs="Times New Roman" w:eastAsia="Times New Roman" w:hAnsi="Times New Roman"/>
                <w:sz w:val="9"/>
                <w:szCs w:val="9"/>
                <w:b w:val="1"/>
                <w:bCs w:val="1"/>
                <w:color w:val="auto"/>
              </w:rPr>
              <w:t>2021</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271"/>
              <w:spacing w:after="0"/>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272"/>
              <w:spacing w:after="0"/>
              <w:rPr>
                <w:sz w:val="20"/>
                <w:szCs w:val="20"/>
                <w:color w:val="auto"/>
              </w:rPr>
            </w:pPr>
            <w:r>
              <w:rPr>
                <w:rFonts w:ascii="Times New Roman" w:cs="Times New Roman" w:eastAsia="Times New Roman" w:hAnsi="Times New Roman"/>
                <w:sz w:val="9"/>
                <w:szCs w:val="9"/>
                <w:b w:val="1"/>
                <w:bCs w:val="1"/>
                <w:color w:val="auto"/>
              </w:rPr>
              <w:t>2019</w:t>
            </w: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restart"/>
          </w:tcPr>
          <w:p>
            <w:pPr>
              <w:jc w:val="right"/>
              <w:ind w:right="251"/>
              <w:spacing w:after="0"/>
              <w:rPr>
                <w:sz w:val="20"/>
                <w:szCs w:val="20"/>
                <w:color w:val="auto"/>
              </w:rPr>
            </w:pPr>
            <w:r>
              <w:rPr>
                <w:rFonts w:ascii="Times New Roman" w:cs="Times New Roman" w:eastAsia="Times New Roman" w:hAnsi="Times New Roman"/>
                <w:sz w:val="9"/>
                <w:szCs w:val="9"/>
                <w:b w:val="1"/>
                <w:bCs w:val="1"/>
                <w:color w:val="auto"/>
              </w:rPr>
              <w:t>2018</w:t>
            </w: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restart"/>
          </w:tcPr>
          <w:p>
            <w:pPr>
              <w:jc w:val="right"/>
              <w:ind w:right="252"/>
              <w:spacing w:after="0"/>
              <w:rPr>
                <w:sz w:val="20"/>
                <w:szCs w:val="20"/>
                <w:color w:val="auto"/>
              </w:rPr>
            </w:pPr>
            <w:r>
              <w:rPr>
                <w:rFonts w:ascii="Times New Roman" w:cs="Times New Roman" w:eastAsia="Times New Roman" w:hAnsi="Times New Roman"/>
                <w:sz w:val="9"/>
                <w:szCs w:val="9"/>
                <w:b w:val="1"/>
                <w:bCs w:val="1"/>
                <w:color w:val="auto"/>
              </w:rPr>
              <w:t>2017</w:t>
            </w:r>
          </w:p>
        </w:tc>
        <w:tc>
          <w:tcPr>
            <w:tcW w:w="80" w:type="dxa"/>
            <w:vAlign w:val="bottom"/>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Prior</w:t>
            </w: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Total Term Loans</w:t>
            </w:r>
          </w:p>
        </w:tc>
        <w:tc>
          <w:tcPr>
            <w:tcW w:w="8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Revolving Loans</w:t>
            </w:r>
          </w:p>
        </w:tc>
        <w:tc>
          <w:tcPr>
            <w:tcW w:w="900" w:type="dxa"/>
            <w:vAlign w:val="bottom"/>
          </w:tcPr>
          <w:p>
            <w:pPr>
              <w:jc w:val="center"/>
              <w:ind w:left="92"/>
              <w:spacing w:after="0" w:line="78" w:lineRule="exact"/>
              <w:rPr>
                <w:sz w:val="20"/>
                <w:szCs w:val="20"/>
                <w:color w:val="auto"/>
              </w:rPr>
            </w:pPr>
            <w:r>
              <w:rPr>
                <w:rFonts w:ascii="Times New Roman" w:cs="Times New Roman" w:eastAsia="Times New Roman" w:hAnsi="Times New Roman"/>
                <w:sz w:val="9"/>
                <w:szCs w:val="9"/>
                <w:b w:val="1"/>
                <w:bCs w:val="1"/>
                <w:color w:val="auto"/>
                <w:w w:val="99"/>
              </w:rPr>
              <w:t>Revolving Loans</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251"/>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2"/>
        </w:trPr>
        <w:tc>
          <w:tcPr>
            <w:tcW w:w="2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00" w:type="dxa"/>
            <w:vAlign w:val="bottom"/>
          </w:tcPr>
          <w:p>
            <w:pPr>
              <w:jc w:val="center"/>
              <w:ind w:left="92"/>
              <w:spacing w:after="0"/>
              <w:rPr>
                <w:sz w:val="20"/>
                <w:szCs w:val="20"/>
                <w:color w:val="auto"/>
              </w:rPr>
            </w:pPr>
            <w:r>
              <w:rPr>
                <w:rFonts w:ascii="Times New Roman" w:cs="Times New Roman" w:eastAsia="Times New Roman" w:hAnsi="Times New Roman"/>
                <w:sz w:val="9"/>
                <w:szCs w:val="9"/>
                <w:b w:val="1"/>
                <w:bCs w:val="1"/>
                <w:color w:val="auto"/>
                <w:w w:val="97"/>
              </w:rPr>
              <w:t>Converted to Term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consumer banking</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38,021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1"/>
                <w:szCs w:val="11"/>
                <w:color w:val="auto"/>
              </w:rPr>
              <w:t>18,865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rPr>
              <w:t>10,789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1,287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77,265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77,646</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19" w:lineRule="auto"/>
        <w:tabs>
          <w:tab w:leader="none" w:pos="200" w:val="left"/>
        </w:tabs>
        <w:numPr>
          <w:ilvl w:val="0"/>
          <w:numId w:val="7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Amounts represent period-end loans held for investment in each credit score category. Auto credit scores generally represent average FICO scores obtained from three credit bureaus at the time of application and are not refreshed thereafter. Balances for which no credit score is available or the credit score is invalid are included in the 620 or below category.</w:t>
      </w:r>
    </w:p>
    <w:p>
      <w:pPr>
        <w:spacing w:after="0" w:line="200" w:lineRule="exact"/>
        <w:rPr>
          <w:sz w:val="20"/>
          <w:szCs w:val="20"/>
          <w:color w:val="auto"/>
        </w:rPr>
      </w:pPr>
    </w:p>
    <w:p>
      <w:pPr>
        <w:spacing w:after="0" w:line="334"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145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Commercial Banking</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key credit quality indicator for our commercial loan portfolios is our internal risk ratings. We assign internal risk ratings to loans based on relevant information about the ability of the borrowers to repay their debt. In determining the risk rating of a particular loan, some of the factors considered are the borrower’s current financial condition, historical and projected future credit performance, prospects for support from financially responsible guarantors, the estimated realizable value of any collateral and current economic trends. The scale based on our internal risk rating system is as follows:</w:t>
      </w:r>
    </w:p>
    <w:p>
      <w:pPr>
        <w:spacing w:after="0" w:line="81" w:lineRule="exact"/>
        <w:rPr>
          <w:sz w:val="20"/>
          <w:szCs w:val="20"/>
          <w:color w:val="auto"/>
        </w:rPr>
      </w:pPr>
    </w:p>
    <w:p>
      <w:pPr>
        <w:ind w:left="320" w:hanging="220"/>
        <w:spacing w:after="0"/>
        <w:tabs>
          <w:tab w:leader="none" w:pos="32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Noncriticized: </w:t>
      </w:r>
      <w:r>
        <w:rPr>
          <w:rFonts w:ascii="Times New Roman" w:cs="Times New Roman" w:eastAsia="Times New Roman" w:hAnsi="Times New Roman"/>
          <w:sz w:val="12"/>
          <w:szCs w:val="12"/>
          <w:color w:val="auto"/>
        </w:rPr>
        <w:t>Loans that have not been designated as criticized, frequently referred to as “pass” loans.</w:t>
      </w:r>
    </w:p>
    <w:p>
      <w:pPr>
        <w:spacing w:after="0" w:line="114" w:lineRule="exact"/>
        <w:rPr>
          <w:rFonts w:ascii="Times New Roman" w:cs="Times New Roman" w:eastAsia="Times New Roman" w:hAnsi="Times New Roman"/>
          <w:sz w:val="12"/>
          <w:szCs w:val="12"/>
          <w:color w:val="auto"/>
        </w:rPr>
      </w:pPr>
    </w:p>
    <w:p>
      <w:pPr>
        <w:ind w:left="320" w:hanging="220"/>
        <w:spacing w:after="0" w:line="283" w:lineRule="auto"/>
        <w:tabs>
          <w:tab w:leader="none" w:pos="31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Criticized performing: </w:t>
      </w:r>
      <w:r>
        <w:rPr>
          <w:rFonts w:ascii="Times New Roman" w:cs="Times New Roman" w:eastAsia="Times New Roman" w:hAnsi="Times New Roman"/>
          <w:sz w:val="12"/>
          <w:szCs w:val="12"/>
          <w:color w:val="auto"/>
        </w:rPr>
        <w:t>Loans in which the financial condition of the obligor is stressed, affecting earnings, cash flows or collateral values. The borrower currently has adequate capacity to meet near-term obligations; however,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stress, left unabated, may result in deterioration of the repayment prospects at some future date.</w:t>
      </w:r>
    </w:p>
    <w:p>
      <w:pPr>
        <w:spacing w:after="0" w:line="70" w:lineRule="exact"/>
        <w:rPr>
          <w:rFonts w:ascii="Times New Roman" w:cs="Times New Roman" w:eastAsia="Times New Roman" w:hAnsi="Times New Roman"/>
          <w:sz w:val="12"/>
          <w:szCs w:val="12"/>
          <w:color w:val="auto"/>
        </w:rPr>
      </w:pPr>
    </w:p>
    <w:p>
      <w:pPr>
        <w:jc w:val="both"/>
        <w:ind w:left="320" w:hanging="220"/>
        <w:spacing w:after="0" w:line="266" w:lineRule="auto"/>
        <w:tabs>
          <w:tab w:leader="none" w:pos="31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Criticized nonperforming: </w:t>
      </w:r>
      <w:r>
        <w:rPr>
          <w:rFonts w:ascii="Times New Roman" w:cs="Times New Roman" w:eastAsia="Times New Roman" w:hAnsi="Times New Roman"/>
          <w:sz w:val="12"/>
          <w:szCs w:val="12"/>
          <w:color w:val="auto"/>
        </w:rPr>
        <w:t>Loans that are not adequately protected by the current net worth and paying capacity of the obligor or the collateral pledged, if any. Loans classified as criticized nonperforming have a well-defined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weakness, or weaknesses, which jeopardize the full repayment of the debt. These loans are characterized by the distinct possibility that we will sustain a credit loss if the deficiencies are not corrected and are generally placed on nonaccrual status.</w:t>
      </w:r>
    </w:p>
    <w:p>
      <w:pPr>
        <w:spacing w:after="0" w:line="8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use our internal risk rating system for regulatory reporting, determining the frequency of credit exposure reviews, and evaluating and determining the allowance for credit losses. Generally, loans that are designated as criticized performing and criticized nonperforming are reviewed quarterly by management to determine if they are appropriately classified/rated and whether any impairment exists. Noncriticized loans are also generally reviewed, at least annually, to determine the appropriate risk rating. In addition, we evaluate the risk rating during the renewal process of any loan or if a loan becomes past due.</w:t>
      </w:r>
    </w:p>
    <w:p>
      <w:pPr>
        <w:spacing w:after="0" w:line="8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following table presents our commercial banking portfolio of loans held for investment by internal risk ratings as of December 31, 2022 and 2021. The internal risk rating status includes all past due loans, both performing and nonperforming.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3.5: Commercial Banking Portfolio by Internal Risk Ratings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9"/>
                <w:szCs w:val="9"/>
                <w:b w:val="1"/>
                <w:bCs w:val="1"/>
                <w:color w:val="auto"/>
              </w:rPr>
              <w:t>December 31, 2022</w:t>
            </w: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Term Loans by Vintage Year</w:t>
            </w: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9"/>
                <w:szCs w:val="9"/>
                <w:i w:val="1"/>
                <w:iCs w:val="1"/>
                <w:color w:val="auto"/>
              </w:rPr>
              <w:t>(Dollars in millions)</w:t>
            </w:r>
          </w:p>
        </w:tc>
        <w:tc>
          <w:tcPr>
            <w:tcW w:w="180" w:type="dxa"/>
            <w:vAlign w:val="bottom"/>
          </w:tcPr>
          <w:p>
            <w:pPr>
              <w:spacing w:after="0"/>
              <w:rPr>
                <w:sz w:val="6"/>
                <w:szCs w:val="6"/>
                <w:color w:val="auto"/>
              </w:rPr>
            </w:pPr>
          </w:p>
        </w:tc>
        <w:tc>
          <w:tcPr>
            <w:tcW w:w="620" w:type="dxa"/>
            <w:vAlign w:val="bottom"/>
            <w:vMerge w:val="restart"/>
          </w:tcPr>
          <w:p>
            <w:pPr>
              <w:jc w:val="right"/>
              <w:ind w:right="267"/>
              <w:spacing w:after="0"/>
              <w:rPr>
                <w:sz w:val="20"/>
                <w:szCs w:val="20"/>
                <w:color w:val="auto"/>
              </w:rPr>
            </w:pPr>
            <w:r>
              <w:rPr>
                <w:rFonts w:ascii="Times New Roman" w:cs="Times New Roman" w:eastAsia="Times New Roman" w:hAnsi="Times New Roman"/>
                <w:sz w:val="9"/>
                <w:szCs w:val="9"/>
                <w:b w:val="1"/>
                <w:bCs w:val="1"/>
                <w:color w:val="auto"/>
              </w:rPr>
              <w:t>2022</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2021</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jc w:val="right"/>
              <w:ind w:right="248"/>
              <w:spacing w:after="0"/>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right"/>
              <w:ind w:right="227"/>
              <w:spacing w:after="0"/>
              <w:rPr>
                <w:sz w:val="20"/>
                <w:szCs w:val="20"/>
                <w:color w:val="auto"/>
              </w:rPr>
            </w:pPr>
            <w:r>
              <w:rPr>
                <w:rFonts w:ascii="Times New Roman" w:cs="Times New Roman" w:eastAsia="Times New Roman" w:hAnsi="Times New Roman"/>
                <w:sz w:val="9"/>
                <w:szCs w:val="9"/>
                <w:b w:val="1"/>
                <w:bCs w:val="1"/>
                <w:color w:val="auto"/>
              </w:rPr>
              <w:t>2019</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right"/>
              <w:ind w:right="228"/>
              <w:spacing w:after="0"/>
              <w:rPr>
                <w:sz w:val="20"/>
                <w:szCs w:val="20"/>
                <w:color w:val="auto"/>
              </w:rPr>
            </w:pPr>
            <w:r>
              <w:rPr>
                <w:rFonts w:ascii="Times New Roman" w:cs="Times New Roman" w:eastAsia="Times New Roman" w:hAnsi="Times New Roman"/>
                <w:sz w:val="9"/>
                <w:szCs w:val="9"/>
                <w:b w:val="1"/>
                <w:bCs w:val="1"/>
                <w:color w:val="auto"/>
              </w:rPr>
              <w:t>2018</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9"/>
                <w:szCs w:val="9"/>
                <w:b w:val="1"/>
                <w:bCs w:val="1"/>
                <w:color w:val="auto"/>
              </w:rPr>
              <w:t>Prior</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Total Term Loans</w:t>
            </w:r>
          </w:p>
        </w:tc>
        <w:tc>
          <w:tcPr>
            <w:tcW w:w="8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Revolving Loans</w:t>
            </w:r>
          </w:p>
        </w:tc>
        <w:tc>
          <w:tcPr>
            <w:tcW w:w="80" w:type="dxa"/>
            <w:vAlign w:val="bottom"/>
          </w:tcPr>
          <w:p>
            <w:pPr>
              <w:spacing w:after="0"/>
              <w:rPr>
                <w:sz w:val="6"/>
                <w:szCs w:val="6"/>
                <w:color w:val="auto"/>
              </w:rPr>
            </w:pPr>
          </w:p>
        </w:tc>
        <w:tc>
          <w:tcPr>
            <w:tcW w:w="920" w:type="dxa"/>
            <w:vAlign w:val="bottom"/>
            <w:gridSpan w:val="2"/>
          </w:tcPr>
          <w:p>
            <w:pPr>
              <w:jc w:val="center"/>
              <w:ind w:right="160"/>
              <w:spacing w:after="0" w:line="78" w:lineRule="exact"/>
              <w:rPr>
                <w:sz w:val="20"/>
                <w:szCs w:val="20"/>
                <w:color w:val="auto"/>
              </w:rPr>
            </w:pPr>
            <w:r>
              <w:rPr>
                <w:rFonts w:ascii="Times New Roman" w:cs="Times New Roman" w:eastAsia="Times New Roman" w:hAnsi="Times New Roman"/>
                <w:sz w:val="9"/>
                <w:szCs w:val="9"/>
                <w:b w:val="1"/>
                <w:bCs w:val="1"/>
                <w:color w:val="auto"/>
                <w:w w:val="99"/>
              </w:rPr>
              <w:t>Revolving Loans</w:t>
            </w:r>
          </w:p>
        </w:tc>
        <w:tc>
          <w:tcPr>
            <w:tcW w:w="180" w:type="dxa"/>
            <w:vAlign w:val="bottom"/>
          </w:tcPr>
          <w:p>
            <w:pPr>
              <w:spacing w:after="0"/>
              <w:rPr>
                <w:sz w:val="6"/>
                <w:szCs w:val="6"/>
                <w:color w:val="auto"/>
              </w:rPr>
            </w:pP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2"/>
        </w:trPr>
        <w:tc>
          <w:tcPr>
            <w:tcW w:w="26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7"/>
              </w:rPr>
              <w:t>Converted to Term</w:t>
            </w: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5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1"/>
                <w:szCs w:val="11"/>
                <w:b w:val="1"/>
                <w:bCs w:val="1"/>
                <w:color w:val="auto"/>
              </w:rPr>
              <w:t>Internal risk rating:</w:t>
            </w:r>
            <w:r>
              <w:rPr>
                <w:rFonts w:ascii="Times New Roman" w:cs="Times New Roman" w:eastAsia="Times New Roman" w:hAnsi="Times New Roman"/>
                <w:sz w:val="14"/>
                <w:szCs w:val="14"/>
                <w:b w:val="1"/>
                <w:bCs w:val="1"/>
                <w:color w:val="auto"/>
                <w:vertAlign w:val="superscript"/>
              </w:rPr>
              <w:t>(1)</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Noncriticized</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9,527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4,086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1,671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1,280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2,898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20,623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13,254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33,902</w:t>
            </w:r>
          </w:p>
        </w:tc>
        <w:tc>
          <w:tcPr>
            <w:tcW w:w="0" w:type="dxa"/>
            <w:vAlign w:val="bottom"/>
          </w:tcPr>
          <w:p>
            <w:pPr>
              <w:spacing w:after="0"/>
              <w:rPr>
                <w:sz w:val="1"/>
                <w:szCs w:val="1"/>
                <w:color w:val="auto"/>
              </w:rPr>
            </w:pPr>
          </w:p>
        </w:tc>
      </w:tr>
      <w:tr>
        <w:trPr>
          <w:trHeight w:val="143"/>
        </w:trPr>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Criticized performing</w:t>
            </w:r>
          </w:p>
        </w:tc>
        <w:tc>
          <w:tcPr>
            <w:tcW w:w="18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814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1,061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3,280</w:t>
            </w:r>
          </w:p>
        </w:tc>
        <w:tc>
          <w:tcPr>
            <w:tcW w:w="0" w:type="dxa"/>
            <w:vAlign w:val="bottom"/>
          </w:tcPr>
          <w:p>
            <w:pPr>
              <w:spacing w:after="0"/>
              <w:rPr>
                <w:sz w:val="1"/>
                <w:szCs w:val="1"/>
                <w:color w:val="auto"/>
              </w:rPr>
            </w:pPr>
          </w:p>
        </w:tc>
      </w:tr>
      <w:tr>
        <w:trPr>
          <w:trHeight w:val="145"/>
        </w:trPr>
        <w:tc>
          <w:tcPr>
            <w:tcW w:w="2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Criticized nonperforming</w:t>
            </w: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101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271</w:t>
            </w:r>
          </w:p>
        </w:tc>
        <w:tc>
          <w:tcPr>
            <w:tcW w:w="0" w:type="dxa"/>
            <w:vAlign w:val="bottom"/>
          </w:tcPr>
          <w:p>
            <w:pPr>
              <w:spacing w:after="0"/>
              <w:rPr>
                <w:sz w:val="1"/>
                <w:szCs w:val="1"/>
                <w:color w:val="auto"/>
              </w:rPr>
            </w:pPr>
          </w:p>
        </w:tc>
      </w:tr>
      <w:tr>
        <w:trPr>
          <w:trHeight w:val="132"/>
        </w:trPr>
        <w:tc>
          <w:tcPr>
            <w:tcW w:w="2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Total commercial and multifamily real estate</w:t>
            </w: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10,442</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4,484</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1,363</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2,096</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1,601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4,075</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24,061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13,367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25</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37,453</w:t>
            </w:r>
          </w:p>
        </w:tc>
        <w:tc>
          <w:tcPr>
            <w:tcW w:w="0" w:type="dxa"/>
            <w:vAlign w:val="bottom"/>
          </w:tcPr>
          <w:p>
            <w:pPr>
              <w:spacing w:after="0"/>
              <w:rPr>
                <w:sz w:val="1"/>
                <w:szCs w:val="1"/>
                <w:color w:val="auto"/>
              </w:rPr>
            </w:pPr>
          </w:p>
        </w:tc>
      </w:tr>
      <w:tr>
        <w:trPr>
          <w:trHeight w:val="125"/>
        </w:trPr>
        <w:tc>
          <w:tcPr>
            <w:tcW w:w="2620" w:type="dxa"/>
            <w:vAlign w:val="bottom"/>
            <w:gridSpan w:val="2"/>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rPr>
              <w:t>Commercial and industrial</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Noncriticized</w:t>
            </w:r>
          </w:p>
        </w:tc>
        <w:tc>
          <w:tcPr>
            <w:tcW w:w="18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22,105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6,031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2,934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1,809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973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2,658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36,510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17,187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53,718</w:t>
            </w:r>
          </w:p>
        </w:tc>
        <w:tc>
          <w:tcPr>
            <w:tcW w:w="0" w:type="dxa"/>
            <w:vAlign w:val="bottom"/>
          </w:tcPr>
          <w:p>
            <w:pPr>
              <w:spacing w:after="0"/>
              <w:rPr>
                <w:sz w:val="1"/>
                <w:szCs w:val="1"/>
                <w:color w:val="auto"/>
              </w:rPr>
            </w:pPr>
          </w:p>
        </w:tc>
      </w:tr>
      <w:tr>
        <w:trPr>
          <w:trHeight w:val="145"/>
        </w:trPr>
        <w:tc>
          <w:tcPr>
            <w:tcW w:w="2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Criticized performing</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992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3,075</w:t>
            </w:r>
          </w:p>
        </w:tc>
        <w:tc>
          <w:tcPr>
            <w:tcW w:w="0" w:type="dxa"/>
            <w:vAlign w:val="bottom"/>
          </w:tcPr>
          <w:p>
            <w:pPr>
              <w:spacing w:after="0"/>
              <w:rPr>
                <w:sz w:val="1"/>
                <w:szCs w:val="1"/>
                <w:color w:val="auto"/>
              </w:rPr>
            </w:pPr>
          </w:p>
        </w:tc>
      </w:tr>
      <w:tr>
        <w:trPr>
          <w:trHeight w:val="143"/>
        </w:trPr>
        <w:tc>
          <w:tcPr>
            <w:tcW w:w="2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1"/>
                <w:szCs w:val="11"/>
                <w:color w:val="auto"/>
              </w:rPr>
              <w:t>Criticized nonperforming</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196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354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430</w:t>
            </w:r>
          </w:p>
        </w:tc>
        <w:tc>
          <w:tcPr>
            <w:tcW w:w="0" w:type="dxa"/>
            <w:vAlign w:val="bottom"/>
          </w:tcPr>
          <w:p>
            <w:pPr>
              <w:spacing w:after="0"/>
              <w:rPr>
                <w:sz w:val="1"/>
                <w:szCs w:val="1"/>
                <w:color w:val="auto"/>
              </w:rPr>
            </w:pPr>
          </w:p>
        </w:tc>
      </w:tr>
      <w:tr>
        <w:trPr>
          <w:trHeight w:val="133"/>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23,293</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6,612</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3,095</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2,056</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1,180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2,739</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38,975</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18,227</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21</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57,223</w:t>
            </w:r>
          </w:p>
        </w:tc>
        <w:tc>
          <w:tcPr>
            <w:tcW w:w="0" w:type="dxa"/>
            <w:vAlign w:val="bottom"/>
          </w:tcPr>
          <w:p>
            <w:pPr>
              <w:spacing w:after="0"/>
              <w:rPr>
                <w:sz w:val="1"/>
                <w:szCs w:val="1"/>
                <w:color w:val="auto"/>
              </w:rPr>
            </w:pPr>
          </w:p>
        </w:tc>
      </w:tr>
      <w:tr>
        <w:trPr>
          <w:trHeight w:val="134"/>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commercial banking</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33,735</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11,096</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4,458</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4,152</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2,781</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6,814</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63,036</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31,594</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46</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94,676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9"/>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auto"/>
              </w:rPr>
              <w:t>146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c>
          <w:tcPr>
            <w:tcW w:w="0" w:type="dxa"/>
            <w:vAlign w:val="bottom"/>
          </w:tcPr>
          <w:p>
            <w:pPr>
              <w:spacing w:after="0"/>
              <w:rPr>
                <w:sz w:val="1"/>
                <w:szCs w:val="1"/>
                <w:color w:val="auto"/>
              </w:rPr>
            </w:pPr>
          </w:p>
        </w:tc>
      </w:tr>
      <w:tr>
        <w:trPr>
          <w:trHeight w:val="224"/>
        </w:trPr>
        <w:tc>
          <w:tcPr>
            <w:tcW w:w="25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7" w:name="page148"/>
    <w:bookmarkEnd w:id="147"/>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2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9"/>
                <w:szCs w:val="9"/>
                <w:b w:val="1"/>
                <w:bCs w:val="1"/>
                <w:color w:val="auto"/>
              </w:rPr>
              <w:t>December 31, 2021</w:t>
            </w: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Term Loans by Vintage Year</w:t>
            </w:r>
          </w:p>
        </w:tc>
        <w:tc>
          <w:tcPr>
            <w:tcW w:w="5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9"/>
                <w:szCs w:val="9"/>
                <w:i w:val="1"/>
                <w:iCs w:val="1"/>
                <w:color w:val="auto"/>
              </w:rPr>
              <w:t>(Dollars in millions)</w:t>
            </w:r>
          </w:p>
        </w:tc>
        <w:tc>
          <w:tcPr>
            <w:tcW w:w="200" w:type="dxa"/>
            <w:vAlign w:val="bottom"/>
          </w:tcPr>
          <w:p>
            <w:pPr>
              <w:spacing w:after="0"/>
              <w:rPr>
                <w:sz w:val="6"/>
                <w:szCs w:val="6"/>
                <w:color w:val="auto"/>
              </w:rPr>
            </w:pPr>
          </w:p>
        </w:tc>
        <w:tc>
          <w:tcPr>
            <w:tcW w:w="620" w:type="dxa"/>
            <w:vAlign w:val="bottom"/>
            <w:vMerge w:val="restart"/>
          </w:tcPr>
          <w:p>
            <w:pPr>
              <w:jc w:val="right"/>
              <w:ind w:right="267"/>
              <w:spacing w:after="0"/>
              <w:rPr>
                <w:sz w:val="20"/>
                <w:szCs w:val="20"/>
                <w:color w:val="auto"/>
              </w:rPr>
            </w:pPr>
            <w:r>
              <w:rPr>
                <w:rFonts w:ascii="Times New Roman" w:cs="Times New Roman" w:eastAsia="Times New Roman" w:hAnsi="Times New Roman"/>
                <w:sz w:val="9"/>
                <w:szCs w:val="9"/>
                <w:b w:val="1"/>
                <w:bCs w:val="1"/>
                <w:color w:val="auto"/>
              </w:rPr>
              <w:t>2021</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jc w:val="right"/>
              <w:ind w:right="248"/>
              <w:spacing w:after="0"/>
              <w:rPr>
                <w:sz w:val="20"/>
                <w:szCs w:val="20"/>
                <w:color w:val="auto"/>
              </w:rPr>
            </w:pPr>
            <w:r>
              <w:rPr>
                <w:rFonts w:ascii="Times New Roman" w:cs="Times New Roman" w:eastAsia="Times New Roman" w:hAnsi="Times New Roman"/>
                <w:sz w:val="9"/>
                <w:szCs w:val="9"/>
                <w:b w:val="1"/>
                <w:bCs w:val="1"/>
                <w:color w:val="auto"/>
              </w:rPr>
              <w:t>2019</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right"/>
              <w:ind w:right="227"/>
              <w:spacing w:after="0"/>
              <w:rPr>
                <w:sz w:val="20"/>
                <w:szCs w:val="20"/>
                <w:color w:val="auto"/>
              </w:rPr>
            </w:pPr>
            <w:r>
              <w:rPr>
                <w:rFonts w:ascii="Times New Roman" w:cs="Times New Roman" w:eastAsia="Times New Roman" w:hAnsi="Times New Roman"/>
                <w:sz w:val="9"/>
                <w:szCs w:val="9"/>
                <w:b w:val="1"/>
                <w:bCs w:val="1"/>
                <w:color w:val="auto"/>
              </w:rPr>
              <w:t>2018</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right"/>
              <w:ind w:right="228"/>
              <w:spacing w:after="0"/>
              <w:rPr>
                <w:sz w:val="20"/>
                <w:szCs w:val="20"/>
                <w:color w:val="auto"/>
              </w:rPr>
            </w:pPr>
            <w:r>
              <w:rPr>
                <w:rFonts w:ascii="Times New Roman" w:cs="Times New Roman" w:eastAsia="Times New Roman" w:hAnsi="Times New Roman"/>
                <w:sz w:val="9"/>
                <w:szCs w:val="9"/>
                <w:b w:val="1"/>
                <w:bCs w:val="1"/>
                <w:color w:val="auto"/>
              </w:rPr>
              <w:t>2017</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9"/>
                <w:szCs w:val="9"/>
                <w:b w:val="1"/>
                <w:bCs w:val="1"/>
                <w:color w:val="auto"/>
              </w:rPr>
              <w:t>Prior</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Total Term Loans</w:t>
            </w:r>
          </w:p>
        </w:tc>
        <w:tc>
          <w:tcPr>
            <w:tcW w:w="8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Revolving Loans</w:t>
            </w:r>
          </w:p>
        </w:tc>
        <w:tc>
          <w:tcPr>
            <w:tcW w:w="80" w:type="dxa"/>
            <w:vAlign w:val="bottom"/>
          </w:tcPr>
          <w:p>
            <w:pPr>
              <w:spacing w:after="0"/>
              <w:rPr>
                <w:sz w:val="6"/>
                <w:szCs w:val="6"/>
                <w:color w:val="auto"/>
              </w:rPr>
            </w:pPr>
          </w:p>
        </w:tc>
        <w:tc>
          <w:tcPr>
            <w:tcW w:w="920" w:type="dxa"/>
            <w:vAlign w:val="bottom"/>
            <w:gridSpan w:val="2"/>
          </w:tcPr>
          <w:p>
            <w:pPr>
              <w:jc w:val="center"/>
              <w:ind w:right="160"/>
              <w:spacing w:after="0" w:line="78" w:lineRule="exact"/>
              <w:rPr>
                <w:sz w:val="20"/>
                <w:szCs w:val="20"/>
                <w:color w:val="auto"/>
              </w:rPr>
            </w:pPr>
            <w:r>
              <w:rPr>
                <w:rFonts w:ascii="Times New Roman" w:cs="Times New Roman" w:eastAsia="Times New Roman" w:hAnsi="Times New Roman"/>
                <w:sz w:val="9"/>
                <w:szCs w:val="9"/>
                <w:b w:val="1"/>
                <w:bCs w:val="1"/>
                <w:color w:val="auto"/>
                <w:w w:val="99"/>
              </w:rPr>
              <w:t>Revolving Loans</w:t>
            </w:r>
          </w:p>
        </w:tc>
        <w:tc>
          <w:tcPr>
            <w:tcW w:w="180" w:type="dxa"/>
            <w:vAlign w:val="bottom"/>
          </w:tcPr>
          <w:p>
            <w:pPr>
              <w:spacing w:after="0"/>
              <w:rPr>
                <w:sz w:val="6"/>
                <w:szCs w:val="6"/>
                <w:color w:val="auto"/>
              </w:rPr>
            </w:pP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2"/>
        </w:trPr>
        <w:tc>
          <w:tcPr>
            <w:tcW w:w="2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7"/>
              </w:rPr>
              <w:t>Converted to Term</w:t>
            </w: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5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1"/>
                <w:szCs w:val="11"/>
                <w:b w:val="1"/>
                <w:bCs w:val="1"/>
                <w:color w:val="auto"/>
              </w:rPr>
              <w:t>Internal risk rating:</w:t>
            </w:r>
            <w:r>
              <w:rPr>
                <w:rFonts w:ascii="Times New Roman" w:cs="Times New Roman" w:eastAsia="Times New Roman" w:hAnsi="Times New Roman"/>
                <w:sz w:val="14"/>
                <w:szCs w:val="14"/>
                <w:b w:val="1"/>
                <w:bCs w:val="1"/>
                <w:color w:val="auto"/>
                <w:vertAlign w:val="superscript"/>
              </w:rPr>
              <w:t>(1)</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Noncriticized</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6,590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31,925</w:t>
            </w:r>
          </w:p>
        </w:tc>
        <w:tc>
          <w:tcPr>
            <w:tcW w:w="0" w:type="dxa"/>
            <w:vAlign w:val="bottom"/>
          </w:tcPr>
          <w:p>
            <w:pPr>
              <w:spacing w:after="0"/>
              <w:rPr>
                <w:sz w:val="1"/>
                <w:szCs w:val="1"/>
                <w:color w:val="auto"/>
              </w:rPr>
            </w:pPr>
          </w:p>
        </w:tc>
      </w:tr>
      <w:tr>
        <w:trPr>
          <w:trHeight w:val="142"/>
        </w:trPr>
        <w:tc>
          <w:tcPr>
            <w:tcW w:w="26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Criticized performing</w:t>
            </w:r>
          </w:p>
        </w:tc>
        <w:tc>
          <w:tcPr>
            <w:tcW w:w="2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2,954</w:t>
            </w:r>
          </w:p>
        </w:tc>
        <w:tc>
          <w:tcPr>
            <w:tcW w:w="0" w:type="dxa"/>
            <w:vAlign w:val="bottom"/>
          </w:tcPr>
          <w:p>
            <w:pPr>
              <w:spacing w:after="0"/>
              <w:rPr>
                <w:sz w:val="1"/>
                <w:szCs w:val="1"/>
                <w:color w:val="auto"/>
              </w:rPr>
            </w:pPr>
          </w:p>
        </w:tc>
      </w:tr>
      <w:tr>
        <w:trPr>
          <w:trHeight w:val="146"/>
        </w:trPr>
        <w:tc>
          <w:tcPr>
            <w:tcW w:w="2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Criticized nonperforming</w:t>
            </w: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0" w:type="dxa"/>
            <w:vAlign w:val="bottom"/>
          </w:tcPr>
          <w:p>
            <w:pPr>
              <w:spacing w:after="0"/>
              <w:rPr>
                <w:sz w:val="1"/>
                <w:szCs w:val="1"/>
                <w:color w:val="auto"/>
              </w:rPr>
            </w:pPr>
          </w:p>
        </w:tc>
      </w:tr>
      <w:tr>
        <w:trPr>
          <w:trHeight w:val="131"/>
        </w:trPr>
        <w:tc>
          <w:tcPr>
            <w:tcW w:w="2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Total commercial and multifamily real estate</w:t>
            </w: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6,838</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3,119</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3,810</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2,738</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1,063</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5,282</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22,850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12,387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35,262</w:t>
            </w:r>
          </w:p>
        </w:tc>
        <w:tc>
          <w:tcPr>
            <w:tcW w:w="0" w:type="dxa"/>
            <w:vAlign w:val="bottom"/>
          </w:tcPr>
          <w:p>
            <w:pPr>
              <w:spacing w:after="0"/>
              <w:rPr>
                <w:sz w:val="1"/>
                <w:szCs w:val="1"/>
                <w:color w:val="auto"/>
              </w:rPr>
            </w:pPr>
          </w:p>
        </w:tc>
      </w:tr>
      <w:tr>
        <w:trPr>
          <w:trHeight w:val="126"/>
        </w:trPr>
        <w:tc>
          <w:tcPr>
            <w:tcW w:w="26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Commercial and industrial</w:t>
            </w: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Noncriticized</w:t>
            </w:r>
          </w:p>
        </w:tc>
        <w:tc>
          <w:tcPr>
            <w:tcW w:w="200" w:type="dxa"/>
            <w:vAlign w:val="bottom"/>
          </w:tcPr>
          <w:p>
            <w:pPr>
              <w:spacing w:after="0"/>
              <w:rPr>
                <w:sz w:val="12"/>
                <w:szCs w:val="12"/>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12,662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47,089</w:t>
            </w:r>
          </w:p>
        </w:tc>
        <w:tc>
          <w:tcPr>
            <w:tcW w:w="0" w:type="dxa"/>
            <w:vAlign w:val="bottom"/>
          </w:tcPr>
          <w:p>
            <w:pPr>
              <w:spacing w:after="0"/>
              <w:rPr>
                <w:sz w:val="1"/>
                <w:szCs w:val="1"/>
                <w:color w:val="auto"/>
              </w:rPr>
            </w:pPr>
          </w:p>
        </w:tc>
      </w:tr>
      <w:tr>
        <w:trPr>
          <w:trHeight w:val="146"/>
        </w:trPr>
        <w:tc>
          <w:tcPr>
            <w:tcW w:w="2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Criticized performing</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2,255</w:t>
            </w:r>
          </w:p>
        </w:tc>
        <w:tc>
          <w:tcPr>
            <w:tcW w:w="0" w:type="dxa"/>
            <w:vAlign w:val="bottom"/>
          </w:tcPr>
          <w:p>
            <w:pPr>
              <w:spacing w:after="0"/>
              <w:rPr>
                <w:sz w:val="1"/>
                <w:szCs w:val="1"/>
                <w:color w:val="auto"/>
              </w:rPr>
            </w:pPr>
          </w:p>
        </w:tc>
      </w:tr>
      <w:tr>
        <w:trPr>
          <w:trHeight w:val="142"/>
        </w:trPr>
        <w:tc>
          <w:tcPr>
            <w:tcW w:w="2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1"/>
                <w:szCs w:val="11"/>
                <w:color w:val="auto"/>
              </w:rPr>
              <w:t>Criticized nonperforming</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0" w:type="dxa"/>
            <w:vAlign w:val="bottom"/>
          </w:tcPr>
          <w:p>
            <w:pPr>
              <w:spacing w:after="0"/>
              <w:rPr>
                <w:sz w:val="1"/>
                <w:szCs w:val="1"/>
                <w:color w:val="auto"/>
              </w:rPr>
            </w:pPr>
          </w:p>
        </w:tc>
      </w:tr>
      <w:tr>
        <w:trPr>
          <w:trHeight w:val="133"/>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12,973</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3,050</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1,856</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3,210</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34,797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14,804</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49,660</w:t>
            </w:r>
          </w:p>
        </w:tc>
        <w:tc>
          <w:tcPr>
            <w:tcW w:w="0" w:type="dxa"/>
            <w:vAlign w:val="bottom"/>
          </w:tcPr>
          <w:p>
            <w:pPr>
              <w:spacing w:after="0"/>
              <w:rPr>
                <w:sz w:val="1"/>
                <w:szCs w:val="1"/>
                <w:color w:val="auto"/>
              </w:rPr>
            </w:pPr>
          </w:p>
        </w:tc>
      </w:tr>
      <w:tr>
        <w:trPr>
          <w:trHeight w:val="135"/>
        </w:trPr>
        <w:tc>
          <w:tcPr>
            <w:tcW w:w="2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commercial banking</w:t>
            </w: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19,811</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10,398</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10,239</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5,788</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2,919</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8,492</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57,647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27,191</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84,922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7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Criticized exposures correspond to the “Special Mention,” “Substandard” and “Doubtful” asset categories defined by bank regulatory authorities.</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147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Troubled Debt Restructurings</w:t>
      </w:r>
    </w:p>
    <w:p>
      <w:pPr>
        <w:spacing w:after="0" w:line="1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part of our loss mitigation efforts, we may provide short-term (one to twelve months) or long-term (greater than twelve months) modifications to a borrower experiencing financial difficulty to improve long-term collectability of the loan and to avoid the need for repossession or foreclosure of collateral.</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consider the impact of all loan modifications, whether or not that modification is classified as a troubled debt restructuring (“TDR”), when estimating the credit quality of our loan portfolio and establishing allowance levels. For our Commercial Banking customers, loan modifications are also considered in the assignment of an internal risk rating.</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Additional guidance issued by the Federal Banking Agencies and contained in the Coronavirus Aid, Relief, and Economic Security Act (the “CARES Act”) provided banking organizations with TDR relief for loan modifications to certain qualifying borrowers impacted by the Coronavirus Disease of 2019 (“COVID-19”) pandemic. The guidance in the CARES Act expired on January 1, 2022, at which time we also concurrently ceased applying the additional guidance issued by the Federal Banking Agencies. We adopted Accounting Standard Update (“ASU”) No. 2022-02 as of January 1, 2023, which eliminates the accounting guidance for TDRs.</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Total recorded TDRs were $2.7 billion and $1.6 billion as of December 31, 2022 and 2021, respectively. TDRs classified as performing in our credit card and consumer banking loan portfolios totaled $1.5 billion and $1.1 billion as of December 31, 2022 and 2021, respectively. TDRs classified as performing in our commercial banking loan portfolio totaled $595 million and $192 million as of December 31, 2022 and 2021, respectively. Commitments to lend additional funds on loans modified in TDRs totaled $219 million and $168 million as of December 31, 2022 and 2021,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present the major modification types, amortized cost amounts and financial effects of loans modified in a TDR during the years ended December 31, 2022, 2021 and 2020.</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3.6: Troubled Debt Restructurings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0"/>
                <w:szCs w:val="10"/>
                <w:b w:val="1"/>
                <w:bCs w:val="1"/>
                <w:color w:val="auto"/>
              </w:rPr>
              <w:t>Year Ended December 31, 2022</w:t>
            </w: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tcBorders>
              <w:bottom w:val="single" w:sz="8" w:color="auto"/>
            </w:tcBorders>
            <w:gridSpan w:val="3"/>
          </w:tcPr>
          <w:p>
            <w:pPr>
              <w:jc w:val="right"/>
              <w:ind w:right="587"/>
              <w:spacing w:after="0"/>
              <w:rPr>
                <w:sz w:val="20"/>
                <w:szCs w:val="20"/>
                <w:color w:val="auto"/>
              </w:rPr>
            </w:pPr>
            <w:r>
              <w:rPr>
                <w:rFonts w:ascii="Times New Roman" w:cs="Times New Roman" w:eastAsia="Times New Roman" w:hAnsi="Times New Roman"/>
                <w:sz w:val="10"/>
                <w:szCs w:val="10"/>
                <w:b w:val="1"/>
                <w:bCs w:val="1"/>
                <w:color w:val="auto"/>
              </w:rPr>
              <w:t>Reduced Interest Rate</w:t>
            </w:r>
          </w:p>
        </w:tc>
        <w:tc>
          <w:tcPr>
            <w:tcW w:w="80" w:type="dxa"/>
            <w:vAlign w:val="bottom"/>
          </w:tcPr>
          <w:p>
            <w:pPr>
              <w:spacing w:after="0"/>
              <w:rPr>
                <w:sz w:val="10"/>
                <w:szCs w:val="10"/>
                <w:color w:val="auto"/>
              </w:rPr>
            </w:pPr>
          </w:p>
        </w:tc>
        <w:tc>
          <w:tcPr>
            <w:tcW w:w="21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0"/>
                <w:szCs w:val="10"/>
                <w:b w:val="1"/>
                <w:bCs w:val="1"/>
                <w:color w:val="auto"/>
              </w:rPr>
              <w:t>Term Extension</w:t>
            </w:r>
          </w:p>
        </w:tc>
        <w:tc>
          <w:tcPr>
            <w:tcW w:w="0" w:type="dxa"/>
            <w:vAlign w:val="bottom"/>
          </w:tcPr>
          <w:p>
            <w:pPr>
              <w:spacing w:after="0"/>
              <w:rPr>
                <w:sz w:val="1"/>
                <w:szCs w:val="1"/>
                <w:color w:val="auto"/>
              </w:rPr>
            </w:pPr>
          </w:p>
        </w:tc>
      </w:tr>
      <w:tr>
        <w:trPr>
          <w:trHeight w:val="89"/>
        </w:trPr>
        <w:tc>
          <w:tcPr>
            <w:tcW w:w="370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jc w:val="right"/>
              <w:ind w:right="187"/>
              <w:spacing w:after="0" w:line="89" w:lineRule="exact"/>
              <w:rPr>
                <w:sz w:val="20"/>
                <w:szCs w:val="20"/>
                <w:color w:val="auto"/>
              </w:rPr>
            </w:pPr>
            <w:r>
              <w:rPr>
                <w:rFonts w:ascii="Times New Roman" w:cs="Times New Roman" w:eastAsia="Times New Roman" w:hAnsi="Times New Roman"/>
                <w:sz w:val="10"/>
                <w:szCs w:val="10"/>
                <w:b w:val="1"/>
                <w:bCs w:val="1"/>
                <w:color w:val="auto"/>
              </w:rPr>
              <w:t>Total Loans</w:t>
            </w:r>
          </w:p>
        </w:tc>
        <w:tc>
          <w:tcPr>
            <w:tcW w:w="80" w:type="dxa"/>
            <w:vAlign w:val="bottom"/>
          </w:tcPr>
          <w:p>
            <w:pPr>
              <w:spacing w:after="0"/>
              <w:rPr>
                <w:sz w:val="7"/>
                <w:szCs w:val="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 of TDR Activity</w:t>
            </w:r>
            <w:r>
              <w:rPr>
                <w:rFonts w:ascii="Times New Roman" w:cs="Times New Roman" w:eastAsia="Times New Roman" w:hAnsi="Times New Roman"/>
                <w:sz w:val="12"/>
                <w:szCs w:val="12"/>
                <w:b w:val="1"/>
                <w:bCs w:val="1"/>
                <w:color w:val="auto"/>
                <w:vertAlign w:val="superscript"/>
              </w:rPr>
              <w:t>(2)</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Average Rate Reduction</w:t>
            </w: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 of TDR Activity</w:t>
            </w:r>
            <w:r>
              <w:rPr>
                <w:rFonts w:ascii="Times New Roman" w:cs="Times New Roman" w:eastAsia="Times New Roman" w:hAnsi="Times New Roman"/>
                <w:sz w:val="12"/>
                <w:szCs w:val="12"/>
                <w:b w:val="1"/>
                <w:bCs w:val="1"/>
                <w:color w:val="auto"/>
                <w:vertAlign w:val="superscript"/>
              </w:rPr>
              <w:t>(2)</w:t>
            </w:r>
          </w:p>
        </w:tc>
        <w:tc>
          <w:tcPr>
            <w:tcW w:w="960" w:type="dxa"/>
            <w:vAlign w:val="bottom"/>
          </w:tcPr>
          <w:p>
            <w:pPr>
              <w:jc w:val="right"/>
              <w:ind w:right="147"/>
              <w:spacing w:after="0" w:line="89" w:lineRule="exact"/>
              <w:rPr>
                <w:sz w:val="20"/>
                <w:szCs w:val="20"/>
                <w:color w:val="auto"/>
              </w:rPr>
            </w:pPr>
            <w:r>
              <w:rPr>
                <w:rFonts w:ascii="Times New Roman" w:cs="Times New Roman" w:eastAsia="Times New Roman" w:hAnsi="Times New Roman"/>
                <w:sz w:val="10"/>
                <w:szCs w:val="10"/>
                <w:b w:val="1"/>
                <w:bCs w:val="1"/>
                <w:color w:val="auto"/>
              </w:rPr>
              <w:t>Average Term</w:t>
            </w:r>
          </w:p>
        </w:tc>
        <w:tc>
          <w:tcPr>
            <w:tcW w:w="0" w:type="dxa"/>
            <w:vAlign w:val="bottom"/>
          </w:tcPr>
          <w:p>
            <w:pPr>
              <w:spacing w:after="0"/>
              <w:rPr>
                <w:sz w:val="1"/>
                <w:szCs w:val="1"/>
                <w:color w:val="auto"/>
              </w:rPr>
            </w:pPr>
          </w:p>
        </w:tc>
      </w:tr>
      <w:tr>
        <w:trPr>
          <w:trHeight w:val="135"/>
        </w:trPr>
        <w:tc>
          <w:tcPr>
            <w:tcW w:w="370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207"/>
              <w:spacing w:after="0" w:line="135" w:lineRule="exact"/>
              <w:rPr>
                <w:sz w:val="20"/>
                <w:szCs w:val="20"/>
                <w:color w:val="auto"/>
              </w:rPr>
            </w:pPr>
            <w:r>
              <w:rPr>
                <w:rFonts w:ascii="Times New Roman" w:cs="Times New Roman" w:eastAsia="Times New Roman" w:hAnsi="Times New Roman"/>
                <w:sz w:val="10"/>
                <w:szCs w:val="10"/>
                <w:b w:val="1"/>
                <w:bCs w:val="1"/>
                <w:color w:val="auto"/>
              </w:rPr>
              <w:t>Modified</w:t>
            </w:r>
            <w:r>
              <w:rPr>
                <w:rFonts w:ascii="Times New Roman" w:cs="Times New Roman" w:eastAsia="Times New Roman" w:hAnsi="Times New Roman"/>
                <w:sz w:val="12"/>
                <w:szCs w:val="12"/>
                <w:b w:val="1"/>
                <w:bCs w:val="1"/>
                <w:color w:val="auto"/>
                <w:vertAlign w:val="superscript"/>
              </w:rPr>
              <w:t>(1)</w:t>
            </w: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6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Extension (Months)</w:t>
            </w:r>
          </w:p>
        </w:tc>
        <w:tc>
          <w:tcPr>
            <w:tcW w:w="0" w:type="dxa"/>
            <w:vAlign w:val="bottom"/>
          </w:tcPr>
          <w:p>
            <w:pPr>
              <w:spacing w:after="0"/>
              <w:rPr>
                <w:sz w:val="1"/>
                <w:szCs w:val="1"/>
                <w:color w:val="auto"/>
              </w:rPr>
            </w:pPr>
          </w:p>
        </w:tc>
      </w:tr>
      <w:tr>
        <w:trPr>
          <w:trHeight w:val="133"/>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2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Domestic credit card</w:t>
            </w:r>
          </w:p>
        </w:tc>
        <w:tc>
          <w:tcPr>
            <w:tcW w:w="230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306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100 %</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16.54 %</w:t>
            </w:r>
          </w:p>
        </w:tc>
        <w:tc>
          <w:tcPr>
            <w:tcW w:w="80" w:type="dxa"/>
            <w:vAlign w:val="bottom"/>
          </w:tcPr>
          <w:p>
            <w:pPr>
              <w:spacing w:after="0"/>
              <w:rPr>
                <w:sz w:val="12"/>
                <w:szCs w:val="12"/>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1"/>
                <w:szCs w:val="11"/>
                <w:b w:val="1"/>
                <w:bCs w:val="1"/>
                <w:color w:val="auto"/>
              </w:rPr>
              <w:t>N/A</w:t>
            </w:r>
          </w:p>
        </w:tc>
        <w:tc>
          <w:tcPr>
            <w:tcW w:w="9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145"/>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card businesses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127</w:t>
            </w:r>
          </w:p>
        </w:tc>
        <w:tc>
          <w:tcPr>
            <w:tcW w:w="11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100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27.42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b w:val="1"/>
                <w:bCs w:val="1"/>
                <w:color w:val="auto"/>
              </w:rPr>
              <w:t>N/A</w:t>
            </w:r>
          </w:p>
        </w:tc>
        <w:tc>
          <w:tcPr>
            <w:tcW w:w="9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132"/>
        </w:trPr>
        <w:tc>
          <w:tcPr>
            <w:tcW w:w="37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Total credit card</w:t>
            </w:r>
          </w:p>
        </w:tc>
        <w:tc>
          <w:tcPr>
            <w:tcW w:w="20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433</w:t>
            </w:r>
          </w:p>
        </w:tc>
        <w:tc>
          <w:tcPr>
            <w:tcW w:w="1140" w:type="dxa"/>
            <w:vAlign w:val="bottom"/>
            <w:tcBorders>
              <w:bottom w:val="single" w:sz="8" w:color="CCEEFF"/>
            </w:tcBorders>
            <w:gridSpan w:val="2"/>
          </w:tcPr>
          <w:p>
            <w:pPr>
              <w:jc w:val="right"/>
              <w:ind w:right="89"/>
              <w:spacing w:after="0" w:line="122" w:lineRule="exact"/>
              <w:rPr>
                <w:sz w:val="20"/>
                <w:szCs w:val="20"/>
                <w:color w:val="auto"/>
              </w:rPr>
            </w:pPr>
            <w:r>
              <w:rPr>
                <w:rFonts w:ascii="Times New Roman" w:cs="Times New Roman" w:eastAsia="Times New Roman" w:hAnsi="Times New Roman"/>
                <w:sz w:val="11"/>
                <w:szCs w:val="11"/>
                <w:b w:val="1"/>
                <w:bCs w:val="1"/>
                <w:color w:val="auto"/>
              </w:rPr>
              <w:t>100</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rPr>
              <w:t>19.73</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gridSpan w:val="2"/>
          </w:tcPr>
          <w:p>
            <w:pPr>
              <w:ind w:left="740"/>
              <w:spacing w:after="0" w:line="122" w:lineRule="exact"/>
              <w:rPr>
                <w:sz w:val="20"/>
                <w:szCs w:val="20"/>
                <w:color w:val="auto"/>
              </w:rPr>
            </w:pPr>
            <w:r>
              <w:rPr>
                <w:rFonts w:ascii="Times New Roman" w:cs="Times New Roman" w:eastAsia="Times New Roman" w:hAnsi="Times New Roman"/>
                <w:sz w:val="11"/>
                <w:szCs w:val="11"/>
                <w:b w:val="1"/>
                <w:bCs w:val="1"/>
                <w:color w:val="auto"/>
              </w:rPr>
              <w:t>N/A</w:t>
            </w:r>
          </w:p>
        </w:tc>
        <w:tc>
          <w:tcPr>
            <w:tcW w:w="960" w:type="dxa"/>
            <w:vAlign w:val="bottom"/>
            <w:tcBorders>
              <w:bottom w:val="single" w:sz="8" w:color="CCEEFF"/>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125"/>
        </w:trPr>
        <w:tc>
          <w:tcPr>
            <w:tcW w:w="37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Consumer Banking:</w:t>
            </w:r>
          </w:p>
        </w:tc>
        <w:tc>
          <w:tcPr>
            <w:tcW w:w="2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1,070</w:t>
            </w: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57</w:t>
            </w:r>
          </w:p>
        </w:tc>
        <w:tc>
          <w:tcPr>
            <w:tcW w:w="100" w:type="dxa"/>
            <w:vAlign w:val="bottom"/>
          </w:tcPr>
          <w:p>
            <w:pPr>
              <w:spacing w:after="0"/>
              <w:rPr>
                <w:sz w:val="12"/>
                <w:szCs w:val="12"/>
                <w:color w:val="auto"/>
              </w:rPr>
            </w:pPr>
          </w:p>
        </w:tc>
        <w:tc>
          <w:tcPr>
            <w:tcW w:w="10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8.53</w:t>
            </w:r>
          </w:p>
        </w:tc>
        <w:tc>
          <w:tcPr>
            <w:tcW w:w="80" w:type="dxa"/>
            <w:vAlign w:val="bottom"/>
          </w:tcPr>
          <w:p>
            <w:pPr>
              <w:spacing w:after="0"/>
              <w:rPr>
                <w:sz w:val="12"/>
                <w:szCs w:val="12"/>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w w:val="96"/>
              </w:rPr>
              <w:t>97 %</w:t>
            </w:r>
          </w:p>
        </w:tc>
        <w:tc>
          <w:tcPr>
            <w:tcW w:w="80" w:type="dxa"/>
            <w:vAlign w:val="bottom"/>
          </w:tcPr>
          <w:p>
            <w:pPr>
              <w:spacing w:after="0"/>
              <w:rPr>
                <w:sz w:val="12"/>
                <w:szCs w:val="12"/>
                <w:color w:val="auto"/>
              </w:rPr>
            </w:pPr>
          </w:p>
        </w:tc>
        <w:tc>
          <w:tcPr>
            <w:tcW w:w="9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4</w:t>
            </w:r>
          </w:p>
        </w:tc>
        <w:tc>
          <w:tcPr>
            <w:tcW w:w="0" w:type="dxa"/>
            <w:vAlign w:val="bottom"/>
          </w:tcPr>
          <w:p>
            <w:pPr>
              <w:spacing w:after="0"/>
              <w:rPr>
                <w:sz w:val="1"/>
                <w:szCs w:val="1"/>
                <w:color w:val="auto"/>
              </w:rPr>
            </w:pPr>
          </w:p>
        </w:tc>
      </w:tr>
      <w:tr>
        <w:trPr>
          <w:trHeight w:val="145"/>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7</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b w:val="1"/>
                <w:bCs w:val="1"/>
                <w:color w:val="auto"/>
              </w:rPr>
              <w:t>N/A</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b w:val="1"/>
                <w:bCs w:val="1"/>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1"/>
                <w:szCs w:val="11"/>
                <w:b w:val="1"/>
                <w:bCs w:val="1"/>
                <w:color w:val="auto"/>
              </w:rPr>
              <w:t>92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w:t>
            </w:r>
          </w:p>
        </w:tc>
        <w:tc>
          <w:tcPr>
            <w:tcW w:w="0" w:type="dxa"/>
            <w:vAlign w:val="bottom"/>
          </w:tcPr>
          <w:p>
            <w:pPr>
              <w:spacing w:after="0"/>
              <w:rPr>
                <w:sz w:val="1"/>
                <w:szCs w:val="1"/>
                <w:color w:val="auto"/>
              </w:rPr>
            </w:pPr>
          </w:p>
        </w:tc>
      </w:tr>
      <w:tr>
        <w:trPr>
          <w:trHeight w:val="132"/>
        </w:trPr>
        <w:tc>
          <w:tcPr>
            <w:tcW w:w="37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Total consumer banking</w:t>
            </w:r>
          </w:p>
        </w:tc>
        <w:tc>
          <w:tcPr>
            <w:tcW w:w="20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1,077</w:t>
            </w:r>
          </w:p>
        </w:tc>
        <w:tc>
          <w:tcPr>
            <w:tcW w:w="1140" w:type="dxa"/>
            <w:vAlign w:val="bottom"/>
            <w:tcBorders>
              <w:bottom w:val="single" w:sz="8" w:color="CCEEFF"/>
            </w:tcBorders>
            <w:gridSpan w:val="2"/>
          </w:tcPr>
          <w:p>
            <w:pPr>
              <w:jc w:val="right"/>
              <w:ind w:right="89"/>
              <w:spacing w:after="0" w:line="122" w:lineRule="exact"/>
              <w:rPr>
                <w:sz w:val="20"/>
                <w:szCs w:val="20"/>
                <w:color w:val="auto"/>
              </w:rPr>
            </w:pPr>
            <w:r>
              <w:rPr>
                <w:rFonts w:ascii="Times New Roman" w:cs="Times New Roman" w:eastAsia="Times New Roman" w:hAnsi="Times New Roman"/>
                <w:sz w:val="11"/>
                <w:szCs w:val="11"/>
                <w:b w:val="1"/>
                <w:bCs w:val="1"/>
                <w:color w:val="auto"/>
              </w:rPr>
              <w:t>57</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rPr>
              <w:t>8.53</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ind w:left="820"/>
              <w:spacing w:after="0" w:line="122" w:lineRule="exact"/>
              <w:rPr>
                <w:sz w:val="20"/>
                <w:szCs w:val="20"/>
                <w:color w:val="auto"/>
              </w:rPr>
            </w:pPr>
            <w:r>
              <w:rPr>
                <w:rFonts w:ascii="Times New Roman" w:cs="Times New Roman" w:eastAsia="Times New Roman" w:hAnsi="Times New Roman"/>
                <w:sz w:val="11"/>
                <w:szCs w:val="11"/>
                <w:b w:val="1"/>
                <w:bCs w:val="1"/>
                <w:color w:val="auto"/>
              </w:rPr>
              <w:t>97</w:t>
            </w: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rPr>
              <w:t>4</w:t>
            </w:r>
          </w:p>
        </w:tc>
        <w:tc>
          <w:tcPr>
            <w:tcW w:w="0" w:type="dxa"/>
            <w:vAlign w:val="bottom"/>
          </w:tcPr>
          <w:p>
            <w:pPr>
              <w:spacing w:after="0"/>
              <w:rPr>
                <w:sz w:val="1"/>
                <w:szCs w:val="1"/>
                <w:color w:val="auto"/>
              </w:rPr>
            </w:pPr>
          </w:p>
        </w:tc>
      </w:tr>
      <w:tr>
        <w:trPr>
          <w:trHeight w:val="125"/>
        </w:trPr>
        <w:tc>
          <w:tcPr>
            <w:tcW w:w="37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Commercial Banking:</w:t>
            </w:r>
          </w:p>
        </w:tc>
        <w:tc>
          <w:tcPr>
            <w:tcW w:w="2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385</w:t>
            </w: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8</w:t>
            </w:r>
          </w:p>
        </w:tc>
        <w:tc>
          <w:tcPr>
            <w:tcW w:w="100" w:type="dxa"/>
            <w:vAlign w:val="bottom"/>
          </w:tcPr>
          <w:p>
            <w:pPr>
              <w:spacing w:after="0"/>
              <w:rPr>
                <w:sz w:val="12"/>
                <w:szCs w:val="12"/>
                <w:color w:val="auto"/>
              </w:rPr>
            </w:pPr>
          </w:p>
        </w:tc>
        <w:tc>
          <w:tcPr>
            <w:tcW w:w="10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0.28</w:t>
            </w:r>
          </w:p>
        </w:tc>
        <w:tc>
          <w:tcPr>
            <w:tcW w:w="80" w:type="dxa"/>
            <w:vAlign w:val="bottom"/>
          </w:tcPr>
          <w:p>
            <w:pPr>
              <w:spacing w:after="0"/>
              <w:rPr>
                <w:sz w:val="12"/>
                <w:szCs w:val="12"/>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1"/>
                <w:szCs w:val="11"/>
                <w:b w:val="1"/>
                <w:bCs w:val="1"/>
                <w:color w:val="auto"/>
              </w:rPr>
              <w:t>84</w:t>
            </w:r>
          </w:p>
        </w:tc>
        <w:tc>
          <w:tcPr>
            <w:tcW w:w="80" w:type="dxa"/>
            <w:vAlign w:val="bottom"/>
          </w:tcPr>
          <w:p>
            <w:pPr>
              <w:spacing w:after="0"/>
              <w:rPr>
                <w:sz w:val="12"/>
                <w:szCs w:val="12"/>
                <w:color w:val="auto"/>
              </w:rPr>
            </w:pPr>
          </w:p>
        </w:tc>
        <w:tc>
          <w:tcPr>
            <w:tcW w:w="96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w:t>
            </w:r>
          </w:p>
        </w:tc>
        <w:tc>
          <w:tcPr>
            <w:tcW w:w="0" w:type="dxa"/>
            <w:vAlign w:val="bottom"/>
          </w:tcPr>
          <w:p>
            <w:pPr>
              <w:spacing w:after="0"/>
              <w:rPr>
                <w:sz w:val="1"/>
                <w:szCs w:val="1"/>
                <w:color w:val="auto"/>
              </w:rPr>
            </w:pPr>
          </w:p>
        </w:tc>
      </w:tr>
      <w:tr>
        <w:trPr>
          <w:trHeight w:val="145"/>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357</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b w:val="1"/>
                <w:bCs w:val="1"/>
                <w:color w:val="auto"/>
              </w:rPr>
              <w:t>N/A</w:t>
            </w:r>
          </w:p>
        </w:tc>
        <w:tc>
          <w:tcPr>
            <w:tcW w:w="11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b w:val="1"/>
                <w:bCs w:val="1"/>
                <w:color w:val="auto"/>
              </w:rPr>
              <w:t>N/A</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1"/>
                <w:szCs w:val="11"/>
                <w:b w:val="1"/>
                <w:bCs w:val="1"/>
                <w:color w:val="auto"/>
              </w:rPr>
              <w:t>64</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w:t>
            </w:r>
          </w:p>
        </w:tc>
        <w:tc>
          <w:tcPr>
            <w:tcW w:w="0" w:type="dxa"/>
            <w:vAlign w:val="bottom"/>
          </w:tcPr>
          <w:p>
            <w:pPr>
              <w:spacing w:after="0"/>
              <w:rPr>
                <w:sz w:val="1"/>
                <w:szCs w:val="1"/>
                <w:color w:val="auto"/>
              </w:rPr>
            </w:pPr>
          </w:p>
        </w:tc>
      </w:tr>
      <w:tr>
        <w:trPr>
          <w:trHeight w:val="132"/>
        </w:trPr>
        <w:tc>
          <w:tcPr>
            <w:tcW w:w="370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Total commercial banking</w:t>
            </w:r>
          </w:p>
        </w:tc>
        <w:tc>
          <w:tcPr>
            <w:tcW w:w="20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742</w:t>
            </w:r>
          </w:p>
        </w:tc>
        <w:tc>
          <w:tcPr>
            <w:tcW w:w="1140" w:type="dxa"/>
            <w:vAlign w:val="bottom"/>
            <w:tcBorders>
              <w:bottom w:val="single" w:sz="8" w:color="CCEEFF"/>
            </w:tcBorders>
            <w:gridSpan w:val="2"/>
          </w:tcPr>
          <w:p>
            <w:pPr>
              <w:jc w:val="right"/>
              <w:ind w:right="89"/>
              <w:spacing w:after="0" w:line="122" w:lineRule="exact"/>
              <w:rPr>
                <w:sz w:val="20"/>
                <w:szCs w:val="20"/>
                <w:color w:val="auto"/>
              </w:rPr>
            </w:pPr>
            <w:r>
              <w:rPr>
                <w:rFonts w:ascii="Times New Roman" w:cs="Times New Roman" w:eastAsia="Times New Roman" w:hAnsi="Times New Roman"/>
                <w:sz w:val="11"/>
                <w:szCs w:val="11"/>
                <w:b w:val="1"/>
                <w:bCs w:val="1"/>
                <w:color w:val="auto"/>
              </w:rPr>
              <w:t>4</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rPr>
              <w:t>0.28</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ind w:left="820"/>
              <w:spacing w:after="0" w:line="122" w:lineRule="exact"/>
              <w:rPr>
                <w:sz w:val="20"/>
                <w:szCs w:val="20"/>
                <w:color w:val="auto"/>
              </w:rPr>
            </w:pPr>
            <w:r>
              <w:rPr>
                <w:rFonts w:ascii="Times New Roman" w:cs="Times New Roman" w:eastAsia="Times New Roman" w:hAnsi="Times New Roman"/>
                <w:sz w:val="11"/>
                <w:szCs w:val="11"/>
                <w:b w:val="1"/>
                <w:bCs w:val="1"/>
                <w:color w:val="auto"/>
              </w:rPr>
              <w:t>74</w:t>
            </w: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rPr>
              <w:t>13</w:t>
            </w:r>
          </w:p>
        </w:tc>
        <w:tc>
          <w:tcPr>
            <w:tcW w:w="0" w:type="dxa"/>
            <w:vAlign w:val="bottom"/>
          </w:tcPr>
          <w:p>
            <w:pPr>
              <w:spacing w:after="0"/>
              <w:rPr>
                <w:sz w:val="1"/>
                <w:szCs w:val="1"/>
                <w:color w:val="auto"/>
              </w:rPr>
            </w:pPr>
          </w:p>
        </w:tc>
      </w:tr>
      <w:tr>
        <w:trPr>
          <w:trHeight w:val="153"/>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2,252</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72"/>
        </w:trPr>
        <w:tc>
          <w:tcPr>
            <w:tcW w:w="3700" w:type="dxa"/>
            <w:vAlign w:val="bottom"/>
          </w:tcPr>
          <w:p>
            <w:pPr>
              <w:spacing w:after="0"/>
              <w:rPr>
                <w:sz w:val="24"/>
                <w:szCs w:val="24"/>
                <w:color w:val="auto"/>
              </w:rPr>
            </w:pPr>
          </w:p>
        </w:tc>
        <w:tc>
          <w:tcPr>
            <w:tcW w:w="2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3"/>
          </w:tcPr>
          <w:p>
            <w:pPr>
              <w:ind w:left="50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c>
          <w:tcPr>
            <w:tcW w:w="0" w:type="dxa"/>
            <w:vAlign w:val="bottom"/>
          </w:tcPr>
          <w:p>
            <w:pPr>
              <w:spacing w:after="0"/>
              <w:rPr>
                <w:sz w:val="1"/>
                <w:szCs w:val="1"/>
                <w:color w:val="auto"/>
              </w:rPr>
            </w:pPr>
          </w:p>
        </w:tc>
      </w:tr>
      <w:tr>
        <w:trPr>
          <w:trHeight w:val="224"/>
        </w:trPr>
        <w:tc>
          <w:tcPr>
            <w:tcW w:w="3700" w:type="dxa"/>
            <w:vAlign w:val="bottom"/>
            <w:tcBorders>
              <w:bottom w:val="single" w:sz="8" w:color="9A9A9A"/>
            </w:tcBorders>
          </w:tcPr>
          <w:p>
            <w:pPr>
              <w:spacing w:after="0"/>
              <w:rPr>
                <w:sz w:val="19"/>
                <w:szCs w:val="19"/>
                <w:color w:val="auto"/>
              </w:rPr>
            </w:pPr>
          </w:p>
        </w:tc>
        <w:tc>
          <w:tcPr>
            <w:tcW w:w="2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9" w:name="page150"/>
    <w:bookmarkEnd w:id="14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0"/>
                <w:szCs w:val="10"/>
                <w:b w:val="1"/>
                <w:bCs w:val="1"/>
                <w:color w:val="auto"/>
              </w:rPr>
              <w:t>Year Ended December 31, 2021</w:t>
            </w: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Borders>
              <w:bottom w:val="single" w:sz="8" w:color="auto"/>
            </w:tcBorders>
            <w:gridSpan w:val="3"/>
          </w:tcPr>
          <w:p>
            <w:pPr>
              <w:jc w:val="right"/>
              <w:ind w:right="607"/>
              <w:spacing w:after="0"/>
              <w:rPr>
                <w:sz w:val="20"/>
                <w:szCs w:val="20"/>
                <w:color w:val="auto"/>
              </w:rPr>
            </w:pPr>
            <w:r>
              <w:rPr>
                <w:rFonts w:ascii="Times New Roman" w:cs="Times New Roman" w:eastAsia="Times New Roman" w:hAnsi="Times New Roman"/>
                <w:sz w:val="10"/>
                <w:szCs w:val="10"/>
                <w:b w:val="1"/>
                <w:bCs w:val="1"/>
                <w:color w:val="auto"/>
              </w:rPr>
              <w:t>Reduced Interest Rate</w:t>
            </w:r>
          </w:p>
        </w:tc>
        <w:tc>
          <w:tcPr>
            <w:tcW w:w="80" w:type="dxa"/>
            <w:vAlign w:val="bottom"/>
          </w:tcPr>
          <w:p>
            <w:pPr>
              <w:spacing w:after="0"/>
              <w:rPr>
                <w:sz w:val="11"/>
                <w:szCs w:val="11"/>
                <w:color w:val="auto"/>
              </w:rPr>
            </w:pPr>
          </w:p>
        </w:tc>
        <w:tc>
          <w:tcPr>
            <w:tcW w:w="20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0"/>
                <w:szCs w:val="10"/>
                <w:b w:val="1"/>
                <w:bCs w:val="1"/>
                <w:color w:val="auto"/>
              </w:rPr>
              <w:t>Term Extension</w:t>
            </w:r>
          </w:p>
        </w:tc>
        <w:tc>
          <w:tcPr>
            <w:tcW w:w="80" w:type="dxa"/>
            <w:vAlign w:val="bottom"/>
          </w:tcPr>
          <w:p>
            <w:pPr>
              <w:spacing w:after="0"/>
              <w:rPr>
                <w:sz w:val="11"/>
                <w:szCs w:val="11"/>
                <w:color w:val="auto"/>
              </w:rPr>
            </w:pPr>
          </w:p>
        </w:tc>
        <w:tc>
          <w:tcPr>
            <w:tcW w:w="20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0"/>
                <w:szCs w:val="10"/>
                <w:b w:val="1"/>
                <w:bCs w:val="1"/>
                <w:color w:val="auto"/>
              </w:rPr>
              <w:t>Balance Reduction</w:t>
            </w:r>
          </w:p>
        </w:tc>
        <w:tc>
          <w:tcPr>
            <w:tcW w:w="0" w:type="dxa"/>
            <w:vAlign w:val="bottom"/>
          </w:tcPr>
          <w:p>
            <w:pPr>
              <w:spacing w:after="0"/>
              <w:rPr>
                <w:sz w:val="1"/>
                <w:szCs w:val="1"/>
                <w:color w:val="auto"/>
              </w:rPr>
            </w:pPr>
          </w:p>
        </w:tc>
      </w:tr>
      <w:tr>
        <w:trPr>
          <w:trHeight w:val="85"/>
        </w:trPr>
        <w:tc>
          <w:tcPr>
            <w:tcW w:w="3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Total Loans</w:t>
            </w: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Average Term</w:t>
            </w:r>
          </w:p>
        </w:tc>
        <w:tc>
          <w:tcPr>
            <w:tcW w:w="1140" w:type="dxa"/>
            <w:vAlign w:val="bottom"/>
            <w:gridSpan w:val="2"/>
          </w:tcPr>
          <w:p>
            <w:pPr>
              <w:jc w:val="center"/>
              <w:ind w:right="100"/>
              <w:spacing w:after="0" w:line="86" w:lineRule="exact"/>
              <w:rPr>
                <w:sz w:val="20"/>
                <w:szCs w:val="20"/>
                <w:color w:val="auto"/>
              </w:rPr>
            </w:pPr>
            <w:r>
              <w:rPr>
                <w:rFonts w:ascii="Times New Roman" w:cs="Times New Roman" w:eastAsia="Times New Roman" w:hAnsi="Times New Roman"/>
                <w:sz w:val="8"/>
                <w:szCs w:val="8"/>
                <w:b w:val="1"/>
                <w:bCs w:val="1"/>
                <w:color w:val="auto"/>
              </w:rPr>
              <w:t>% of</w:t>
            </w:r>
          </w:p>
        </w:tc>
        <w:tc>
          <w:tcPr>
            <w:tcW w:w="120" w:type="dxa"/>
            <w:vAlign w:val="bottom"/>
          </w:tcPr>
          <w:p>
            <w:pPr>
              <w:spacing w:after="0"/>
              <w:rPr>
                <w:sz w:val="7"/>
                <w:szCs w:val="7"/>
                <w:color w:val="auto"/>
              </w:rPr>
            </w:pPr>
          </w:p>
        </w:tc>
        <w:tc>
          <w:tcPr>
            <w:tcW w:w="820" w:type="dxa"/>
            <w:vAlign w:val="bottom"/>
          </w:tcPr>
          <w:p>
            <w:pPr>
              <w:jc w:val="center"/>
              <w:ind w:right="88"/>
              <w:spacing w:after="0" w:line="86" w:lineRule="exact"/>
              <w:rPr>
                <w:sz w:val="20"/>
                <w:szCs w:val="20"/>
                <w:color w:val="auto"/>
              </w:rPr>
            </w:pPr>
            <w:r>
              <w:rPr>
                <w:rFonts w:ascii="Times New Roman" w:cs="Times New Roman" w:eastAsia="Times New Roman" w:hAnsi="Times New Roman"/>
                <w:sz w:val="8"/>
                <w:szCs w:val="8"/>
                <w:b w:val="1"/>
                <w:bCs w:val="1"/>
                <w:color w:val="auto"/>
              </w:rPr>
              <w:t>Gross</w:t>
            </w:r>
          </w:p>
        </w:tc>
        <w:tc>
          <w:tcPr>
            <w:tcW w:w="0" w:type="dxa"/>
            <w:vAlign w:val="bottom"/>
          </w:tcPr>
          <w:p>
            <w:pPr>
              <w:spacing w:after="0"/>
              <w:rPr>
                <w:sz w:val="1"/>
                <w:szCs w:val="1"/>
                <w:color w:val="auto"/>
              </w:rPr>
            </w:pPr>
          </w:p>
        </w:tc>
      </w:tr>
      <w:tr>
        <w:trPr>
          <w:trHeight w:val="97"/>
        </w:trPr>
        <w:tc>
          <w:tcPr>
            <w:tcW w:w="374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 of TDR Activity</w:t>
            </w:r>
            <w:r>
              <w:rPr>
                <w:rFonts w:ascii="Times New Roman" w:cs="Times New Roman" w:eastAsia="Times New Roman" w:hAnsi="Times New Roman"/>
                <w:sz w:val="12"/>
                <w:szCs w:val="12"/>
                <w:b w:val="1"/>
                <w:bCs w:val="1"/>
                <w:color w:val="auto"/>
                <w:vertAlign w:val="superscript"/>
              </w:rPr>
              <w:t>(2)</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Average Rate Reduction</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 of TDR Activity</w:t>
            </w:r>
            <w:r>
              <w:rPr>
                <w:rFonts w:ascii="Times New Roman" w:cs="Times New Roman" w:eastAsia="Times New Roman" w:hAnsi="Times New Roman"/>
                <w:sz w:val="12"/>
                <w:szCs w:val="12"/>
                <w:b w:val="1"/>
                <w:bCs w:val="1"/>
                <w:color w:val="auto"/>
                <w:vertAlign w:val="superscript"/>
              </w:rPr>
              <w:t>(2)</w:t>
            </w:r>
          </w:p>
        </w:tc>
        <w:tc>
          <w:tcPr>
            <w:tcW w:w="1020" w:type="dxa"/>
            <w:vAlign w:val="bottom"/>
            <w:gridSpan w:val="2"/>
            <w:vMerge w:val="continue"/>
          </w:tcPr>
          <w:p>
            <w:pPr>
              <w:spacing w:after="0"/>
              <w:rPr>
                <w:sz w:val="8"/>
                <w:szCs w:val="8"/>
                <w:color w:val="auto"/>
              </w:rPr>
            </w:pPr>
          </w:p>
        </w:tc>
        <w:tc>
          <w:tcPr>
            <w:tcW w:w="1140" w:type="dxa"/>
            <w:vAlign w:val="bottom"/>
            <w:gridSpan w:val="2"/>
          </w:tcPr>
          <w:p>
            <w:pPr>
              <w:jc w:val="center"/>
              <w:ind w:right="100"/>
              <w:spacing w:after="0" w:line="98" w:lineRule="exact"/>
              <w:rPr>
                <w:sz w:val="20"/>
                <w:szCs w:val="20"/>
                <w:color w:val="auto"/>
              </w:rPr>
            </w:pPr>
            <w:r>
              <w:rPr>
                <w:rFonts w:ascii="Times New Roman" w:cs="Times New Roman" w:eastAsia="Times New Roman" w:hAnsi="Times New Roman"/>
                <w:sz w:val="10"/>
                <w:szCs w:val="10"/>
                <w:b w:val="1"/>
                <w:bCs w:val="1"/>
                <w:color w:val="auto"/>
                <w:w w:val="94"/>
              </w:rPr>
              <w:t>TDR</w:t>
            </w:r>
          </w:p>
        </w:tc>
        <w:tc>
          <w:tcPr>
            <w:tcW w:w="120" w:type="dxa"/>
            <w:vAlign w:val="bottom"/>
          </w:tcPr>
          <w:p>
            <w:pPr>
              <w:spacing w:after="0"/>
              <w:rPr>
                <w:sz w:val="8"/>
                <w:szCs w:val="8"/>
                <w:color w:val="auto"/>
              </w:rPr>
            </w:pPr>
          </w:p>
        </w:tc>
        <w:tc>
          <w:tcPr>
            <w:tcW w:w="820" w:type="dxa"/>
            <w:vAlign w:val="bottom"/>
          </w:tcPr>
          <w:p>
            <w:pPr>
              <w:jc w:val="center"/>
              <w:ind w:right="88"/>
              <w:spacing w:after="0" w:line="98" w:lineRule="exact"/>
              <w:rPr>
                <w:sz w:val="20"/>
                <w:szCs w:val="20"/>
                <w:color w:val="auto"/>
              </w:rPr>
            </w:pPr>
            <w:r>
              <w:rPr>
                <w:rFonts w:ascii="Times New Roman" w:cs="Times New Roman" w:eastAsia="Times New Roman" w:hAnsi="Times New Roman"/>
                <w:sz w:val="10"/>
                <w:szCs w:val="10"/>
                <w:b w:val="1"/>
                <w:bCs w:val="1"/>
                <w:color w:val="auto"/>
                <w:w w:val="94"/>
              </w:rPr>
              <w:t>Balance</w:t>
            </w:r>
          </w:p>
        </w:tc>
        <w:tc>
          <w:tcPr>
            <w:tcW w:w="0" w:type="dxa"/>
            <w:vAlign w:val="bottom"/>
          </w:tcPr>
          <w:p>
            <w:pPr>
              <w:spacing w:after="0"/>
              <w:rPr>
                <w:sz w:val="1"/>
                <w:szCs w:val="1"/>
                <w:color w:val="auto"/>
              </w:rPr>
            </w:pPr>
          </w:p>
        </w:tc>
      </w:tr>
      <w:tr>
        <w:trPr>
          <w:trHeight w:val="135"/>
        </w:trPr>
        <w:tc>
          <w:tcPr>
            <w:tcW w:w="37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0"/>
                <w:szCs w:val="10"/>
                <w:b w:val="1"/>
                <w:bCs w:val="1"/>
                <w:color w:val="auto"/>
                <w:w w:val="91"/>
              </w:rPr>
              <w:t>Modified</w:t>
            </w:r>
            <w:r>
              <w:rPr>
                <w:rFonts w:ascii="Times New Roman" w:cs="Times New Roman" w:eastAsia="Times New Roman" w:hAnsi="Times New Roman"/>
                <w:sz w:val="12"/>
                <w:szCs w:val="12"/>
                <w:b w:val="1"/>
                <w:bCs w:val="1"/>
                <w:color w:val="auto"/>
                <w:w w:val="91"/>
                <w:vertAlign w:val="superscript"/>
              </w:rPr>
              <w:t>(1)</w:t>
            </w: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Extension (Months)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Activity</w:t>
            </w:r>
            <w:r>
              <w:rPr>
                <w:rFonts w:ascii="Times New Roman" w:cs="Times New Roman" w:eastAsia="Times New Roman" w:hAnsi="Times New Roman"/>
                <w:sz w:val="6"/>
                <w:szCs w:val="6"/>
                <w:b w:val="1"/>
                <w:bCs w:val="1"/>
                <w:color w:val="auto"/>
                <w:w w:val="97"/>
              </w:rPr>
              <w:t>(2)</w:t>
            </w:r>
          </w:p>
        </w:tc>
        <w:tc>
          <w:tcPr>
            <w:tcW w:w="120" w:type="dxa"/>
            <w:vAlign w:val="bottom"/>
          </w:tcPr>
          <w:p>
            <w:pPr>
              <w:spacing w:after="0"/>
              <w:rPr>
                <w:sz w:val="11"/>
                <w:szCs w:val="11"/>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w w:val="95"/>
              </w:rPr>
              <w:t>Reduction</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Domestic credit card</w:t>
            </w:r>
          </w:p>
        </w:tc>
        <w:tc>
          <w:tcPr>
            <w:tcW w:w="140" w:type="dxa"/>
            <w:vAlign w:val="bottom"/>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154</w:t>
            </w:r>
          </w:p>
        </w:tc>
        <w:tc>
          <w:tcPr>
            <w:tcW w:w="2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15.90 %</w:t>
            </w:r>
          </w:p>
        </w:tc>
        <w:tc>
          <w:tcPr>
            <w:tcW w:w="80" w:type="dxa"/>
            <w:vAlign w:val="bottom"/>
          </w:tcPr>
          <w:p>
            <w:pPr>
              <w:spacing w:after="0"/>
              <w:rPr>
                <w:sz w:val="12"/>
                <w:szCs w:val="12"/>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N/A</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tcPr>
          <w:p>
            <w:pPr>
              <w:spacing w:after="0"/>
              <w:rPr>
                <w:sz w:val="12"/>
                <w:szCs w:val="12"/>
                <w:color w:val="auto"/>
              </w:rPr>
            </w:pPr>
          </w:p>
        </w:tc>
        <w:tc>
          <w:tcPr>
            <w:tcW w:w="820" w:type="dxa"/>
            <w:vAlign w:val="bottom"/>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46"/>
        </w:trPr>
        <w:tc>
          <w:tcPr>
            <w:tcW w:w="3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card businesses</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123</w:t>
            </w:r>
          </w:p>
        </w:tc>
        <w:tc>
          <w:tcPr>
            <w:tcW w:w="20" w:type="dxa"/>
            <w:vAlign w:val="bottom"/>
            <w:tcBorders>
              <w:bottom w:val="single" w:sz="8" w:color="auto"/>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1"/>
                <w:szCs w:val="11"/>
                <w:color w:val="auto"/>
              </w:rPr>
              <w:t>100</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27.70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N/A</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31"/>
        </w:trPr>
        <w:tc>
          <w:tcPr>
            <w:tcW w:w="3740" w:type="dxa"/>
            <w:vAlign w:val="bottom"/>
            <w:tcBorders>
              <w:bottom w:val="single" w:sz="8" w:color="CCEEFF"/>
            </w:tcBorders>
            <w:gridSpan w:val="4"/>
          </w:tcPr>
          <w:p>
            <w:pPr>
              <w:spacing w:after="0" w:line="121" w:lineRule="exact"/>
              <w:rPr>
                <w:sz w:val="20"/>
                <w:szCs w:val="20"/>
                <w:color w:val="auto"/>
              </w:rPr>
            </w:pPr>
            <w:r>
              <w:rPr>
                <w:rFonts w:ascii="Times New Roman" w:cs="Times New Roman" w:eastAsia="Times New Roman" w:hAnsi="Times New Roman"/>
                <w:sz w:val="11"/>
                <w:szCs w:val="11"/>
                <w:color w:val="auto"/>
              </w:rPr>
              <w:t>Total credit card</w:t>
            </w: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277</w:t>
            </w: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CCEEFF"/>
            </w:tcBorders>
            <w:gridSpan w:val="2"/>
          </w:tcPr>
          <w:p>
            <w:pPr>
              <w:jc w:val="right"/>
              <w:ind w:right="70"/>
              <w:spacing w:after="0" w:line="121" w:lineRule="exact"/>
              <w:rPr>
                <w:sz w:val="20"/>
                <w:szCs w:val="20"/>
                <w:color w:val="auto"/>
              </w:rPr>
            </w:pPr>
            <w:r>
              <w:rPr>
                <w:rFonts w:ascii="Times New Roman" w:cs="Times New Roman" w:eastAsia="Times New Roman" w:hAnsi="Times New Roman"/>
                <w:sz w:val="11"/>
                <w:szCs w:val="11"/>
                <w:color w:val="auto"/>
              </w:rPr>
              <w:t>100</w:t>
            </w:r>
          </w:p>
        </w:tc>
        <w:tc>
          <w:tcPr>
            <w:tcW w:w="16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jc w:val="right"/>
              <w:ind w:right="87"/>
              <w:spacing w:after="0" w:line="121" w:lineRule="exact"/>
              <w:rPr>
                <w:sz w:val="20"/>
                <w:szCs w:val="20"/>
                <w:color w:val="auto"/>
              </w:rPr>
            </w:pPr>
            <w:r>
              <w:rPr>
                <w:rFonts w:ascii="Times New Roman" w:cs="Times New Roman" w:eastAsia="Times New Roman" w:hAnsi="Times New Roman"/>
                <w:sz w:val="11"/>
                <w:szCs w:val="11"/>
                <w:color w:val="auto"/>
              </w:rPr>
              <w:t>21.15</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gridSpan w:val="2"/>
          </w:tcPr>
          <w:p>
            <w:pPr>
              <w:ind w:left="700"/>
              <w:spacing w:after="0" w:line="121" w:lineRule="exact"/>
              <w:rPr>
                <w:sz w:val="20"/>
                <w:szCs w:val="20"/>
                <w:color w:val="auto"/>
              </w:rPr>
            </w:pPr>
            <w:r>
              <w:rPr>
                <w:rFonts w:ascii="Times New Roman" w:cs="Times New Roman" w:eastAsia="Times New Roman" w:hAnsi="Times New Roman"/>
                <w:sz w:val="11"/>
                <w:szCs w:val="11"/>
                <w:color w:val="auto"/>
              </w:rPr>
              <w:t>N/A</w:t>
            </w:r>
          </w:p>
        </w:tc>
        <w:tc>
          <w:tcPr>
            <w:tcW w:w="1020" w:type="dxa"/>
            <w:vAlign w:val="bottom"/>
            <w:tcBorders>
              <w:bottom w:val="single" w:sz="8" w:color="CCEEFF"/>
            </w:tcBorders>
            <w:gridSpan w:val="2"/>
          </w:tcPr>
          <w:p>
            <w:pPr>
              <w:ind w:left="600"/>
              <w:spacing w:after="0" w:line="121" w:lineRule="exact"/>
              <w:rPr>
                <w:sz w:val="20"/>
                <w:szCs w:val="20"/>
                <w:color w:val="auto"/>
              </w:rPr>
            </w:pPr>
            <w:r>
              <w:rPr>
                <w:rFonts w:ascii="Times New Roman" w:cs="Times New Roman" w:eastAsia="Times New Roman" w:hAnsi="Times New Roman"/>
                <w:sz w:val="11"/>
                <w:szCs w:val="11"/>
                <w:color w:val="auto"/>
              </w:rPr>
              <w:t>N/A</w:t>
            </w:r>
          </w:p>
        </w:tc>
        <w:tc>
          <w:tcPr>
            <w:tcW w:w="1140" w:type="dxa"/>
            <w:vAlign w:val="bottom"/>
            <w:tcBorders>
              <w:bottom w:val="single" w:sz="8" w:color="CCEEFF"/>
            </w:tcBorders>
            <w:gridSpan w:val="2"/>
          </w:tcPr>
          <w:p>
            <w:pPr>
              <w:ind w:left="700"/>
              <w:spacing w:after="0" w:line="121" w:lineRule="exact"/>
              <w:rPr>
                <w:sz w:val="20"/>
                <w:szCs w:val="20"/>
                <w:color w:val="auto"/>
              </w:rPr>
            </w:pPr>
            <w:r>
              <w:rPr>
                <w:rFonts w:ascii="Times New Roman" w:cs="Times New Roman" w:eastAsia="Times New Roman" w:hAnsi="Times New Roman"/>
                <w:sz w:val="11"/>
                <w:szCs w:val="11"/>
                <w:color w:val="auto"/>
              </w:rPr>
              <w:t>N/A</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jc w:val="center"/>
              <w:ind w:left="268"/>
              <w:spacing w:after="0" w:line="121" w:lineRule="exact"/>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26"/>
        </w:trPr>
        <w:tc>
          <w:tcPr>
            <w:tcW w:w="3740" w:type="dxa"/>
            <w:vAlign w:val="bottom"/>
            <w:gridSpan w:val="4"/>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Consumer Banking:</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7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140" w:type="dxa"/>
            <w:vAlign w:val="bottom"/>
          </w:tcPr>
          <w:p>
            <w:pPr>
              <w:spacing w:after="0"/>
              <w:rPr>
                <w:sz w:val="12"/>
                <w:szCs w:val="12"/>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371</w:t>
            </w:r>
          </w:p>
        </w:tc>
        <w:tc>
          <w:tcPr>
            <w:tcW w:w="20" w:type="dxa"/>
            <w:vAlign w:val="bottom"/>
          </w:tcPr>
          <w:p>
            <w:pPr>
              <w:spacing w:after="0"/>
              <w:rPr>
                <w:sz w:val="12"/>
                <w:szCs w:val="12"/>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1"/>
                <w:szCs w:val="11"/>
                <w:color w:val="auto"/>
              </w:rPr>
              <w:t>43</w:t>
            </w:r>
          </w:p>
        </w:tc>
        <w:tc>
          <w:tcPr>
            <w:tcW w:w="160" w:type="dxa"/>
            <w:vAlign w:val="bottom"/>
          </w:tcPr>
          <w:p>
            <w:pPr>
              <w:spacing w:after="0"/>
              <w:rPr>
                <w:sz w:val="12"/>
                <w:szCs w:val="12"/>
                <w:color w:val="auto"/>
              </w:rPr>
            </w:pPr>
          </w:p>
        </w:tc>
        <w:tc>
          <w:tcPr>
            <w:tcW w:w="10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8.72</w:t>
            </w:r>
          </w:p>
        </w:tc>
        <w:tc>
          <w:tcPr>
            <w:tcW w:w="80" w:type="dxa"/>
            <w:vAlign w:val="bottom"/>
          </w:tcPr>
          <w:p>
            <w:pPr>
              <w:spacing w:after="0"/>
              <w:rPr>
                <w:sz w:val="12"/>
                <w:szCs w:val="12"/>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93 %</w:t>
            </w:r>
          </w:p>
        </w:tc>
        <w:tc>
          <w:tcPr>
            <w:tcW w:w="100" w:type="dxa"/>
            <w:vAlign w:val="bottom"/>
          </w:tcPr>
          <w:p>
            <w:pPr>
              <w:spacing w:after="0"/>
              <w:rPr>
                <w:sz w:val="12"/>
                <w:szCs w:val="12"/>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2"/>
                <w:szCs w:val="12"/>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1"/>
                <w:szCs w:val="11"/>
                <w:color w:val="auto"/>
                <w:w w:val="91"/>
              </w:rPr>
              <w:t>0 %</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center"/>
              <w:ind w:left="248"/>
              <w:spacing w:after="0"/>
              <w:rPr>
                <w:sz w:val="20"/>
                <w:szCs w:val="20"/>
                <w:color w:val="auto"/>
              </w:rPr>
            </w:pPr>
            <w:r>
              <w:rPr>
                <w:rFonts w:ascii="Times New Roman" w:cs="Times New Roman" w:eastAsia="Times New Roman" w:hAnsi="Times New Roman"/>
                <w:sz w:val="11"/>
                <w:szCs w:val="11"/>
                <w:color w:val="auto"/>
                <w:w w:val="71"/>
              </w:rPr>
              <w:t>1</w:t>
            </w:r>
          </w:p>
        </w:tc>
        <w:tc>
          <w:tcPr>
            <w:tcW w:w="0" w:type="dxa"/>
            <w:vAlign w:val="bottom"/>
          </w:tcPr>
          <w:p>
            <w:pPr>
              <w:spacing w:after="0"/>
              <w:rPr>
                <w:sz w:val="1"/>
                <w:szCs w:val="1"/>
                <w:color w:val="auto"/>
              </w:rPr>
            </w:pPr>
          </w:p>
        </w:tc>
      </w:tr>
      <w:tr>
        <w:trPr>
          <w:trHeight w:val="146"/>
        </w:trPr>
        <w:tc>
          <w:tcPr>
            <w:tcW w:w="3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w:t>
            </w:r>
          </w:p>
        </w:tc>
        <w:tc>
          <w:tcPr>
            <w:tcW w:w="20" w:type="dxa"/>
            <w:vAlign w:val="bottom"/>
            <w:tcBorders>
              <w:bottom w:val="single" w:sz="8" w:color="auto"/>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1"/>
                <w:szCs w:val="11"/>
                <w:color w:val="auto"/>
              </w:rPr>
              <w:t>13</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2.94</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31"/>
        </w:trPr>
        <w:tc>
          <w:tcPr>
            <w:tcW w:w="3740" w:type="dxa"/>
            <w:vAlign w:val="bottom"/>
            <w:tcBorders>
              <w:bottom w:val="single" w:sz="8" w:color="CCEEFF"/>
            </w:tcBorders>
            <w:gridSpan w:val="4"/>
          </w:tcPr>
          <w:p>
            <w:pPr>
              <w:spacing w:after="0" w:line="121" w:lineRule="exact"/>
              <w:rPr>
                <w:sz w:val="20"/>
                <w:szCs w:val="20"/>
                <w:color w:val="auto"/>
              </w:rPr>
            </w:pPr>
            <w:r>
              <w:rPr>
                <w:rFonts w:ascii="Times New Roman" w:cs="Times New Roman" w:eastAsia="Times New Roman" w:hAnsi="Times New Roman"/>
                <w:sz w:val="11"/>
                <w:szCs w:val="11"/>
                <w:color w:val="auto"/>
              </w:rPr>
              <w:t>Total consumer banking</w:t>
            </w: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374</w:t>
            </w: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CCEEFF"/>
            </w:tcBorders>
            <w:gridSpan w:val="2"/>
          </w:tcPr>
          <w:p>
            <w:pPr>
              <w:jc w:val="right"/>
              <w:ind w:right="70"/>
              <w:spacing w:after="0" w:line="121" w:lineRule="exact"/>
              <w:rPr>
                <w:sz w:val="20"/>
                <w:szCs w:val="20"/>
                <w:color w:val="auto"/>
              </w:rPr>
            </w:pPr>
            <w:r>
              <w:rPr>
                <w:rFonts w:ascii="Times New Roman" w:cs="Times New Roman" w:eastAsia="Times New Roman" w:hAnsi="Times New Roman"/>
                <w:sz w:val="11"/>
                <w:szCs w:val="11"/>
                <w:color w:val="auto"/>
              </w:rPr>
              <w:t>42</w:t>
            </w:r>
          </w:p>
        </w:tc>
        <w:tc>
          <w:tcPr>
            <w:tcW w:w="16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jc w:val="right"/>
              <w:ind w:right="87"/>
              <w:spacing w:after="0" w:line="121" w:lineRule="exact"/>
              <w:rPr>
                <w:sz w:val="20"/>
                <w:szCs w:val="20"/>
                <w:color w:val="auto"/>
              </w:rPr>
            </w:pPr>
            <w:r>
              <w:rPr>
                <w:rFonts w:ascii="Times New Roman" w:cs="Times New Roman" w:eastAsia="Times New Roman" w:hAnsi="Times New Roman"/>
                <w:sz w:val="11"/>
                <w:szCs w:val="11"/>
                <w:color w:val="auto"/>
              </w:rPr>
              <w:t>8.70</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780"/>
              <w:spacing w:after="0" w:line="121" w:lineRule="exact"/>
              <w:rPr>
                <w:sz w:val="20"/>
                <w:szCs w:val="20"/>
                <w:color w:val="auto"/>
              </w:rPr>
            </w:pPr>
            <w:r>
              <w:rPr>
                <w:rFonts w:ascii="Times New Roman" w:cs="Times New Roman" w:eastAsia="Times New Roman" w:hAnsi="Times New Roman"/>
                <w:sz w:val="11"/>
                <w:szCs w:val="11"/>
                <w:color w:val="auto"/>
              </w:rPr>
              <w:t>93</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107"/>
              <w:spacing w:after="0" w:line="121" w:lineRule="exact"/>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860"/>
              <w:spacing w:after="0" w:line="121"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jc w:val="center"/>
              <w:ind w:left="248"/>
              <w:spacing w:after="0" w:line="121" w:lineRule="exact"/>
              <w:rPr>
                <w:sz w:val="20"/>
                <w:szCs w:val="20"/>
                <w:color w:val="auto"/>
              </w:rPr>
            </w:pPr>
            <w:r>
              <w:rPr>
                <w:rFonts w:ascii="Times New Roman" w:cs="Times New Roman" w:eastAsia="Times New Roman" w:hAnsi="Times New Roman"/>
                <w:sz w:val="11"/>
                <w:szCs w:val="11"/>
                <w:color w:val="auto"/>
                <w:w w:val="71"/>
              </w:rPr>
              <w:t>1</w:t>
            </w:r>
          </w:p>
        </w:tc>
        <w:tc>
          <w:tcPr>
            <w:tcW w:w="0" w:type="dxa"/>
            <w:vAlign w:val="bottom"/>
          </w:tcPr>
          <w:p>
            <w:pPr>
              <w:spacing w:after="0"/>
              <w:rPr>
                <w:sz w:val="1"/>
                <w:szCs w:val="1"/>
                <w:color w:val="auto"/>
              </w:rPr>
            </w:pPr>
          </w:p>
        </w:tc>
      </w:tr>
      <w:tr>
        <w:trPr>
          <w:trHeight w:val="126"/>
        </w:trPr>
        <w:tc>
          <w:tcPr>
            <w:tcW w:w="3740" w:type="dxa"/>
            <w:vAlign w:val="bottom"/>
            <w:gridSpan w:val="4"/>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Commercial Banking:</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7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140" w:type="dxa"/>
            <w:vAlign w:val="bottom"/>
          </w:tcPr>
          <w:p>
            <w:pPr>
              <w:spacing w:after="0"/>
              <w:rPr>
                <w:sz w:val="12"/>
                <w:szCs w:val="12"/>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49</w:t>
            </w:r>
          </w:p>
        </w:tc>
        <w:tc>
          <w:tcPr>
            <w:tcW w:w="20" w:type="dxa"/>
            <w:vAlign w:val="bottom"/>
          </w:tcPr>
          <w:p>
            <w:pPr>
              <w:spacing w:after="0"/>
              <w:rPr>
                <w:sz w:val="12"/>
                <w:szCs w:val="12"/>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1"/>
                <w:szCs w:val="11"/>
                <w:color w:val="auto"/>
              </w:rPr>
              <w:t>21</w:t>
            </w:r>
          </w:p>
        </w:tc>
        <w:tc>
          <w:tcPr>
            <w:tcW w:w="160" w:type="dxa"/>
            <w:vAlign w:val="bottom"/>
          </w:tcPr>
          <w:p>
            <w:pPr>
              <w:spacing w:after="0"/>
              <w:rPr>
                <w:sz w:val="12"/>
                <w:szCs w:val="12"/>
                <w:color w:val="auto"/>
              </w:rPr>
            </w:pPr>
          </w:p>
        </w:tc>
        <w:tc>
          <w:tcPr>
            <w:tcW w:w="10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1.19</w:t>
            </w:r>
          </w:p>
        </w:tc>
        <w:tc>
          <w:tcPr>
            <w:tcW w:w="80" w:type="dxa"/>
            <w:vAlign w:val="bottom"/>
          </w:tcPr>
          <w:p>
            <w:pPr>
              <w:spacing w:after="0"/>
              <w:rPr>
                <w:sz w:val="12"/>
                <w:szCs w:val="12"/>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2"/>
                <w:szCs w:val="12"/>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2"/>
                <w:szCs w:val="12"/>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tcPr>
          <w:p>
            <w:pPr>
              <w:spacing w:after="0"/>
              <w:rPr>
                <w:sz w:val="12"/>
                <w:szCs w:val="12"/>
                <w:color w:val="auto"/>
              </w:rPr>
            </w:pPr>
          </w:p>
        </w:tc>
        <w:tc>
          <w:tcPr>
            <w:tcW w:w="820" w:type="dxa"/>
            <w:vAlign w:val="bottom"/>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46"/>
        </w:trPr>
        <w:tc>
          <w:tcPr>
            <w:tcW w:w="3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112</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1"/>
                <w:szCs w:val="11"/>
                <w:color w:val="auto"/>
              </w:rPr>
              <w:t>N/A</w:t>
            </w:r>
          </w:p>
        </w:tc>
        <w:tc>
          <w:tcPr>
            <w:tcW w:w="1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31"/>
        </w:trPr>
        <w:tc>
          <w:tcPr>
            <w:tcW w:w="3740" w:type="dxa"/>
            <w:vAlign w:val="bottom"/>
            <w:tcBorders>
              <w:bottom w:val="single" w:sz="8" w:color="CCEEFF"/>
            </w:tcBorders>
            <w:gridSpan w:val="4"/>
          </w:tcPr>
          <w:p>
            <w:pPr>
              <w:spacing w:after="0" w:line="121" w:lineRule="exact"/>
              <w:rPr>
                <w:sz w:val="20"/>
                <w:szCs w:val="20"/>
                <w:color w:val="auto"/>
              </w:rPr>
            </w:pPr>
            <w:r>
              <w:rPr>
                <w:rFonts w:ascii="Times New Roman" w:cs="Times New Roman" w:eastAsia="Times New Roman" w:hAnsi="Times New Roman"/>
                <w:sz w:val="11"/>
                <w:szCs w:val="11"/>
                <w:color w:val="auto"/>
              </w:rPr>
              <w:t>Total commercial banking</w:t>
            </w: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161</w:t>
            </w: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CCEEFF"/>
            </w:tcBorders>
            <w:gridSpan w:val="2"/>
          </w:tcPr>
          <w:p>
            <w:pPr>
              <w:jc w:val="right"/>
              <w:ind w:right="90"/>
              <w:spacing w:after="0" w:line="121" w:lineRule="exact"/>
              <w:rPr>
                <w:sz w:val="20"/>
                <w:szCs w:val="20"/>
                <w:color w:val="auto"/>
              </w:rPr>
            </w:pPr>
            <w:r>
              <w:rPr>
                <w:rFonts w:ascii="Times New Roman" w:cs="Times New Roman" w:eastAsia="Times New Roman" w:hAnsi="Times New Roman"/>
                <w:sz w:val="11"/>
                <w:szCs w:val="11"/>
                <w:color w:val="auto"/>
              </w:rPr>
              <w:t>6</w:t>
            </w:r>
          </w:p>
        </w:tc>
        <w:tc>
          <w:tcPr>
            <w:tcW w:w="16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jc w:val="right"/>
              <w:ind w:right="87"/>
              <w:spacing w:after="0" w:line="121" w:lineRule="exact"/>
              <w:rPr>
                <w:sz w:val="20"/>
                <w:szCs w:val="20"/>
                <w:color w:val="auto"/>
              </w:rPr>
            </w:pPr>
            <w:r>
              <w:rPr>
                <w:rFonts w:ascii="Times New Roman" w:cs="Times New Roman" w:eastAsia="Times New Roman" w:hAnsi="Times New Roman"/>
                <w:sz w:val="11"/>
                <w:szCs w:val="11"/>
                <w:color w:val="auto"/>
              </w:rPr>
              <w:t>1.19</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780"/>
              <w:spacing w:after="0" w:line="121" w:lineRule="exact"/>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107"/>
              <w:spacing w:after="0" w:line="121" w:lineRule="exact"/>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gridSpan w:val="2"/>
          </w:tcPr>
          <w:p>
            <w:pPr>
              <w:ind w:left="700"/>
              <w:spacing w:after="0" w:line="121" w:lineRule="exact"/>
              <w:rPr>
                <w:sz w:val="20"/>
                <w:szCs w:val="20"/>
                <w:color w:val="auto"/>
              </w:rPr>
            </w:pPr>
            <w:r>
              <w:rPr>
                <w:rFonts w:ascii="Times New Roman" w:cs="Times New Roman" w:eastAsia="Times New Roman" w:hAnsi="Times New Roman"/>
                <w:sz w:val="11"/>
                <w:szCs w:val="11"/>
                <w:color w:val="auto"/>
              </w:rPr>
              <w:t>N/A</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jc w:val="center"/>
              <w:ind w:left="268"/>
              <w:spacing w:after="0" w:line="121" w:lineRule="exact"/>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53"/>
        </w:trPr>
        <w:tc>
          <w:tcPr>
            <w:tcW w:w="3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812</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0"/>
                <w:szCs w:val="10"/>
                <w:b w:val="1"/>
                <w:bCs w:val="1"/>
                <w:color w:val="auto"/>
              </w:rPr>
              <w:t>Year Ended December 31, 2020</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tcBorders>
              <w:bottom w:val="single" w:sz="8" w:color="auto"/>
            </w:tcBorders>
            <w:gridSpan w:val="3"/>
          </w:tcPr>
          <w:p>
            <w:pPr>
              <w:jc w:val="right"/>
              <w:ind w:right="607"/>
              <w:spacing w:after="0"/>
              <w:rPr>
                <w:sz w:val="20"/>
                <w:szCs w:val="20"/>
                <w:color w:val="auto"/>
              </w:rPr>
            </w:pPr>
            <w:r>
              <w:rPr>
                <w:rFonts w:ascii="Times New Roman" w:cs="Times New Roman" w:eastAsia="Times New Roman" w:hAnsi="Times New Roman"/>
                <w:sz w:val="10"/>
                <w:szCs w:val="10"/>
                <w:b w:val="1"/>
                <w:bCs w:val="1"/>
                <w:color w:val="auto"/>
              </w:rPr>
              <w:t>Reduced Interest Rate</w:t>
            </w:r>
          </w:p>
        </w:tc>
        <w:tc>
          <w:tcPr>
            <w:tcW w:w="80" w:type="dxa"/>
            <w:vAlign w:val="bottom"/>
          </w:tcPr>
          <w:p>
            <w:pPr>
              <w:spacing w:after="0"/>
              <w:rPr>
                <w:sz w:val="10"/>
                <w:szCs w:val="10"/>
                <w:color w:val="auto"/>
              </w:rPr>
            </w:pPr>
          </w:p>
        </w:tc>
        <w:tc>
          <w:tcPr>
            <w:tcW w:w="20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0"/>
                <w:szCs w:val="10"/>
                <w:b w:val="1"/>
                <w:bCs w:val="1"/>
                <w:color w:val="auto"/>
              </w:rPr>
              <w:t>Term Extension</w:t>
            </w:r>
          </w:p>
        </w:tc>
        <w:tc>
          <w:tcPr>
            <w:tcW w:w="80" w:type="dxa"/>
            <w:vAlign w:val="bottom"/>
          </w:tcPr>
          <w:p>
            <w:pPr>
              <w:spacing w:after="0"/>
              <w:rPr>
                <w:sz w:val="10"/>
                <w:szCs w:val="10"/>
                <w:color w:val="auto"/>
              </w:rPr>
            </w:pPr>
          </w:p>
        </w:tc>
        <w:tc>
          <w:tcPr>
            <w:tcW w:w="20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0"/>
                <w:szCs w:val="10"/>
                <w:b w:val="1"/>
                <w:bCs w:val="1"/>
                <w:color w:val="auto"/>
              </w:rPr>
              <w:t>Balance Reduction</w:t>
            </w:r>
          </w:p>
        </w:tc>
        <w:tc>
          <w:tcPr>
            <w:tcW w:w="0" w:type="dxa"/>
            <w:vAlign w:val="bottom"/>
          </w:tcPr>
          <w:p>
            <w:pPr>
              <w:spacing w:after="0"/>
              <w:rPr>
                <w:sz w:val="1"/>
                <w:szCs w:val="1"/>
                <w:color w:val="auto"/>
              </w:rPr>
            </w:pPr>
          </w:p>
        </w:tc>
      </w:tr>
      <w:tr>
        <w:trPr>
          <w:trHeight w:val="89"/>
        </w:trPr>
        <w:tc>
          <w:tcPr>
            <w:tcW w:w="374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40" w:type="dxa"/>
            <w:vAlign w:val="bottom"/>
          </w:tcPr>
          <w:p>
            <w:pPr>
              <w:spacing w:after="0"/>
              <w:rPr>
                <w:sz w:val="7"/>
                <w:szCs w:val="7"/>
                <w:color w:val="auto"/>
              </w:rPr>
            </w:pPr>
          </w:p>
        </w:tc>
        <w:tc>
          <w:tcPr>
            <w:tcW w:w="800" w:type="dxa"/>
            <w:vAlign w:val="bottom"/>
            <w:gridSpan w:val="2"/>
          </w:tcPr>
          <w:p>
            <w:pPr>
              <w:jc w:val="center"/>
              <w:ind w:right="180"/>
              <w:spacing w:after="0" w:line="89" w:lineRule="exact"/>
              <w:rPr>
                <w:sz w:val="20"/>
                <w:szCs w:val="20"/>
                <w:color w:val="auto"/>
              </w:rPr>
            </w:pPr>
            <w:r>
              <w:rPr>
                <w:rFonts w:ascii="Times New Roman" w:cs="Times New Roman" w:eastAsia="Times New Roman" w:hAnsi="Times New Roman"/>
                <w:sz w:val="10"/>
                <w:szCs w:val="10"/>
                <w:b w:val="1"/>
                <w:bCs w:val="1"/>
                <w:color w:val="auto"/>
                <w:w w:val="97"/>
              </w:rPr>
              <w:t>Total Loans</w:t>
            </w:r>
          </w:p>
        </w:tc>
        <w:tc>
          <w:tcPr>
            <w:tcW w:w="80" w:type="dxa"/>
            <w:vAlign w:val="bottom"/>
          </w:tcPr>
          <w:p>
            <w:pPr>
              <w:spacing w:after="0"/>
              <w:rPr>
                <w:sz w:val="7"/>
                <w:szCs w:val="7"/>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 of TDR Activity</w:t>
            </w:r>
            <w:r>
              <w:rPr>
                <w:rFonts w:ascii="Times New Roman" w:cs="Times New Roman" w:eastAsia="Times New Roman" w:hAnsi="Times New Roman"/>
                <w:sz w:val="12"/>
                <w:szCs w:val="12"/>
                <w:b w:val="1"/>
                <w:bCs w:val="1"/>
                <w:color w:val="auto"/>
                <w:vertAlign w:val="superscript"/>
              </w:rPr>
              <w:t>(2)</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Average Rate Reduction</w:t>
            </w: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 of TDR Activity</w:t>
            </w:r>
            <w:r>
              <w:rPr>
                <w:rFonts w:ascii="Times New Roman" w:cs="Times New Roman" w:eastAsia="Times New Roman" w:hAnsi="Times New Roman"/>
                <w:sz w:val="12"/>
                <w:szCs w:val="12"/>
                <w:b w:val="1"/>
                <w:bCs w:val="1"/>
                <w:color w:val="auto"/>
                <w:vertAlign w:val="superscript"/>
              </w:rPr>
              <w:t>(2)</w:t>
            </w:r>
          </w:p>
        </w:tc>
        <w:tc>
          <w:tcPr>
            <w:tcW w:w="94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3"/>
              </w:rPr>
              <w:t>Average Term</w:t>
            </w:r>
          </w:p>
        </w:tc>
        <w:tc>
          <w:tcPr>
            <w:tcW w:w="80" w:type="dxa"/>
            <w:vAlign w:val="bottom"/>
          </w:tcPr>
          <w:p>
            <w:pPr>
              <w:spacing w:after="0"/>
              <w:rPr>
                <w:sz w:val="7"/>
                <w:szCs w:val="7"/>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 of TDR Activity</w:t>
            </w:r>
            <w:r>
              <w:rPr>
                <w:rFonts w:ascii="Times New Roman" w:cs="Times New Roman" w:eastAsia="Times New Roman" w:hAnsi="Times New Roman"/>
                <w:sz w:val="12"/>
                <w:szCs w:val="12"/>
                <w:b w:val="1"/>
                <w:bCs w:val="1"/>
                <w:color w:val="auto"/>
                <w:w w:val="93"/>
                <w:vertAlign w:val="superscript"/>
              </w:rPr>
              <w:t>(2)</w:t>
            </w:r>
          </w:p>
        </w:tc>
        <w:tc>
          <w:tcPr>
            <w:tcW w:w="120" w:type="dxa"/>
            <w:vAlign w:val="bottom"/>
          </w:tcPr>
          <w:p>
            <w:pPr>
              <w:spacing w:after="0"/>
              <w:rPr>
                <w:sz w:val="7"/>
                <w:szCs w:val="7"/>
                <w:color w:val="auto"/>
              </w:rPr>
            </w:pPr>
          </w:p>
        </w:tc>
        <w:tc>
          <w:tcPr>
            <w:tcW w:w="820" w:type="dxa"/>
            <w:vAlign w:val="bottom"/>
          </w:tcPr>
          <w:p>
            <w:pPr>
              <w:jc w:val="center"/>
              <w:ind w:right="68"/>
              <w:spacing w:after="0" w:line="89" w:lineRule="exact"/>
              <w:rPr>
                <w:sz w:val="20"/>
                <w:szCs w:val="20"/>
                <w:color w:val="auto"/>
              </w:rPr>
            </w:pPr>
            <w:r>
              <w:rPr>
                <w:rFonts w:ascii="Times New Roman" w:cs="Times New Roman" w:eastAsia="Times New Roman" w:hAnsi="Times New Roman"/>
                <w:sz w:val="10"/>
                <w:szCs w:val="10"/>
                <w:b w:val="1"/>
                <w:bCs w:val="1"/>
                <w:color w:val="auto"/>
                <w:w w:val="94"/>
              </w:rPr>
              <w:t>Gross Balance</w:t>
            </w:r>
          </w:p>
        </w:tc>
        <w:tc>
          <w:tcPr>
            <w:tcW w:w="0" w:type="dxa"/>
            <w:vAlign w:val="bottom"/>
          </w:tcPr>
          <w:p>
            <w:pPr>
              <w:spacing w:after="0"/>
              <w:rPr>
                <w:sz w:val="1"/>
                <w:szCs w:val="1"/>
                <w:color w:val="auto"/>
              </w:rPr>
            </w:pPr>
          </w:p>
        </w:tc>
      </w:tr>
      <w:tr>
        <w:trPr>
          <w:trHeight w:val="135"/>
        </w:trPr>
        <w:tc>
          <w:tcPr>
            <w:tcW w:w="37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Modified</w:t>
            </w:r>
            <w:r>
              <w:rPr>
                <w:rFonts w:ascii="Times New Roman" w:cs="Times New Roman" w:eastAsia="Times New Roman" w:hAnsi="Times New Roman"/>
                <w:sz w:val="6"/>
                <w:szCs w:val="6"/>
                <w:b w:val="1"/>
                <w:bCs w:val="1"/>
                <w:color w:val="auto"/>
              </w:rPr>
              <w:t>(1)</w:t>
            </w:r>
          </w:p>
        </w:tc>
        <w:tc>
          <w:tcPr>
            <w:tcW w:w="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Extension (Months)</w:t>
            </w: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w w:val="95"/>
              </w:rPr>
              <w:t>Reduction</w:t>
            </w:r>
          </w:p>
        </w:tc>
        <w:tc>
          <w:tcPr>
            <w:tcW w:w="0" w:type="dxa"/>
            <w:vAlign w:val="bottom"/>
          </w:tcPr>
          <w:p>
            <w:pPr>
              <w:spacing w:after="0"/>
              <w:rPr>
                <w:sz w:val="1"/>
                <w:szCs w:val="1"/>
                <w:color w:val="auto"/>
              </w:rPr>
            </w:pPr>
          </w:p>
        </w:tc>
      </w:tr>
      <w:tr>
        <w:trPr>
          <w:trHeight w:val="133"/>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Domestic credit card</w:t>
            </w:r>
          </w:p>
        </w:tc>
        <w:tc>
          <w:tcPr>
            <w:tcW w:w="140" w:type="dxa"/>
            <w:vAlign w:val="bottom"/>
          </w:tcPr>
          <w:p>
            <w:pPr>
              <w:jc w:val="right"/>
              <w:ind w:right="60"/>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243</w:t>
            </w:r>
          </w:p>
        </w:tc>
        <w:tc>
          <w:tcPr>
            <w:tcW w:w="2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15.94 %</w:t>
            </w:r>
          </w:p>
        </w:tc>
        <w:tc>
          <w:tcPr>
            <w:tcW w:w="80" w:type="dxa"/>
            <w:vAlign w:val="bottom"/>
          </w:tcPr>
          <w:p>
            <w:pPr>
              <w:spacing w:after="0"/>
              <w:rPr>
                <w:sz w:val="12"/>
                <w:szCs w:val="12"/>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N/A</w:t>
            </w: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tcPr>
          <w:p>
            <w:pPr>
              <w:spacing w:after="0"/>
              <w:rPr>
                <w:sz w:val="12"/>
                <w:szCs w:val="12"/>
                <w:color w:val="auto"/>
              </w:rPr>
            </w:pPr>
          </w:p>
        </w:tc>
        <w:tc>
          <w:tcPr>
            <w:tcW w:w="820" w:type="dxa"/>
            <w:vAlign w:val="bottom"/>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46"/>
        </w:trPr>
        <w:tc>
          <w:tcPr>
            <w:tcW w:w="3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card businesses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168</w:t>
            </w:r>
          </w:p>
        </w:tc>
        <w:tc>
          <w:tcPr>
            <w:tcW w:w="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1"/>
                <w:szCs w:val="11"/>
                <w:color w:val="auto"/>
              </w:rPr>
              <w:t>100</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27.38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N/A</w:t>
            </w: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31"/>
        </w:trPr>
        <w:tc>
          <w:tcPr>
            <w:tcW w:w="3720" w:type="dxa"/>
            <w:vAlign w:val="bottom"/>
            <w:tcBorders>
              <w:bottom w:val="single" w:sz="8" w:color="CCEEFF"/>
            </w:tcBorders>
            <w:gridSpan w:val="3"/>
          </w:tcPr>
          <w:p>
            <w:pPr>
              <w:spacing w:after="0" w:line="121" w:lineRule="exact"/>
              <w:rPr>
                <w:sz w:val="20"/>
                <w:szCs w:val="20"/>
                <w:color w:val="auto"/>
              </w:rPr>
            </w:pPr>
            <w:r>
              <w:rPr>
                <w:rFonts w:ascii="Times New Roman" w:cs="Times New Roman" w:eastAsia="Times New Roman" w:hAnsi="Times New Roman"/>
                <w:sz w:val="11"/>
                <w:szCs w:val="11"/>
                <w:color w:val="auto"/>
              </w:rPr>
              <w:t>Total credit card</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411</w:t>
            </w:r>
          </w:p>
        </w:tc>
        <w:tc>
          <w:tcPr>
            <w:tcW w:w="2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gridSpan w:val="2"/>
          </w:tcPr>
          <w:p>
            <w:pPr>
              <w:jc w:val="right"/>
              <w:ind w:right="70"/>
              <w:spacing w:after="0" w:line="121" w:lineRule="exact"/>
              <w:rPr>
                <w:sz w:val="20"/>
                <w:szCs w:val="20"/>
                <w:color w:val="auto"/>
              </w:rPr>
            </w:pPr>
            <w:r>
              <w:rPr>
                <w:rFonts w:ascii="Times New Roman" w:cs="Times New Roman" w:eastAsia="Times New Roman" w:hAnsi="Times New Roman"/>
                <w:sz w:val="11"/>
                <w:szCs w:val="11"/>
                <w:color w:val="auto"/>
              </w:rPr>
              <w:t>100</w:t>
            </w:r>
          </w:p>
        </w:tc>
        <w:tc>
          <w:tcPr>
            <w:tcW w:w="16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jc w:val="right"/>
              <w:ind w:right="87"/>
              <w:spacing w:after="0" w:line="121" w:lineRule="exact"/>
              <w:rPr>
                <w:sz w:val="20"/>
                <w:szCs w:val="20"/>
                <w:color w:val="auto"/>
              </w:rPr>
            </w:pPr>
            <w:r>
              <w:rPr>
                <w:rFonts w:ascii="Times New Roman" w:cs="Times New Roman" w:eastAsia="Times New Roman" w:hAnsi="Times New Roman"/>
                <w:sz w:val="11"/>
                <w:szCs w:val="11"/>
                <w:color w:val="auto"/>
              </w:rPr>
              <w:t>20.61</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gridSpan w:val="2"/>
          </w:tcPr>
          <w:p>
            <w:pPr>
              <w:ind w:left="700"/>
              <w:spacing w:after="0" w:line="121" w:lineRule="exact"/>
              <w:rPr>
                <w:sz w:val="20"/>
                <w:szCs w:val="20"/>
                <w:color w:val="auto"/>
              </w:rPr>
            </w:pPr>
            <w:r>
              <w:rPr>
                <w:rFonts w:ascii="Times New Roman" w:cs="Times New Roman" w:eastAsia="Times New Roman" w:hAnsi="Times New Roman"/>
                <w:sz w:val="11"/>
                <w:szCs w:val="11"/>
                <w:color w:val="auto"/>
              </w:rPr>
              <w:t>N/A</w:t>
            </w:r>
          </w:p>
        </w:tc>
        <w:tc>
          <w:tcPr>
            <w:tcW w:w="1020" w:type="dxa"/>
            <w:vAlign w:val="bottom"/>
            <w:tcBorders>
              <w:bottom w:val="single" w:sz="8" w:color="CCEEFF"/>
            </w:tcBorders>
            <w:gridSpan w:val="2"/>
          </w:tcPr>
          <w:p>
            <w:pPr>
              <w:ind w:left="600"/>
              <w:spacing w:after="0" w:line="121" w:lineRule="exact"/>
              <w:rPr>
                <w:sz w:val="20"/>
                <w:szCs w:val="20"/>
                <w:color w:val="auto"/>
              </w:rPr>
            </w:pPr>
            <w:r>
              <w:rPr>
                <w:rFonts w:ascii="Times New Roman" w:cs="Times New Roman" w:eastAsia="Times New Roman" w:hAnsi="Times New Roman"/>
                <w:sz w:val="11"/>
                <w:szCs w:val="11"/>
                <w:color w:val="auto"/>
              </w:rPr>
              <w:t>N/A</w:t>
            </w:r>
          </w:p>
        </w:tc>
        <w:tc>
          <w:tcPr>
            <w:tcW w:w="1140" w:type="dxa"/>
            <w:vAlign w:val="bottom"/>
            <w:tcBorders>
              <w:bottom w:val="single" w:sz="8" w:color="CCEEFF"/>
            </w:tcBorders>
            <w:gridSpan w:val="2"/>
          </w:tcPr>
          <w:p>
            <w:pPr>
              <w:ind w:left="700"/>
              <w:spacing w:after="0" w:line="121" w:lineRule="exact"/>
              <w:rPr>
                <w:sz w:val="20"/>
                <w:szCs w:val="20"/>
                <w:color w:val="auto"/>
              </w:rPr>
            </w:pPr>
            <w:r>
              <w:rPr>
                <w:rFonts w:ascii="Times New Roman" w:cs="Times New Roman" w:eastAsia="Times New Roman" w:hAnsi="Times New Roman"/>
                <w:sz w:val="11"/>
                <w:szCs w:val="11"/>
                <w:color w:val="auto"/>
              </w:rPr>
              <w:t>N/A</w:t>
            </w: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jc w:val="center"/>
              <w:ind w:left="268"/>
              <w:spacing w:after="0" w:line="121" w:lineRule="exact"/>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26"/>
        </w:trPr>
        <w:tc>
          <w:tcPr>
            <w:tcW w:w="372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Consumer Banking:</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7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140" w:type="dxa"/>
            <w:vAlign w:val="bottom"/>
          </w:tcPr>
          <w:p>
            <w:pPr>
              <w:spacing w:after="0"/>
              <w:rPr>
                <w:sz w:val="12"/>
                <w:szCs w:val="12"/>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536</w:t>
            </w:r>
          </w:p>
        </w:tc>
        <w:tc>
          <w:tcPr>
            <w:tcW w:w="20" w:type="dxa"/>
            <w:vAlign w:val="bottom"/>
          </w:tcPr>
          <w:p>
            <w:pPr>
              <w:spacing w:after="0"/>
              <w:rPr>
                <w:sz w:val="12"/>
                <w:szCs w:val="12"/>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tcPr>
          <w:p>
            <w:pPr>
              <w:spacing w:after="0"/>
              <w:rPr>
                <w:sz w:val="12"/>
                <w:szCs w:val="12"/>
                <w:color w:val="auto"/>
              </w:rPr>
            </w:pPr>
          </w:p>
        </w:tc>
        <w:tc>
          <w:tcPr>
            <w:tcW w:w="10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5.68</w:t>
            </w:r>
          </w:p>
        </w:tc>
        <w:tc>
          <w:tcPr>
            <w:tcW w:w="80" w:type="dxa"/>
            <w:vAlign w:val="bottom"/>
          </w:tcPr>
          <w:p>
            <w:pPr>
              <w:spacing w:after="0"/>
              <w:rPr>
                <w:sz w:val="12"/>
                <w:szCs w:val="12"/>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95 %</w:t>
            </w:r>
          </w:p>
        </w:tc>
        <w:tc>
          <w:tcPr>
            <w:tcW w:w="100" w:type="dxa"/>
            <w:vAlign w:val="bottom"/>
          </w:tcPr>
          <w:p>
            <w:pPr>
              <w:spacing w:after="0"/>
              <w:rPr>
                <w:sz w:val="12"/>
                <w:szCs w:val="12"/>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1"/>
                <w:szCs w:val="11"/>
                <w:color w:val="auto"/>
                <w:w w:val="91"/>
              </w:rPr>
              <w:t>0 %</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6"/>
        </w:trPr>
        <w:tc>
          <w:tcPr>
            <w:tcW w:w="3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5</w:t>
            </w:r>
          </w:p>
        </w:tc>
        <w:tc>
          <w:tcPr>
            <w:tcW w:w="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10.86</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31"/>
        </w:trPr>
        <w:tc>
          <w:tcPr>
            <w:tcW w:w="3720" w:type="dxa"/>
            <w:vAlign w:val="bottom"/>
            <w:tcBorders>
              <w:bottom w:val="single" w:sz="8" w:color="CCEEFF"/>
            </w:tcBorders>
            <w:gridSpan w:val="3"/>
          </w:tcPr>
          <w:p>
            <w:pPr>
              <w:spacing w:after="0" w:line="121" w:lineRule="exact"/>
              <w:rPr>
                <w:sz w:val="20"/>
                <w:szCs w:val="20"/>
                <w:color w:val="auto"/>
              </w:rPr>
            </w:pPr>
            <w:r>
              <w:rPr>
                <w:rFonts w:ascii="Times New Roman" w:cs="Times New Roman" w:eastAsia="Times New Roman" w:hAnsi="Times New Roman"/>
                <w:sz w:val="11"/>
                <w:szCs w:val="11"/>
                <w:color w:val="auto"/>
              </w:rPr>
              <w:t>Total consumer banking</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541</w:t>
            </w:r>
          </w:p>
        </w:tc>
        <w:tc>
          <w:tcPr>
            <w:tcW w:w="2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gridSpan w:val="2"/>
          </w:tcPr>
          <w:p>
            <w:pPr>
              <w:jc w:val="right"/>
              <w:ind w:right="70"/>
              <w:spacing w:after="0" w:line="121" w:lineRule="exact"/>
              <w:rPr>
                <w:sz w:val="20"/>
                <w:szCs w:val="20"/>
                <w:color w:val="auto"/>
              </w:rPr>
            </w:pPr>
            <w:r>
              <w:rPr>
                <w:rFonts w:ascii="Times New Roman" w:cs="Times New Roman" w:eastAsia="Times New Roman" w:hAnsi="Times New Roman"/>
                <w:sz w:val="11"/>
                <w:szCs w:val="11"/>
                <w:color w:val="auto"/>
              </w:rPr>
              <w:t>11</w:t>
            </w:r>
          </w:p>
        </w:tc>
        <w:tc>
          <w:tcPr>
            <w:tcW w:w="16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jc w:val="right"/>
              <w:ind w:right="87"/>
              <w:spacing w:after="0" w:line="121" w:lineRule="exact"/>
              <w:rPr>
                <w:sz w:val="20"/>
                <w:szCs w:val="20"/>
                <w:color w:val="auto"/>
              </w:rPr>
            </w:pPr>
            <w:r>
              <w:rPr>
                <w:rFonts w:ascii="Times New Roman" w:cs="Times New Roman" w:eastAsia="Times New Roman" w:hAnsi="Times New Roman"/>
                <w:sz w:val="11"/>
                <w:szCs w:val="11"/>
                <w:color w:val="auto"/>
              </w:rPr>
              <w:t>5.73</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780"/>
              <w:spacing w:after="0" w:line="121" w:lineRule="exact"/>
              <w:rPr>
                <w:sz w:val="20"/>
                <w:szCs w:val="20"/>
                <w:color w:val="auto"/>
              </w:rPr>
            </w:pPr>
            <w:r>
              <w:rPr>
                <w:rFonts w:ascii="Times New Roman" w:cs="Times New Roman" w:eastAsia="Times New Roman" w:hAnsi="Times New Roman"/>
                <w:sz w:val="11"/>
                <w:szCs w:val="11"/>
                <w:color w:val="auto"/>
              </w:rPr>
              <w:t>94</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107"/>
              <w:spacing w:after="0" w:line="121"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860"/>
              <w:spacing w:after="0" w:line="121"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jc w:val="right"/>
              <w:ind w:right="28"/>
              <w:spacing w:after="0" w:line="121"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26"/>
        </w:trPr>
        <w:tc>
          <w:tcPr>
            <w:tcW w:w="372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Commercial Banking:</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740" w:type="dxa"/>
            <w:vAlign w:val="bottom"/>
            <w:gridSpan w:val="4"/>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140" w:type="dxa"/>
            <w:vAlign w:val="bottom"/>
          </w:tcPr>
          <w:p>
            <w:pPr>
              <w:spacing w:after="0"/>
              <w:rPr>
                <w:sz w:val="12"/>
                <w:szCs w:val="12"/>
                <w:color w:val="auto"/>
              </w:rPr>
            </w:pPr>
          </w:p>
        </w:tc>
        <w:tc>
          <w:tcPr>
            <w:tcW w:w="7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98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N/A</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ind w:left="780"/>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2"/>
                <w:szCs w:val="12"/>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14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N/A</w:t>
            </w:r>
          </w:p>
        </w:tc>
        <w:tc>
          <w:tcPr>
            <w:tcW w:w="120" w:type="dxa"/>
            <w:vAlign w:val="bottom"/>
          </w:tcPr>
          <w:p>
            <w:pPr>
              <w:spacing w:after="0"/>
              <w:rPr>
                <w:sz w:val="12"/>
                <w:szCs w:val="12"/>
                <w:color w:val="auto"/>
              </w:rPr>
            </w:pPr>
          </w:p>
        </w:tc>
        <w:tc>
          <w:tcPr>
            <w:tcW w:w="820" w:type="dxa"/>
            <w:vAlign w:val="bottom"/>
          </w:tcPr>
          <w:p>
            <w:pPr>
              <w:jc w:val="center"/>
              <w:ind w:left="268"/>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46"/>
        </w:trPr>
        <w:tc>
          <w:tcPr>
            <w:tcW w:w="37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439</w:t>
            </w:r>
          </w:p>
        </w:tc>
        <w:tc>
          <w:tcPr>
            <w:tcW w:w="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0.14</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31"/>
        </w:trPr>
        <w:tc>
          <w:tcPr>
            <w:tcW w:w="3720" w:type="dxa"/>
            <w:vAlign w:val="bottom"/>
            <w:tcBorders>
              <w:bottom w:val="single" w:sz="8" w:color="CCEEFF"/>
            </w:tcBorders>
            <w:gridSpan w:val="3"/>
          </w:tcPr>
          <w:p>
            <w:pPr>
              <w:spacing w:after="0" w:line="121" w:lineRule="exact"/>
              <w:rPr>
                <w:sz w:val="20"/>
                <w:szCs w:val="20"/>
                <w:color w:val="auto"/>
              </w:rPr>
            </w:pPr>
            <w:r>
              <w:rPr>
                <w:rFonts w:ascii="Times New Roman" w:cs="Times New Roman" w:eastAsia="Times New Roman" w:hAnsi="Times New Roman"/>
                <w:sz w:val="11"/>
                <w:szCs w:val="11"/>
                <w:color w:val="auto"/>
              </w:rPr>
              <w:t>Total commercial banking</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537</w:t>
            </w:r>
          </w:p>
        </w:tc>
        <w:tc>
          <w:tcPr>
            <w:tcW w:w="2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gridSpan w:val="2"/>
          </w:tcPr>
          <w:p>
            <w:pPr>
              <w:jc w:val="right"/>
              <w:ind w:right="90"/>
              <w:spacing w:after="0" w:line="121" w:lineRule="exact"/>
              <w:rPr>
                <w:sz w:val="20"/>
                <w:szCs w:val="20"/>
                <w:color w:val="auto"/>
              </w:rPr>
            </w:pPr>
            <w:r>
              <w:rPr>
                <w:rFonts w:ascii="Times New Roman" w:cs="Times New Roman" w:eastAsia="Times New Roman" w:hAnsi="Times New Roman"/>
                <w:sz w:val="11"/>
                <w:szCs w:val="11"/>
                <w:color w:val="auto"/>
              </w:rPr>
              <w:t>3</w:t>
            </w:r>
          </w:p>
        </w:tc>
        <w:tc>
          <w:tcPr>
            <w:tcW w:w="16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jc w:val="right"/>
              <w:ind w:right="87"/>
              <w:spacing w:after="0" w:line="121" w:lineRule="exact"/>
              <w:rPr>
                <w:sz w:val="20"/>
                <w:szCs w:val="20"/>
                <w:color w:val="auto"/>
              </w:rPr>
            </w:pPr>
            <w:r>
              <w:rPr>
                <w:rFonts w:ascii="Times New Roman" w:cs="Times New Roman" w:eastAsia="Times New Roman" w:hAnsi="Times New Roman"/>
                <w:sz w:val="11"/>
                <w:szCs w:val="11"/>
                <w:color w:val="auto"/>
              </w:rPr>
              <w:t>0.14</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780"/>
              <w:spacing w:after="0" w:line="121" w:lineRule="exact"/>
              <w:rPr>
                <w:sz w:val="20"/>
                <w:szCs w:val="20"/>
                <w:color w:val="auto"/>
              </w:rPr>
            </w:pPr>
            <w:r>
              <w:rPr>
                <w:rFonts w:ascii="Times New Roman" w:cs="Times New Roman" w:eastAsia="Times New Roman" w:hAnsi="Times New Roman"/>
                <w:sz w:val="11"/>
                <w:szCs w:val="11"/>
                <w:color w:val="auto"/>
              </w:rPr>
              <w:t>58</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jc w:val="right"/>
              <w:ind w:right="107"/>
              <w:spacing w:after="0" w:line="121" w:lineRule="exact"/>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ind w:left="860"/>
              <w:spacing w:after="0" w:line="121" w:lineRule="exact"/>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jc w:val="right"/>
              <w:ind w:right="28"/>
              <w:spacing w:after="0" w:line="121" w:lineRule="exact"/>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1"/>
        </w:trPr>
        <w:tc>
          <w:tcPr>
            <w:tcW w:w="3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1,489</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110" w:lineRule="exact"/>
        <w:rPr>
          <w:sz w:val="20"/>
          <w:szCs w:val="20"/>
          <w:color w:val="auto"/>
        </w:rPr>
      </w:pPr>
    </w:p>
    <w:p>
      <w:pPr>
        <w:ind w:left="208" w:hanging="208"/>
        <w:spacing w:after="0" w:line="261" w:lineRule="auto"/>
        <w:tabs>
          <w:tab w:leader="none" w:pos="200" w:val="left"/>
        </w:tabs>
        <w:numPr>
          <w:ilvl w:val="0"/>
          <w:numId w:val="7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the amortized cost of total loans modified in TDR at the end of the period in which they were modified. As not every modification type is included in the table above, the total percentage of TDR activity may not add up to 100%. Some loans may receive more than one type of modification.</w:t>
      </w:r>
    </w:p>
    <w:p>
      <w:pPr>
        <w:spacing w:after="0" w:line="5"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7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Due to multiple modification types granted to some troubled borrowers, percentages may total more than 100% for certain loan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149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Subsequent Defaults of Completed TDR Modifications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type, number and amortized cost of loans modified in a TDR that experienced a default during the period and had completed a modification event in the twelve months prior to the default. A default occurs if the loan is either 90 days or more delinquent, has been charged off as of the end of the period presented or has been reclassified from accrual to nonaccrual status.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3.7: TDR—Subsequent Defaults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23"/>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2021</w:t>
            </w: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2020</w:t>
            </w:r>
          </w:p>
        </w:tc>
        <w:tc>
          <w:tcPr>
            <w:tcW w:w="820" w:type="dxa"/>
            <w:vAlign w:val="bottom"/>
            <w:tcBorders>
              <w:bottom w:val="single" w:sz="8" w:color="auto"/>
            </w:tcBorders>
          </w:tcPr>
          <w:p>
            <w:pPr>
              <w:spacing w:after="0"/>
              <w:rPr>
                <w:sz w:val="10"/>
                <w:szCs w:val="10"/>
                <w:color w:val="auto"/>
              </w:rPr>
            </w:pPr>
          </w:p>
        </w:tc>
      </w:tr>
      <w:tr>
        <w:trPr>
          <w:trHeight w:val="129"/>
        </w:trPr>
        <w:tc>
          <w:tcPr>
            <w:tcW w:w="47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Number of Contracts</w:t>
            </w:r>
          </w:p>
        </w:tc>
        <w:tc>
          <w:tcPr>
            <w:tcW w:w="220" w:type="dxa"/>
            <w:vAlign w:val="bottom"/>
          </w:tcPr>
          <w:p>
            <w:pPr>
              <w:spacing w:after="0"/>
              <w:rPr>
                <w:sz w:val="11"/>
                <w:szCs w:val="11"/>
                <w:color w:val="auto"/>
              </w:rPr>
            </w:pP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Number of Contracts</w:t>
            </w:r>
          </w:p>
        </w:tc>
        <w:tc>
          <w:tcPr>
            <w:tcW w:w="200" w:type="dxa"/>
            <w:vAlign w:val="bottom"/>
          </w:tcPr>
          <w:p>
            <w:pPr>
              <w:spacing w:after="0"/>
              <w:rPr>
                <w:sz w:val="11"/>
                <w:szCs w:val="11"/>
                <w:color w:val="auto"/>
              </w:rPr>
            </w:pPr>
          </w:p>
        </w:tc>
        <w:tc>
          <w:tcPr>
            <w:tcW w:w="82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Number of Contracts</w:t>
            </w:r>
          </w:p>
        </w:tc>
        <w:tc>
          <w:tcPr>
            <w:tcW w:w="200" w:type="dxa"/>
            <w:vAlign w:val="bottom"/>
          </w:tcPr>
          <w:p>
            <w:pPr>
              <w:spacing w:after="0"/>
              <w:rPr>
                <w:sz w:val="11"/>
                <w:szCs w:val="11"/>
                <w:color w:val="auto"/>
              </w:rPr>
            </w:pPr>
          </w:p>
        </w:tc>
        <w:tc>
          <w:tcPr>
            <w:tcW w:w="82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38"/>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Credit Card:</w:t>
            </w:r>
          </w:p>
        </w:tc>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r>
      <w:tr>
        <w:trPr>
          <w:trHeight w:val="143"/>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Domestic credit card</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37,029</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75</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18,694</w:t>
            </w:r>
          </w:p>
        </w:tc>
        <w:tc>
          <w:tcPr>
            <w:tcW w:w="8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32,639</w:t>
            </w:r>
          </w:p>
        </w:tc>
        <w:tc>
          <w:tcPr>
            <w:tcW w:w="8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r>
      <w:tr>
        <w:trPr>
          <w:trHeight w:val="145"/>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card businesses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74,432</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w:t>
            </w:r>
          </w:p>
        </w:tc>
        <w:tc>
          <w:tcPr>
            <w:tcW w:w="8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58,914</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58,363</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r>
      <w:tr>
        <w:trPr>
          <w:trHeight w:val="132"/>
        </w:trPr>
        <w:tc>
          <w:tcPr>
            <w:tcW w:w="478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credit card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111,461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154</w:t>
            </w:r>
          </w:p>
        </w:tc>
        <w:tc>
          <w:tcPr>
            <w:tcW w:w="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77,608</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91,002</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w:t>
            </w:r>
          </w:p>
        </w:tc>
      </w:tr>
      <w:tr>
        <w:trPr>
          <w:trHeight w:val="125"/>
        </w:trPr>
        <w:tc>
          <w:tcPr>
            <w:tcW w:w="478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Consumer Banking:</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3"/>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Auto</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16,100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285</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r>
      <w:tr>
        <w:trPr>
          <w:trHeight w:val="145"/>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Retail banking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32"/>
        </w:trPr>
        <w:tc>
          <w:tcPr>
            <w:tcW w:w="478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consumer banking</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16,101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286</w:t>
            </w:r>
          </w:p>
        </w:tc>
        <w:tc>
          <w:tcPr>
            <w:tcW w:w="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8,856</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5,887</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25"/>
        </w:trPr>
        <w:tc>
          <w:tcPr>
            <w:tcW w:w="478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Commercial Banking:</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3"/>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and multifamily real estate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w:t>
            </w: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45"/>
        </w:trPr>
        <w:tc>
          <w:tcPr>
            <w:tcW w:w="4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56</w:t>
            </w:r>
          </w:p>
        </w:tc>
        <w:tc>
          <w:tcPr>
            <w:tcW w:w="8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r>
      <w:tr>
        <w:trPr>
          <w:trHeight w:val="132"/>
        </w:trPr>
        <w:tc>
          <w:tcPr>
            <w:tcW w:w="478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commercial banking</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83</w:t>
            </w:r>
          </w:p>
        </w:tc>
        <w:tc>
          <w:tcPr>
            <w:tcW w:w="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w:t>
            </w:r>
          </w:p>
        </w:tc>
      </w:tr>
      <w:tr>
        <w:trPr>
          <w:trHeight w:val="150"/>
        </w:trPr>
        <w:tc>
          <w:tcPr>
            <w:tcW w:w="4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127,569</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523</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86,472</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428</w:t>
            </w:r>
          </w:p>
        </w:tc>
        <w:tc>
          <w:tcPr>
            <w:tcW w:w="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96,905</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w:t>
            </w: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Loans Pledged</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pledged loan collateral of $9.8 billion and $10.3 billion to secure a portion of our FHLB borrowing capacity of $19.9 billion and $19.7 billion as of December 31, 2022 and 2021, respectively. We also pledged loan collateral of $34.1 billion and $26.5 billion to secure our Federal Reserve Discount Window borrowing capacity of $19.7 billion and $19.6 billion as of December 31, 2022 and 2021, respectively. In addition to loans pledged, we have securitized a portion of our credit card and auto loan portfolios. See “Note 5—Variable Interest Entities and Securitizations”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Loans Held for Sale</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total loans held for sale was $203 million and $5.9 billion as of December 31, 2022 and 2021, respectively. We originated for sale $8.6 billion, $9.1 billion and $10.0 billion of commercial multifamily real estate loans in 2022, 2021 and 2020, respectively, and typically retain servicing rights upon the sale of these loans.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Revolving Loans Converted to Term Loans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years ended December 31, 2022 and 2021, we converted $441 million and $223 million of revolving loans to term loans, respectively, primarily in our domestic credit card and commercial banking loan portfolios.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150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272415</wp:posOffset>
            </wp:positionV>
            <wp:extent cx="7178040" cy="11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4—ALLOWANCE FOR CREDIT LOSSES AND RESERVE FOR UNFUNDED LENDING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Our allowance for credit losses represents management’s current estimate of expected credit losses over the contractual terms of our loans held for investment as of each balance sheet date. Expected recoveries of amounts previously charged off or expected to be charged off are recognized within the allowance. Significant judgment is applied in our estimation of lifetime credit losses. When developing an estimate of expected credit losses, we use both quantitative and qualitative methods in considering all available information relevant to assessing collectability. This may include internal information, external information or a combination of both relating to past events, current conditions and reasonable and supportable forecasts. Our estimate of expected credit losses includes a reasonable and supportable forecast period of one year and then reverts over a one-year period to historical losses at each relevant loss component of the estimate. Management will consider and may qualitatively adjust for conditions, changes and trends in loan portfolios that may not be captured in modeled results. These adjustments are referred to as qualitative factors and represent management’s judgment of the imprecision and risks inherent in the processes and assumptions used in establishing the allowance for credit losses.</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credit card loans, accrued interest is charged off simultaneously with the charge off of other components of amortized cost as a reduction of revenue. Total net revenue was reduced by $946 million, $629 million and $1.1 billion in 2022, 2021 and 2020, respectively, for finance charge and fees charged-off as uncollectible.</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have unfunded lending commitments in our Commercial Banking business that are not unconditionally cancellable by us and for which we estimate expected credit losses in establishing a reserve. This reserve is measured using the same measurement objectives as the allowance for loans held for investment. We build or release the reserve for unfunded lending commitments through the provision for credit losses in our consolidated statements of income, and the related reserve for unfunded lending commitments is included in other liabilities on our consolidated balance sheets.</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See “Note 1—Summary of Significant Accounting Policies” for further discussion of the methodology and policy for determining our allowance for credit losses for each of our loan portfolio segments, as well as information on our reserve for unfunded lending commitments.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Allowance for Credit Losses and Reserve for Unfunded Lending Commitments Activity</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table below summarizes changes in the allowance for credit losses and reserve for unfunded lending commitments by portfolio segment for the years ended December 31, 2022, 2021 and 2020. Our allowance for credit losses increased by $1.8 billion to $13.2 billion as of December 31, 2022 from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4.1: Allowance for Credit Losses and Reserve for Unfunded Lending Commitments Activity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6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0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Consumer Banking</w:t>
            </w:r>
          </w:p>
        </w:tc>
        <w:tc>
          <w:tcPr>
            <w:tcW w:w="8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Commercial Banking</w:t>
            </w:r>
          </w:p>
        </w:tc>
        <w:tc>
          <w:tcPr>
            <w:tcW w:w="260" w:type="dxa"/>
            <w:vAlign w:val="bottom"/>
          </w:tcPr>
          <w:p>
            <w:pPr>
              <w:spacing w:after="0"/>
              <w:rPr>
                <w:sz w:val="11"/>
                <w:szCs w:val="11"/>
                <w:color w:val="auto"/>
              </w:rPr>
            </w:pPr>
          </w:p>
        </w:tc>
        <w:tc>
          <w:tcPr>
            <w:tcW w:w="860" w:type="dxa"/>
            <w:vAlign w:val="bottom"/>
          </w:tcPr>
          <w:p>
            <w:pPr>
              <w:jc w:val="right"/>
              <w:ind w:right="40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2"/>
        </w:trPr>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Allowance for credit losses:</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42"/>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Balance as of December 31, 2019</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5,395</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1,038</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7,208</w:t>
            </w:r>
          </w:p>
        </w:tc>
      </w:tr>
      <w:tr>
        <w:trPr>
          <w:trHeight w:val="14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Cumulative effects from adoption of the CECL standard</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2,845</w:t>
            </w:r>
          </w:p>
        </w:tc>
      </w:tr>
      <w:tr>
        <w:trPr>
          <w:trHeight w:val="144"/>
        </w:trPr>
        <w:tc>
          <w:tcPr>
            <w:tcW w:w="6600" w:type="dxa"/>
            <w:vAlign w:val="bottom"/>
            <w:tcBorders>
              <w:bottom w:val="single" w:sz="8" w:color="CCEEFF"/>
            </w:tcBorders>
            <w:gridSpan w:val="2"/>
          </w:tcPr>
          <w:p>
            <w:pPr>
              <w:spacing w:after="0" w:line="144" w:lineRule="exact"/>
              <w:rPr>
                <w:sz w:val="20"/>
                <w:szCs w:val="20"/>
                <w:color w:val="auto"/>
              </w:rPr>
            </w:pPr>
            <w:r>
              <w:rPr>
                <w:rFonts w:ascii="Times New Roman" w:cs="Times New Roman" w:eastAsia="Times New Roman" w:hAnsi="Times New Roman"/>
                <w:sz w:val="11"/>
                <w:szCs w:val="11"/>
                <w:color w:val="auto"/>
              </w:rPr>
              <w:t>Finance charge and fee reserve reclassification</w:t>
            </w:r>
            <w:r>
              <w:rPr>
                <w:rFonts w:ascii="Times New Roman" w:cs="Times New Roman" w:eastAsia="Times New Roman" w:hAnsi="Times New Roman"/>
                <w:sz w:val="14"/>
                <w:szCs w:val="14"/>
                <w:color w:val="auto"/>
                <w:vertAlign w:val="superscript"/>
              </w:rPr>
              <w:t>(1)</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462</w:t>
            </w:r>
          </w:p>
        </w:tc>
      </w:tr>
      <w:tr>
        <w:trPr>
          <w:trHeight w:val="133"/>
        </w:trPr>
        <w:tc>
          <w:tcPr>
            <w:tcW w:w="66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Balance as of January 1, 2020</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8,098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10,515</w:t>
            </w:r>
          </w:p>
        </w:tc>
      </w:tr>
      <w:tr>
        <w:trPr>
          <w:trHeight w:val="142"/>
        </w:trPr>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Charge-offs</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(7,677)</w:t>
            </w:r>
          </w:p>
        </w:tc>
      </w:tr>
      <w:tr>
        <w:trPr>
          <w:trHeight w:val="146"/>
        </w:trPr>
        <w:tc>
          <w:tcPr>
            <w:tcW w:w="6600" w:type="dxa"/>
            <w:vAlign w:val="bottom"/>
            <w:gridSpan w:val="2"/>
            <w:shd w:val="clear" w:color="auto" w:fill="CCEEFF"/>
          </w:tcPr>
          <w:p>
            <w:pPr>
              <w:ind w:left="120"/>
              <w:spacing w:after="0" w:line="146" w:lineRule="exact"/>
              <w:rPr>
                <w:sz w:val="20"/>
                <w:szCs w:val="20"/>
                <w:color w:val="auto"/>
              </w:rPr>
            </w:pPr>
            <w:r>
              <w:rPr>
                <w:rFonts w:ascii="Times New Roman" w:cs="Times New Roman" w:eastAsia="Times New Roman" w:hAnsi="Times New Roman"/>
                <w:sz w:val="11"/>
                <w:szCs w:val="11"/>
                <w:color w:val="auto"/>
              </w:rPr>
              <w:t>Recoveries</w:t>
            </w:r>
            <w:r>
              <w:rPr>
                <w:rFonts w:ascii="Times New Roman" w:cs="Times New Roman" w:eastAsia="Times New Roman" w:hAnsi="Times New Roman"/>
                <w:sz w:val="14"/>
                <w:szCs w:val="14"/>
                <w:color w:val="auto"/>
                <w:vertAlign w:val="superscript"/>
              </w:rPr>
              <w:t>(2)</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1,479</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w:t>
            </w:r>
          </w:p>
        </w:tc>
      </w:tr>
      <w:tr>
        <w:trPr>
          <w:trHeight w:val="131"/>
        </w:trPr>
        <w:tc>
          <w:tcPr>
            <w:tcW w:w="66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Net charge-offs</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(5,225)</w:t>
            </w:r>
          </w:p>
        </w:tc>
      </w:tr>
      <w:tr>
        <w:trPr>
          <w:trHeight w:val="14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7,327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1,753</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10,238</w:t>
            </w:r>
          </w:p>
        </w:tc>
      </w:tr>
      <w:tr>
        <w:trPr>
          <w:trHeight w:val="133"/>
        </w:trPr>
        <w:tc>
          <w:tcPr>
            <w:tcW w:w="6600" w:type="dxa"/>
            <w:vAlign w:val="bottom"/>
            <w:gridSpan w:val="2"/>
          </w:tcPr>
          <w:p>
            <w:pPr>
              <w:spacing w:after="0" w:line="133" w:lineRule="exact"/>
              <w:rPr>
                <w:sz w:val="20"/>
                <w:szCs w:val="20"/>
                <w:color w:val="auto"/>
              </w:rPr>
            </w:pPr>
            <w:r>
              <w:rPr>
                <w:rFonts w:ascii="Times New Roman" w:cs="Times New Roman" w:eastAsia="Times New Roman" w:hAnsi="Times New Roman"/>
                <w:sz w:val="11"/>
                <w:szCs w:val="11"/>
                <w:color w:val="auto"/>
              </w:rPr>
              <w:t>Allowance build for credit losses</w:t>
            </w:r>
            <w:r>
              <w:rPr>
                <w:rFonts w:ascii="Times New Roman" w:cs="Times New Roman" w:eastAsia="Times New Roman" w:hAnsi="Times New Roman"/>
                <w:sz w:val="14"/>
                <w:szCs w:val="14"/>
                <w:color w:val="auto"/>
                <w:vertAlign w:val="superscript"/>
              </w:rPr>
              <w:t>(3)</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5,013</w:t>
            </w:r>
          </w:p>
        </w:tc>
      </w:tr>
      <w:tr>
        <w:trPr>
          <w:trHeight w:val="144"/>
        </w:trPr>
        <w:tc>
          <w:tcPr>
            <w:tcW w:w="66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Other changes</w:t>
            </w:r>
            <w:r>
              <w:rPr>
                <w:rFonts w:ascii="Times New Roman" w:cs="Times New Roman" w:eastAsia="Times New Roman" w:hAnsi="Times New Roman"/>
                <w:sz w:val="14"/>
                <w:szCs w:val="14"/>
                <w:color w:val="auto"/>
                <w:vertAlign w:val="superscript"/>
              </w:rPr>
              <w:t>(4)</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1"/>
        </w:trPr>
        <w:tc>
          <w:tcPr>
            <w:tcW w:w="66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2020</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11,191</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2,715</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1,658</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15,564</w:t>
            </w:r>
          </w:p>
        </w:tc>
      </w:tr>
      <w:tr>
        <w:trPr>
          <w:trHeight w:val="694"/>
        </w:trPr>
        <w:tc>
          <w:tcPr>
            <w:tcW w:w="6500" w:type="dxa"/>
            <w:vAlign w:val="bottom"/>
          </w:tcPr>
          <w:p>
            <w:pPr>
              <w:ind w:left="5560"/>
              <w:spacing w:after="0"/>
              <w:rPr>
                <w:sz w:val="20"/>
                <w:szCs w:val="20"/>
                <w:color w:val="auto"/>
              </w:rPr>
            </w:pPr>
            <w:r>
              <w:rPr>
                <w:rFonts w:ascii="Times New Roman" w:cs="Times New Roman" w:eastAsia="Times New Roman" w:hAnsi="Times New Roman"/>
                <w:sz w:val="10"/>
                <w:szCs w:val="10"/>
                <w:color w:val="auto"/>
              </w:rPr>
              <w:t>151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r>
      <w:tr>
        <w:trPr>
          <w:trHeight w:val="215"/>
        </w:trPr>
        <w:tc>
          <w:tcPr>
            <w:tcW w:w="65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52" w:name="page153"/>
    <w:bookmarkEnd w:id="15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58"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6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0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Consumer Banking</w:t>
            </w:r>
          </w:p>
        </w:tc>
        <w:tc>
          <w:tcPr>
            <w:tcW w:w="80" w:type="dxa"/>
            <w:vAlign w:val="bottom"/>
          </w:tcPr>
          <w:p>
            <w:pPr>
              <w:spacing w:after="0"/>
              <w:rPr>
                <w:sz w:val="11"/>
                <w:szCs w:val="1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Commercial Banking</w:t>
            </w:r>
          </w:p>
        </w:tc>
        <w:tc>
          <w:tcPr>
            <w:tcW w:w="260" w:type="dxa"/>
            <w:vAlign w:val="bottom"/>
          </w:tcPr>
          <w:p>
            <w:pPr>
              <w:spacing w:after="0"/>
              <w:rPr>
                <w:sz w:val="11"/>
                <w:szCs w:val="11"/>
                <w:color w:val="auto"/>
              </w:rPr>
            </w:pPr>
          </w:p>
        </w:tc>
        <w:tc>
          <w:tcPr>
            <w:tcW w:w="860" w:type="dxa"/>
            <w:vAlign w:val="bottom"/>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1"/>
        </w:trPr>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Reserve for unfunded lending commitments:</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42"/>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Balance as of December 31, 2019</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14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Cumulative effects from adoption of the CECL standard</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31"/>
        </w:trPr>
        <w:tc>
          <w:tcPr>
            <w:tcW w:w="66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January 1, 2020</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w:t>
            </w:r>
          </w:p>
        </w:tc>
      </w:tr>
      <w:tr>
        <w:trPr>
          <w:trHeight w:val="14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losses on unfunded lending commitments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31"/>
        </w:trPr>
        <w:tc>
          <w:tcPr>
            <w:tcW w:w="6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2020</w:t>
            </w: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w:t>
            </w:r>
          </w:p>
        </w:tc>
      </w:tr>
      <w:tr>
        <w:trPr>
          <w:trHeight w:val="153"/>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Combined allowance and reserve as of December 31, 2020</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11,191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15,759</w:t>
            </w:r>
          </w:p>
        </w:tc>
      </w:tr>
      <w:tr>
        <w:trPr>
          <w:trHeight w:val="123"/>
        </w:trPr>
        <w:tc>
          <w:tcPr>
            <w:tcW w:w="66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Allowance for credit losses:</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5"/>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as of December 31, 2020</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15,564</w:t>
            </w:r>
          </w:p>
        </w:tc>
      </w:tr>
      <w:tr>
        <w:trPr>
          <w:trHeight w:val="142"/>
        </w:trPr>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Charge-offs</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(4,740)</w:t>
            </w:r>
          </w:p>
        </w:tc>
      </w:tr>
      <w:tr>
        <w:trPr>
          <w:trHeight w:val="146"/>
        </w:trPr>
        <w:tc>
          <w:tcPr>
            <w:tcW w:w="6600" w:type="dxa"/>
            <w:vAlign w:val="bottom"/>
            <w:gridSpan w:val="2"/>
            <w:shd w:val="clear" w:color="auto" w:fill="CCEEFF"/>
          </w:tcPr>
          <w:p>
            <w:pPr>
              <w:ind w:left="120"/>
              <w:spacing w:after="0" w:line="146" w:lineRule="exact"/>
              <w:rPr>
                <w:sz w:val="20"/>
                <w:szCs w:val="20"/>
                <w:color w:val="auto"/>
              </w:rPr>
            </w:pPr>
            <w:r>
              <w:rPr>
                <w:rFonts w:ascii="Times New Roman" w:cs="Times New Roman" w:eastAsia="Times New Roman" w:hAnsi="Times New Roman"/>
                <w:sz w:val="11"/>
                <w:szCs w:val="11"/>
                <w:color w:val="auto"/>
              </w:rPr>
              <w:t>Recoveries</w:t>
            </w:r>
            <w:r>
              <w:rPr>
                <w:rFonts w:ascii="Times New Roman" w:cs="Times New Roman" w:eastAsia="Times New Roman" w:hAnsi="Times New Roman"/>
                <w:sz w:val="14"/>
                <w:szCs w:val="14"/>
                <w:color w:val="auto"/>
                <w:vertAlign w:val="superscript"/>
              </w:rPr>
              <w:t>(2)</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2,506</w:t>
            </w:r>
          </w:p>
        </w:tc>
      </w:tr>
      <w:tr>
        <w:trPr>
          <w:trHeight w:val="131"/>
        </w:trPr>
        <w:tc>
          <w:tcPr>
            <w:tcW w:w="66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Net charge-offs</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(2,234)</w:t>
            </w:r>
          </w:p>
        </w:tc>
      </w:tr>
      <w:tr>
        <w:trPr>
          <w:trHeight w:val="14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Benefit for credit losses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(1,912)</w:t>
            </w:r>
          </w:p>
        </w:tc>
      </w:tr>
      <w:tr>
        <w:trPr>
          <w:trHeight w:val="131"/>
        </w:trPr>
        <w:tc>
          <w:tcPr>
            <w:tcW w:w="66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Allowance release for credit losses</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(4,146)</w:t>
            </w:r>
          </w:p>
        </w:tc>
      </w:tr>
      <w:tr>
        <w:trPr>
          <w:trHeight w:val="146"/>
        </w:trPr>
        <w:tc>
          <w:tcPr>
            <w:tcW w:w="660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Other changes</w:t>
            </w:r>
            <w:r>
              <w:rPr>
                <w:rFonts w:ascii="Times New Roman" w:cs="Times New Roman" w:eastAsia="Times New Roman" w:hAnsi="Times New Roman"/>
                <w:sz w:val="14"/>
                <w:szCs w:val="14"/>
                <w:color w:val="auto"/>
                <w:vertAlign w:val="superscript"/>
              </w:rPr>
              <w:t>(4)</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31"/>
        </w:trPr>
        <w:tc>
          <w:tcPr>
            <w:tcW w:w="6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2021</w:t>
            </w: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8,345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11,430</w:t>
            </w:r>
          </w:p>
        </w:tc>
      </w:tr>
      <w:tr>
        <w:trPr>
          <w:trHeight w:val="126"/>
        </w:trPr>
        <w:tc>
          <w:tcPr>
            <w:tcW w:w="66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Reserve for unfunded lending commitments:</w:t>
            </w: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2"/>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Balance as of December 31, 2020</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r>
      <w:tr>
        <w:trPr>
          <w:trHeight w:val="14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(benefit) for losses on unfunded lending commitments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31"/>
        </w:trPr>
        <w:tc>
          <w:tcPr>
            <w:tcW w:w="6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2021</w:t>
            </w: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w:t>
            </w:r>
          </w:p>
        </w:tc>
      </w:tr>
      <w:tr>
        <w:trPr>
          <w:trHeight w:val="153"/>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Combined allowance and reserve as of December 31, 2021</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1,332</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11,595</w:t>
            </w:r>
          </w:p>
        </w:tc>
      </w:tr>
      <w:tr>
        <w:trPr>
          <w:trHeight w:val="123"/>
        </w:trPr>
        <w:tc>
          <w:tcPr>
            <w:tcW w:w="66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Allowance for credit losses:</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5"/>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as of December 31, 2021</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11,430</w:t>
            </w:r>
          </w:p>
        </w:tc>
      </w:tr>
      <w:tr>
        <w:trPr>
          <w:trHeight w:val="143"/>
        </w:trPr>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Charge-offs</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(4,362)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(6,064)</w:t>
            </w:r>
          </w:p>
        </w:tc>
      </w:tr>
      <w:tr>
        <w:trPr>
          <w:trHeight w:val="145"/>
        </w:trPr>
        <w:tc>
          <w:tcPr>
            <w:tcW w:w="66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1"/>
                <w:szCs w:val="11"/>
                <w:color w:val="auto"/>
              </w:rPr>
              <w:t>Recoveries</w:t>
            </w:r>
            <w:r>
              <w:rPr>
                <w:rFonts w:ascii="Times New Roman" w:cs="Times New Roman" w:eastAsia="Times New Roman" w:hAnsi="Times New Roman"/>
                <w:sz w:val="14"/>
                <w:szCs w:val="14"/>
                <w:color w:val="auto"/>
                <w:vertAlign w:val="superscript"/>
              </w:rPr>
              <w:t>(2)</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1,314</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2,091</w:t>
            </w:r>
          </w:p>
        </w:tc>
      </w:tr>
      <w:tr>
        <w:trPr>
          <w:trHeight w:val="132"/>
        </w:trPr>
        <w:tc>
          <w:tcPr>
            <w:tcW w:w="66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Net charge-offs</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(3,973)</w:t>
            </w:r>
          </w:p>
        </w:tc>
      </w:tr>
      <w:tr>
        <w:trPr>
          <w:trHeight w:val="145"/>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(benefit) for credit losses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4,265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1,173</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5,800</w:t>
            </w:r>
          </w:p>
        </w:tc>
      </w:tr>
      <w:tr>
        <w:trPr>
          <w:trHeight w:val="132"/>
        </w:trPr>
        <w:tc>
          <w:tcPr>
            <w:tcW w:w="66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Allowance build for credit losses</w:t>
            </w: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1,827</w:t>
            </w:r>
          </w:p>
        </w:tc>
      </w:tr>
      <w:tr>
        <w:trPr>
          <w:trHeight w:val="145"/>
        </w:trPr>
        <w:tc>
          <w:tcPr>
            <w:tcW w:w="660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Other changes</w:t>
            </w:r>
            <w:r>
              <w:rPr>
                <w:rFonts w:ascii="Times New Roman" w:cs="Times New Roman" w:eastAsia="Times New Roman" w:hAnsi="Times New Roman"/>
                <w:sz w:val="14"/>
                <w:szCs w:val="14"/>
                <w:color w:val="auto"/>
                <w:vertAlign w:val="superscript"/>
              </w:rPr>
              <w:t>(4)</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r>
      <w:tr>
        <w:trPr>
          <w:trHeight w:val="132"/>
        </w:trPr>
        <w:tc>
          <w:tcPr>
            <w:tcW w:w="6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2022</w:t>
            </w: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9,545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2,237</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1,458</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13,240</w:t>
            </w:r>
          </w:p>
        </w:tc>
      </w:tr>
      <w:tr>
        <w:trPr>
          <w:trHeight w:val="125"/>
        </w:trPr>
        <w:tc>
          <w:tcPr>
            <w:tcW w:w="660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Reserve for unfunded lending commitments:</w:t>
            </w: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2"/>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Balance as of December 31, 2021</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r>
      <w:tr>
        <w:trPr>
          <w:trHeight w:val="14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losses on unfunded lending commitments</w:t>
            </w: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w:t>
            </w:r>
          </w:p>
        </w:tc>
      </w:tr>
      <w:tr>
        <w:trPr>
          <w:trHeight w:val="132"/>
        </w:trPr>
        <w:tc>
          <w:tcPr>
            <w:tcW w:w="6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2022</w:t>
            </w: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218</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218</w:t>
            </w:r>
          </w:p>
        </w:tc>
      </w:tr>
      <w:tr>
        <w:trPr>
          <w:trHeight w:val="150"/>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Combined allowance and reserve as of December 31, 2022</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9,545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2,237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1,676</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13,458</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8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Concurrent with our adoption of the current expected credit losses (“CECL”) standard in the first quarter of 2020, we reclassified our finance charge and fee reserve to our allowance for credit losses, with a corresponding increase to credit card loans held for investment.</w:t>
      </w:r>
    </w:p>
    <w:p>
      <w:pPr>
        <w:spacing w:after="0" w:line="30" w:lineRule="exact"/>
        <w:rPr>
          <w:rFonts w:ascii="Times New Roman" w:cs="Times New Roman" w:eastAsia="Times New Roman" w:hAnsi="Times New Roman"/>
          <w:sz w:val="12"/>
          <w:szCs w:val="12"/>
          <w:color w:val="auto"/>
          <w:vertAlign w:val="superscript"/>
        </w:rPr>
      </w:pPr>
    </w:p>
    <w:p>
      <w:pPr>
        <w:ind w:left="208" w:right="20" w:hanging="208"/>
        <w:spacing w:after="0" w:line="241" w:lineRule="auto"/>
        <w:tabs>
          <w:tab w:leader="none" w:pos="200" w:val="left"/>
        </w:tabs>
        <w:numPr>
          <w:ilvl w:val="0"/>
          <w:numId w:val="8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 and timing of recoveries are impacted by our collection strategies, which are based on customer behavior and risk profile and include direct customer communications, repossession of collateral, the periodic sale of charged off loans as well as additional strategies, such as litigation.</w:t>
      </w:r>
    </w:p>
    <w:p>
      <w:pPr>
        <w:spacing w:after="0" w:line="14"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8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an allowance release of $327 million for a partnership credit card loan portfolio transferred to held for sale in the third quarter of 2020.</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8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Primarily represents foreign currency translation adjustments and, in periods of acquisition, initial allowance builds for purchase credit-deteriorated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152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53" w:name="page154"/>
    <w:bookmarkEnd w:id="15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Credit Card Partnership Loss Sharing Arrangements</w:t>
      </w:r>
    </w:p>
    <w:p>
      <w:pPr>
        <w:spacing w:after="0" w:line="11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We have certain credit card partnership agreements that are presented within our consolidated financial statements on a net basis, in which our partner agrees to share a portion of the credit losses on the underlying loan portfolio. The expected reimbursements from these partners are netted against our allowance for credit losses. Our methodology for estimating reimbursements is consistent with the methodology we use to estimate the allowance for credit losses on our credit card loan receivables. These expected reimbursements result in reductions to net charge-offs and the provision for credit losses. See “Note 1—Summary of Significant Accounting Policies” for further discussion of our credit card partnership agreements.</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table below summarizes the changes in the estimated reimbursements from these partners for the years ended December 31, 2022, 2021 and 2020.</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4.2: Summary of Credit Card Partnership Loss Sharing Arrangements Impacts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6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30"/>
        </w:trPr>
        <w:tc>
          <w:tcPr>
            <w:tcW w:w="70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340" w:type="dxa"/>
            <w:vAlign w:val="bottom"/>
          </w:tcPr>
          <w:p>
            <w:pPr>
              <w:spacing w:after="0"/>
              <w:rPr>
                <w:sz w:val="11"/>
                <w:szCs w:val="11"/>
                <w:color w:val="auto"/>
              </w:rPr>
            </w:pPr>
          </w:p>
        </w:tc>
        <w:tc>
          <w:tcPr>
            <w:tcW w:w="1040" w:type="dxa"/>
            <w:vAlign w:val="bottom"/>
          </w:tcPr>
          <w:p>
            <w:pPr>
              <w:jc w:val="right"/>
              <w:ind w:right="527"/>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548"/>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507"/>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38"/>
        </w:trPr>
        <w:tc>
          <w:tcPr>
            <w:tcW w:w="69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1"/>
                <w:szCs w:val="11"/>
                <w:color w:val="auto"/>
              </w:rPr>
              <w:t>Estimated reimbursements from partners, beginning of period</w:t>
            </w:r>
            <w:r>
              <w:rPr>
                <w:rFonts w:ascii="Times New Roman" w:cs="Times New Roman" w:eastAsia="Times New Roman" w:hAnsi="Times New Roman"/>
                <w:sz w:val="14"/>
                <w:szCs w:val="14"/>
                <w:color w:val="auto"/>
                <w:vertAlign w:val="superscript"/>
              </w:rPr>
              <w:t>(1)</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2,159</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2,166</w:t>
            </w:r>
          </w:p>
        </w:tc>
      </w:tr>
      <w:tr>
        <w:trPr>
          <w:trHeight w:val="143"/>
        </w:trPr>
        <w:tc>
          <w:tcPr>
            <w:tcW w:w="7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Amounts due from partners which reduced net charge-offs</w:t>
            </w: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w:t>
            </w:r>
          </w:p>
        </w:tc>
      </w:tr>
      <w:tr>
        <w:trPr>
          <w:trHeight w:val="145"/>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Amounts expected to become due from (to) partners which reduced (increased) provision for credit losses</w:t>
            </w: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623</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952</w:t>
            </w:r>
          </w:p>
        </w:tc>
      </w:tr>
      <w:tr>
        <w:trPr>
          <w:trHeight w:val="132"/>
        </w:trPr>
        <w:tc>
          <w:tcPr>
            <w:tcW w:w="7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Estimated reimbursements from partners, end of period</w:t>
            </w: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1,558</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2,159</w:t>
            </w:r>
          </w:p>
        </w:tc>
      </w:tr>
      <w:tr>
        <w:trPr>
          <w:trHeight w:val="20"/>
        </w:trPr>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8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effects from adoption of the CECL standard in the first quarter of 2020.</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153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5—VARIABLE INTEREST ENTITIES AND SECURITIZATIONS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the normal course of business, we enter into various types of transactions with entities that are considered to be variable interest entities (“VIEs”). Our primary involvement with VIEs is related to our securitization transactions in which we transfer assets to securitization trusts. We primarily securitize credit card and auto loans, which provide a source of funding for us and enable us to transfer a certain portion of the economic risk of the loans or related debt securities to third parties.</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entity that has a controlling financial interest in a VIE is referred to as the primary beneficiary and is required to consolidate the VIE. The majority of the VIEs in which we are involved have been consolidated in our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Consolidated and Unconsolidated VIEs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assets of our consolidated VIEs primarily consist of cash, loan receivables and the related allowance for credit losses, which we report on our consolidated balance sheets under restricted cash for securitization investors, loans held in consolidated trusts and allowance for credit losses, respectively. The assets of a particular VIE are the primary source of funds to settle its obligations. Creditors of these VIEs typically do not have recourse to our general credit. Liabilities primarily consist of debt securities issued by the VIEs, which we report under securitized debt obligations on our consolidated balance sheets. For unconsolidated VIEs, we present the carrying amount of assets and liabilities reflected on our consolidated balance sheets and our maximum exposure to loss. Our maximum exposure to loss is estimated based on the unlikely event that all of the assets in the VIEs become worthless and we are required to meet the maximum amount of any remaining funding obligations.</w:t>
      </w:r>
    </w:p>
    <w:p>
      <w:pPr>
        <w:spacing w:after="0" w:line="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tables below present a summary of VIEs in which we had continuing involvement or held a significant variable interest, aggregated based on VIEs with similar characteristics as of December 31, 2022 and 2021. We separately present information for consolidated and unconsolidated VIEs.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5.1: Carrying Amount of Consolidated and Unconsolidated VIEs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5"/>
          </w:tcPr>
          <w:p>
            <w:pPr>
              <w:ind w:left="72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Unconsolidated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2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200"/>
              <w:spacing w:after="0" w:line="86" w:lineRule="exact"/>
              <w:rPr>
                <w:sz w:val="20"/>
                <w:szCs w:val="20"/>
                <w:color w:val="auto"/>
              </w:rPr>
            </w:pPr>
            <w:r>
              <w:rPr>
                <w:rFonts w:ascii="Times New Roman" w:cs="Times New Roman" w:eastAsia="Times New Roman" w:hAnsi="Times New Roman"/>
                <w:sz w:val="8"/>
                <w:szCs w:val="8"/>
                <w:b w:val="1"/>
                <w:bCs w:val="1"/>
                <w:color w:val="auto"/>
              </w:rPr>
              <w:t>Carrying Amount</w:t>
            </w: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28"/>
              <w:spacing w:after="0" w:line="86" w:lineRule="exact"/>
              <w:rPr>
                <w:sz w:val="20"/>
                <w:szCs w:val="20"/>
                <w:color w:val="auto"/>
              </w:rPr>
            </w:pPr>
            <w:r>
              <w:rPr>
                <w:rFonts w:ascii="Times New Roman" w:cs="Times New Roman" w:eastAsia="Times New Roman" w:hAnsi="Times New Roman"/>
                <w:sz w:val="8"/>
                <w:szCs w:val="8"/>
                <w:b w:val="1"/>
                <w:bCs w:val="1"/>
                <w:color w:val="auto"/>
              </w:rPr>
              <w:t>Carrying Amount of</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center"/>
              <w:ind w:right="180"/>
              <w:spacing w:after="0" w:line="86" w:lineRule="exact"/>
              <w:rPr>
                <w:sz w:val="20"/>
                <w:szCs w:val="20"/>
                <w:color w:val="auto"/>
              </w:rPr>
            </w:pPr>
            <w:r>
              <w:rPr>
                <w:rFonts w:ascii="Times New Roman" w:cs="Times New Roman" w:eastAsia="Times New Roman" w:hAnsi="Times New Roman"/>
                <w:sz w:val="8"/>
                <w:szCs w:val="8"/>
                <w:b w:val="1"/>
                <w:bCs w:val="1"/>
                <w:color w:val="auto"/>
              </w:rPr>
              <w:t>Carrying Amount</w:t>
            </w: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center"/>
              <w:ind w:right="160"/>
              <w:spacing w:after="0" w:line="86" w:lineRule="exact"/>
              <w:rPr>
                <w:sz w:val="20"/>
                <w:szCs w:val="20"/>
                <w:color w:val="auto"/>
              </w:rPr>
            </w:pPr>
            <w:r>
              <w:rPr>
                <w:rFonts w:ascii="Times New Roman" w:cs="Times New Roman" w:eastAsia="Times New Roman" w:hAnsi="Times New Roman"/>
                <w:sz w:val="8"/>
                <w:szCs w:val="8"/>
                <w:b w:val="1"/>
                <w:bCs w:val="1"/>
                <w:color w:val="auto"/>
              </w:rPr>
              <w:t>Carrying Amount of</w:t>
            </w:r>
          </w:p>
        </w:tc>
        <w:tc>
          <w:tcPr>
            <w:tcW w:w="1040" w:type="dxa"/>
            <w:vAlign w:val="bottom"/>
            <w:tcBorders>
              <w:top w:val="single" w:sz="8" w:color="auto"/>
            </w:tcBorders>
            <w:gridSpan w:val="2"/>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Maximum Exposure to</w:t>
            </w:r>
          </w:p>
        </w:tc>
        <w:tc>
          <w:tcPr>
            <w:tcW w:w="0" w:type="dxa"/>
            <w:vAlign w:val="bottom"/>
          </w:tcPr>
          <w:p>
            <w:pPr>
              <w:spacing w:after="0"/>
              <w:rPr>
                <w:sz w:val="1"/>
                <w:szCs w:val="1"/>
                <w:color w:val="auto"/>
              </w:rPr>
            </w:pPr>
          </w:p>
        </w:tc>
      </w:tr>
      <w:tr>
        <w:trPr>
          <w:trHeight w:val="129"/>
        </w:trPr>
        <w:tc>
          <w:tcPr>
            <w:tcW w:w="426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of Assets</w:t>
            </w:r>
          </w:p>
        </w:tc>
        <w:tc>
          <w:tcPr>
            <w:tcW w:w="80" w:type="dxa"/>
            <w:vAlign w:val="bottom"/>
          </w:tcPr>
          <w:p>
            <w:pPr>
              <w:spacing w:after="0"/>
              <w:rPr>
                <w:sz w:val="11"/>
                <w:szCs w:val="11"/>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Liabilities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0"/>
              </w:rPr>
              <w:t>of Assets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Liabilities</w:t>
            </w:r>
          </w:p>
        </w:tc>
        <w:tc>
          <w:tcPr>
            <w:tcW w:w="240" w:type="dxa"/>
            <w:vAlign w:val="bottom"/>
          </w:tcPr>
          <w:p>
            <w:pPr>
              <w:spacing w:after="0"/>
              <w:rPr>
                <w:sz w:val="11"/>
                <w:szCs w:val="11"/>
                <w:color w:val="auto"/>
              </w:rPr>
            </w:pPr>
          </w:p>
        </w:tc>
        <w:tc>
          <w:tcPr>
            <w:tcW w:w="80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rPr>
              <w:t>Loss</w:t>
            </w:r>
          </w:p>
        </w:tc>
        <w:tc>
          <w:tcPr>
            <w:tcW w:w="0" w:type="dxa"/>
            <w:vAlign w:val="bottom"/>
          </w:tcPr>
          <w:p>
            <w:pPr>
              <w:spacing w:after="0"/>
              <w:rPr>
                <w:sz w:val="1"/>
                <w:szCs w:val="1"/>
                <w:color w:val="auto"/>
              </w:rPr>
            </w:pPr>
          </w:p>
        </w:tc>
      </w:tr>
      <w:tr>
        <w:trPr>
          <w:trHeight w:val="137"/>
        </w:trPr>
        <w:tc>
          <w:tcPr>
            <w:tcW w:w="42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1"/>
                <w:szCs w:val="11"/>
                <w:b w:val="1"/>
                <w:bCs w:val="1"/>
                <w:color w:val="auto"/>
              </w:rPr>
              <w:t>Securitization-Related VIEs:</w:t>
            </w:r>
            <w:r>
              <w:rPr>
                <w:rFonts w:ascii="Times New Roman" w:cs="Times New Roman" w:eastAsia="Times New Roman" w:hAnsi="Times New Roman"/>
                <w:sz w:val="14"/>
                <w:szCs w:val="14"/>
                <w:b w:val="1"/>
                <w:bCs w:val="1"/>
                <w:color w:val="auto"/>
                <w:vertAlign w:val="superscript"/>
              </w:rPr>
              <w:t>(1)</w:t>
            </w: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Credit card loan securitizations</w:t>
            </w:r>
            <w:r>
              <w:rPr>
                <w:rFonts w:ascii="Times New Roman" w:cs="Times New Roman" w:eastAsia="Times New Roman" w:hAnsi="Times New Roman"/>
                <w:sz w:val="14"/>
                <w:szCs w:val="14"/>
                <w:color w:val="auto"/>
                <w:vertAlign w:val="superscript"/>
              </w:rPr>
              <w:t>(2)</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23,620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13,877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Auto loan securitizations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4,863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4,002</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0" w:type="dxa"/>
            <w:vAlign w:val="bottom"/>
          </w:tcPr>
          <w:p>
            <w:pPr>
              <w:spacing w:after="0"/>
              <w:rPr>
                <w:sz w:val="1"/>
                <w:szCs w:val="1"/>
                <w:color w:val="auto"/>
              </w:rPr>
            </w:pPr>
          </w:p>
        </w:tc>
      </w:tr>
      <w:tr>
        <w:trPr>
          <w:trHeight w:val="132"/>
        </w:trPr>
        <w:tc>
          <w:tcPr>
            <w:tcW w:w="426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Total securitization-related VIEs</w:t>
            </w:r>
          </w:p>
        </w:tc>
        <w:tc>
          <w:tcPr>
            <w:tcW w:w="14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28,483</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17,879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0" w:type="dxa"/>
            <w:vAlign w:val="bottom"/>
          </w:tcPr>
          <w:p>
            <w:pPr>
              <w:spacing w:after="0"/>
              <w:rPr>
                <w:sz w:val="1"/>
                <w:szCs w:val="1"/>
                <w:color w:val="auto"/>
              </w:rPr>
            </w:pPr>
          </w:p>
        </w:tc>
      </w:tr>
      <w:tr>
        <w:trPr>
          <w:trHeight w:val="125"/>
        </w:trPr>
        <w:tc>
          <w:tcPr>
            <w:tcW w:w="42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Other VIEs:</w:t>
            </w:r>
            <w:r>
              <w:rPr>
                <w:rFonts w:ascii="Times New Roman" w:cs="Times New Roman" w:eastAsia="Times New Roman" w:hAnsi="Times New Roman"/>
                <w:sz w:val="14"/>
                <w:szCs w:val="14"/>
                <w:b w:val="1"/>
                <w:bCs w:val="1"/>
                <w:color w:val="auto"/>
                <w:vertAlign w:val="superscript"/>
              </w:rPr>
              <w:t>(3)</w:t>
            </w: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Affordable housing entities</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4,944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1,596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4,944</w:t>
            </w:r>
          </w:p>
        </w:tc>
        <w:tc>
          <w:tcPr>
            <w:tcW w:w="0" w:type="dxa"/>
            <w:vAlign w:val="bottom"/>
          </w:tcPr>
          <w:p>
            <w:pPr>
              <w:spacing w:after="0"/>
              <w:rPr>
                <w:sz w:val="1"/>
                <w:szCs w:val="1"/>
                <w:color w:val="auto"/>
              </w:rPr>
            </w:pPr>
          </w:p>
        </w:tc>
      </w:tr>
      <w:tr>
        <w:trPr>
          <w:trHeight w:val="145"/>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Entities that provide capital to low-income and rural communities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0" w:type="dxa"/>
            <w:vAlign w:val="bottom"/>
          </w:tcPr>
          <w:p>
            <w:pPr>
              <w:spacing w:after="0"/>
              <w:rPr>
                <w:sz w:val="1"/>
                <w:szCs w:val="1"/>
                <w:color w:val="auto"/>
              </w:rPr>
            </w:pPr>
          </w:p>
        </w:tc>
      </w:tr>
      <w:tr>
        <w:trPr>
          <w:trHeight w:val="144"/>
        </w:trPr>
        <w:tc>
          <w:tcPr>
            <w:tcW w:w="4260" w:type="dxa"/>
            <w:vAlign w:val="bottom"/>
            <w:tcBorders>
              <w:bottom w:val="single" w:sz="8" w:color="CCEEFF"/>
            </w:tcBorders>
          </w:tcPr>
          <w:p>
            <w:pPr>
              <w:ind w:left="140"/>
              <w:spacing w:after="0" w:line="144" w:lineRule="exact"/>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(4)</w:t>
            </w:r>
          </w:p>
        </w:tc>
        <w:tc>
          <w:tcPr>
            <w:tcW w:w="14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337</w:t>
            </w:r>
          </w:p>
        </w:tc>
        <w:tc>
          <w:tcPr>
            <w:tcW w:w="0" w:type="dxa"/>
            <w:vAlign w:val="bottom"/>
          </w:tcPr>
          <w:p>
            <w:pPr>
              <w:spacing w:after="0"/>
              <w:rPr>
                <w:sz w:val="1"/>
                <w:szCs w:val="1"/>
                <w:color w:val="auto"/>
              </w:rPr>
            </w:pPr>
          </w:p>
        </w:tc>
      </w:tr>
      <w:tr>
        <w:trPr>
          <w:trHeight w:val="133"/>
        </w:trPr>
        <w:tc>
          <w:tcPr>
            <w:tcW w:w="42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other VIEs</w:t>
            </w: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2,562</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5,281</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1,596</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5,281</w:t>
            </w:r>
          </w:p>
        </w:tc>
        <w:tc>
          <w:tcPr>
            <w:tcW w:w="0" w:type="dxa"/>
            <w:vAlign w:val="bottom"/>
          </w:tcPr>
          <w:p>
            <w:pPr>
              <w:spacing w:after="0"/>
              <w:rPr>
                <w:sz w:val="1"/>
                <w:szCs w:val="1"/>
                <w:color w:val="auto"/>
              </w:rPr>
            </w:pPr>
          </w:p>
        </w:tc>
      </w:tr>
      <w:tr>
        <w:trPr>
          <w:trHeight w:val="132"/>
        </w:trPr>
        <w:tc>
          <w:tcPr>
            <w:tcW w:w="4260" w:type="dxa"/>
            <w:vAlign w:val="bottom"/>
          </w:tcPr>
          <w:p>
            <w:pPr>
              <w:spacing w:after="0"/>
              <w:rPr>
                <w:sz w:val="20"/>
                <w:szCs w:val="20"/>
                <w:color w:val="auto"/>
              </w:rPr>
            </w:pPr>
            <w:r>
              <w:rPr>
                <w:rFonts w:ascii="Times New Roman" w:cs="Times New Roman" w:eastAsia="Times New Roman" w:hAnsi="Times New Roman"/>
                <w:sz w:val="11"/>
                <w:szCs w:val="11"/>
                <w:color w:val="auto"/>
              </w:rPr>
              <w:t>Total VIEs</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31,045</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17,908</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5,281</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1,596</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5,281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5"/>
          </w:tcPr>
          <w:p>
            <w:pPr>
              <w:ind w:left="72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Unconsolidated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26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200"/>
              <w:spacing w:after="0" w:line="84" w:lineRule="exact"/>
              <w:rPr>
                <w:sz w:val="20"/>
                <w:szCs w:val="20"/>
                <w:color w:val="auto"/>
              </w:rPr>
            </w:pPr>
            <w:r>
              <w:rPr>
                <w:rFonts w:ascii="Times New Roman" w:cs="Times New Roman" w:eastAsia="Times New Roman" w:hAnsi="Times New Roman"/>
                <w:sz w:val="8"/>
                <w:szCs w:val="8"/>
                <w:b w:val="1"/>
                <w:bCs w:val="1"/>
                <w:color w:val="auto"/>
              </w:rPr>
              <w:t>Carrying Amount</w:t>
            </w: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28"/>
              <w:spacing w:after="0" w:line="84" w:lineRule="exact"/>
              <w:rPr>
                <w:sz w:val="20"/>
                <w:szCs w:val="20"/>
                <w:color w:val="auto"/>
              </w:rPr>
            </w:pPr>
            <w:r>
              <w:rPr>
                <w:rFonts w:ascii="Times New Roman" w:cs="Times New Roman" w:eastAsia="Times New Roman" w:hAnsi="Times New Roman"/>
                <w:sz w:val="8"/>
                <w:szCs w:val="8"/>
                <w:b w:val="1"/>
                <w:bCs w:val="1"/>
                <w:color w:val="auto"/>
              </w:rPr>
              <w:t>Carrying Amount of</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center"/>
              <w:ind w:right="180"/>
              <w:spacing w:after="0" w:line="84" w:lineRule="exact"/>
              <w:rPr>
                <w:sz w:val="20"/>
                <w:szCs w:val="20"/>
                <w:color w:val="auto"/>
              </w:rPr>
            </w:pPr>
            <w:r>
              <w:rPr>
                <w:rFonts w:ascii="Times New Roman" w:cs="Times New Roman" w:eastAsia="Times New Roman" w:hAnsi="Times New Roman"/>
                <w:sz w:val="8"/>
                <w:szCs w:val="8"/>
                <w:b w:val="1"/>
                <w:bCs w:val="1"/>
                <w:color w:val="auto"/>
              </w:rPr>
              <w:t>Carrying Amount</w:t>
            </w: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center"/>
              <w:ind w:right="160"/>
              <w:spacing w:after="0" w:line="84" w:lineRule="exact"/>
              <w:rPr>
                <w:sz w:val="20"/>
                <w:szCs w:val="20"/>
                <w:color w:val="auto"/>
              </w:rPr>
            </w:pPr>
            <w:r>
              <w:rPr>
                <w:rFonts w:ascii="Times New Roman" w:cs="Times New Roman" w:eastAsia="Times New Roman" w:hAnsi="Times New Roman"/>
                <w:sz w:val="8"/>
                <w:szCs w:val="8"/>
                <w:b w:val="1"/>
                <w:bCs w:val="1"/>
                <w:color w:val="auto"/>
              </w:rPr>
              <w:t>Carrying Amount of</w:t>
            </w:r>
          </w:p>
        </w:tc>
        <w:tc>
          <w:tcPr>
            <w:tcW w:w="1040" w:type="dxa"/>
            <w:vAlign w:val="bottom"/>
            <w:tcBorders>
              <w:top w:val="single" w:sz="8" w:color="auto"/>
            </w:tcBorders>
            <w:gridSpan w:val="2"/>
          </w:tcPr>
          <w:p>
            <w:pPr>
              <w:jc w:val="center"/>
              <w:spacing w:after="0" w:line="84" w:lineRule="exact"/>
              <w:rPr>
                <w:sz w:val="20"/>
                <w:szCs w:val="20"/>
                <w:color w:val="auto"/>
              </w:rPr>
            </w:pPr>
            <w:r>
              <w:rPr>
                <w:rFonts w:ascii="Times New Roman" w:cs="Times New Roman" w:eastAsia="Times New Roman" w:hAnsi="Times New Roman"/>
                <w:sz w:val="8"/>
                <w:szCs w:val="8"/>
                <w:b w:val="1"/>
                <w:bCs w:val="1"/>
                <w:color w:val="auto"/>
              </w:rPr>
              <w:t>Maximum Exposure to</w:t>
            </w:r>
          </w:p>
        </w:tc>
        <w:tc>
          <w:tcPr>
            <w:tcW w:w="0" w:type="dxa"/>
            <w:vAlign w:val="bottom"/>
          </w:tcPr>
          <w:p>
            <w:pPr>
              <w:spacing w:after="0"/>
              <w:rPr>
                <w:sz w:val="1"/>
                <w:szCs w:val="1"/>
                <w:color w:val="auto"/>
              </w:rPr>
            </w:pPr>
          </w:p>
        </w:tc>
      </w:tr>
      <w:tr>
        <w:trPr>
          <w:trHeight w:val="130"/>
        </w:trPr>
        <w:tc>
          <w:tcPr>
            <w:tcW w:w="426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of Assets</w:t>
            </w:r>
          </w:p>
        </w:tc>
        <w:tc>
          <w:tcPr>
            <w:tcW w:w="80" w:type="dxa"/>
            <w:vAlign w:val="bottom"/>
          </w:tcPr>
          <w:p>
            <w:pPr>
              <w:spacing w:after="0"/>
              <w:rPr>
                <w:sz w:val="11"/>
                <w:szCs w:val="11"/>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Liabilities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0"/>
              </w:rPr>
              <w:t>of Assets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Liabilities</w:t>
            </w:r>
          </w:p>
        </w:tc>
        <w:tc>
          <w:tcPr>
            <w:tcW w:w="240" w:type="dxa"/>
            <w:vAlign w:val="bottom"/>
          </w:tcPr>
          <w:p>
            <w:pPr>
              <w:spacing w:after="0"/>
              <w:rPr>
                <w:sz w:val="11"/>
                <w:szCs w:val="11"/>
                <w:color w:val="auto"/>
              </w:rPr>
            </w:pPr>
          </w:p>
        </w:tc>
        <w:tc>
          <w:tcPr>
            <w:tcW w:w="800" w:type="dxa"/>
            <w:vAlign w:val="bottom"/>
          </w:tcPr>
          <w:p>
            <w:pPr>
              <w:jc w:val="center"/>
              <w:ind w:right="187"/>
              <w:spacing w:after="0"/>
              <w:rPr>
                <w:sz w:val="20"/>
                <w:szCs w:val="20"/>
                <w:color w:val="auto"/>
              </w:rPr>
            </w:pPr>
            <w:r>
              <w:rPr>
                <w:rFonts w:ascii="Times New Roman" w:cs="Times New Roman" w:eastAsia="Times New Roman" w:hAnsi="Times New Roman"/>
                <w:sz w:val="10"/>
                <w:szCs w:val="10"/>
                <w:b w:val="1"/>
                <w:bCs w:val="1"/>
                <w:color w:val="auto"/>
              </w:rPr>
              <w:t>Loss</w:t>
            </w:r>
          </w:p>
        </w:tc>
        <w:tc>
          <w:tcPr>
            <w:tcW w:w="0" w:type="dxa"/>
            <w:vAlign w:val="bottom"/>
          </w:tcPr>
          <w:p>
            <w:pPr>
              <w:spacing w:after="0"/>
              <w:rPr>
                <w:sz w:val="1"/>
                <w:szCs w:val="1"/>
                <w:color w:val="auto"/>
              </w:rPr>
            </w:pPr>
          </w:p>
        </w:tc>
      </w:tr>
      <w:tr>
        <w:trPr>
          <w:trHeight w:val="138"/>
        </w:trPr>
        <w:tc>
          <w:tcPr>
            <w:tcW w:w="42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1"/>
                <w:szCs w:val="11"/>
                <w:b w:val="1"/>
                <w:bCs w:val="1"/>
                <w:color w:val="auto"/>
              </w:rPr>
              <w:t>Securitization-Related VIEs:</w:t>
            </w:r>
            <w:r>
              <w:rPr>
                <w:rFonts w:ascii="Times New Roman" w:cs="Times New Roman" w:eastAsia="Times New Roman" w:hAnsi="Times New Roman"/>
                <w:sz w:val="14"/>
                <w:szCs w:val="14"/>
                <w:b w:val="1"/>
                <w:bCs w:val="1"/>
                <w:color w:val="auto"/>
                <w:vertAlign w:val="superscript"/>
              </w:rPr>
              <w:t>(1)</w:t>
            </w: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6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Credit card loan securitizations</w:t>
            </w:r>
            <w:r>
              <w:rPr>
                <w:rFonts w:ascii="Times New Roman" w:cs="Times New Roman" w:eastAsia="Times New Roman" w:hAnsi="Times New Roman"/>
                <w:sz w:val="14"/>
                <w:szCs w:val="14"/>
                <w:color w:val="auto"/>
                <w:vertAlign w:val="superscript"/>
              </w:rPr>
              <w:t>(2)</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21,569</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Auto loan securitizations</w:t>
            </w: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2,552</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2,187</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31"/>
        </w:trPr>
        <w:tc>
          <w:tcPr>
            <w:tcW w:w="426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Total securitization-related VIEs</w:t>
            </w: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24,121</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15,203</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766"/>
        </w:trPr>
        <w:tc>
          <w:tcPr>
            <w:tcW w:w="4260" w:type="dxa"/>
            <w:vAlign w:val="bottom"/>
          </w:tcPr>
          <w:p>
            <w:pPr>
              <w:spacing w:after="0"/>
              <w:rPr>
                <w:sz w:val="24"/>
                <w:szCs w:val="24"/>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154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c>
          <w:tcPr>
            <w:tcW w:w="0" w:type="dxa"/>
            <w:vAlign w:val="bottom"/>
          </w:tcPr>
          <w:p>
            <w:pPr>
              <w:spacing w:after="0"/>
              <w:rPr>
                <w:sz w:val="1"/>
                <w:szCs w:val="1"/>
                <w:color w:val="auto"/>
              </w:rPr>
            </w:pPr>
          </w:p>
        </w:tc>
      </w:tr>
      <w:tr>
        <w:trPr>
          <w:trHeight w:val="215"/>
        </w:trPr>
        <w:tc>
          <w:tcPr>
            <w:tcW w:w="42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55" w:name="page156"/>
    <w:bookmarkEnd w:id="155"/>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5"/>
          </w:tcPr>
          <w:p>
            <w:pPr>
              <w:ind w:left="72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Unconsolidated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200"/>
              <w:spacing w:after="0" w:line="86" w:lineRule="exact"/>
              <w:rPr>
                <w:sz w:val="20"/>
                <w:szCs w:val="20"/>
                <w:color w:val="auto"/>
              </w:rPr>
            </w:pPr>
            <w:r>
              <w:rPr>
                <w:rFonts w:ascii="Times New Roman" w:cs="Times New Roman" w:eastAsia="Times New Roman" w:hAnsi="Times New Roman"/>
                <w:sz w:val="8"/>
                <w:szCs w:val="8"/>
                <w:b w:val="1"/>
                <w:bCs w:val="1"/>
                <w:color w:val="auto"/>
              </w:rPr>
              <w:t>Carrying Amount</w:t>
            </w: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29"/>
              <w:spacing w:after="0" w:line="86" w:lineRule="exact"/>
              <w:rPr>
                <w:sz w:val="20"/>
                <w:szCs w:val="20"/>
                <w:color w:val="auto"/>
              </w:rPr>
            </w:pPr>
            <w:r>
              <w:rPr>
                <w:rFonts w:ascii="Times New Roman" w:cs="Times New Roman" w:eastAsia="Times New Roman" w:hAnsi="Times New Roman"/>
                <w:sz w:val="8"/>
                <w:szCs w:val="8"/>
                <w:b w:val="1"/>
                <w:bCs w:val="1"/>
                <w:color w:val="auto"/>
              </w:rPr>
              <w:t>Carrying Amount of</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center"/>
              <w:ind w:right="180"/>
              <w:spacing w:after="0" w:line="86" w:lineRule="exact"/>
              <w:rPr>
                <w:sz w:val="20"/>
                <w:szCs w:val="20"/>
                <w:color w:val="auto"/>
              </w:rPr>
            </w:pPr>
            <w:r>
              <w:rPr>
                <w:rFonts w:ascii="Times New Roman" w:cs="Times New Roman" w:eastAsia="Times New Roman" w:hAnsi="Times New Roman"/>
                <w:sz w:val="8"/>
                <w:szCs w:val="8"/>
                <w:b w:val="1"/>
                <w:bCs w:val="1"/>
                <w:color w:val="auto"/>
              </w:rPr>
              <w:t>Carrying Amount</w:t>
            </w: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tcPr>
          <w:p>
            <w:pPr>
              <w:jc w:val="center"/>
              <w:ind w:right="160"/>
              <w:spacing w:after="0" w:line="86" w:lineRule="exact"/>
              <w:rPr>
                <w:sz w:val="20"/>
                <w:szCs w:val="20"/>
                <w:color w:val="auto"/>
              </w:rPr>
            </w:pPr>
            <w:r>
              <w:rPr>
                <w:rFonts w:ascii="Times New Roman" w:cs="Times New Roman" w:eastAsia="Times New Roman" w:hAnsi="Times New Roman"/>
                <w:sz w:val="8"/>
                <w:szCs w:val="8"/>
                <w:b w:val="1"/>
                <w:bCs w:val="1"/>
                <w:color w:val="auto"/>
              </w:rPr>
              <w:t>Carrying Amount of</w:t>
            </w:r>
          </w:p>
        </w:tc>
        <w:tc>
          <w:tcPr>
            <w:tcW w:w="1040" w:type="dxa"/>
            <w:vAlign w:val="bottom"/>
            <w:tcBorders>
              <w:top w:val="single" w:sz="8" w:color="auto"/>
            </w:tcBorders>
            <w:gridSpan w:val="2"/>
          </w:tcPr>
          <w:p>
            <w:pPr>
              <w:jc w:val="right"/>
              <w:ind w:right="7"/>
              <w:spacing w:after="0" w:line="86" w:lineRule="exact"/>
              <w:rPr>
                <w:sz w:val="20"/>
                <w:szCs w:val="20"/>
                <w:color w:val="auto"/>
              </w:rPr>
            </w:pPr>
            <w:r>
              <w:rPr>
                <w:rFonts w:ascii="Times New Roman" w:cs="Times New Roman" w:eastAsia="Times New Roman" w:hAnsi="Times New Roman"/>
                <w:sz w:val="8"/>
                <w:szCs w:val="8"/>
                <w:b w:val="1"/>
                <w:bCs w:val="1"/>
                <w:color w:val="auto"/>
              </w:rPr>
              <w:t>Maximum Exposure to</w:t>
            </w:r>
          </w:p>
        </w:tc>
        <w:tc>
          <w:tcPr>
            <w:tcW w:w="0" w:type="dxa"/>
            <w:vAlign w:val="bottom"/>
          </w:tcPr>
          <w:p>
            <w:pPr>
              <w:spacing w:after="0"/>
              <w:rPr>
                <w:sz w:val="1"/>
                <w:szCs w:val="1"/>
                <w:color w:val="auto"/>
              </w:rPr>
            </w:pPr>
          </w:p>
        </w:tc>
      </w:tr>
      <w:tr>
        <w:trPr>
          <w:trHeight w:val="129"/>
        </w:trPr>
        <w:tc>
          <w:tcPr>
            <w:tcW w:w="5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of Assets</w:t>
            </w:r>
          </w:p>
        </w:tc>
        <w:tc>
          <w:tcPr>
            <w:tcW w:w="80" w:type="dxa"/>
            <w:vAlign w:val="bottom"/>
          </w:tcPr>
          <w:p>
            <w:pPr>
              <w:spacing w:after="0"/>
              <w:rPr>
                <w:sz w:val="11"/>
                <w:szCs w:val="11"/>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Liabilities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0"/>
              </w:rPr>
              <w:t>of Assets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Liabilities</w:t>
            </w:r>
          </w:p>
        </w:tc>
        <w:tc>
          <w:tcPr>
            <w:tcW w:w="240" w:type="dxa"/>
            <w:vAlign w:val="bottom"/>
          </w:tcPr>
          <w:p>
            <w:pPr>
              <w:spacing w:after="0"/>
              <w:rPr>
                <w:sz w:val="11"/>
                <w:szCs w:val="11"/>
                <w:color w:val="auto"/>
              </w:rPr>
            </w:pPr>
          </w:p>
        </w:tc>
        <w:tc>
          <w:tcPr>
            <w:tcW w:w="800" w:type="dxa"/>
            <w:vAlign w:val="bottom"/>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Loss</w:t>
            </w:r>
          </w:p>
        </w:tc>
        <w:tc>
          <w:tcPr>
            <w:tcW w:w="0" w:type="dxa"/>
            <w:vAlign w:val="bottom"/>
          </w:tcPr>
          <w:p>
            <w:pPr>
              <w:spacing w:after="0"/>
              <w:rPr>
                <w:sz w:val="1"/>
                <w:szCs w:val="1"/>
                <w:color w:val="auto"/>
              </w:rPr>
            </w:pPr>
          </w:p>
        </w:tc>
      </w:tr>
      <w:tr>
        <w:trPr>
          <w:trHeight w:val="137"/>
        </w:trPr>
        <w:tc>
          <w:tcPr>
            <w:tcW w:w="56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1"/>
                <w:szCs w:val="11"/>
                <w:b w:val="1"/>
                <w:bCs w:val="1"/>
                <w:color w:val="auto"/>
              </w:rPr>
              <w:t>Other VIEs:</w:t>
            </w:r>
            <w:r>
              <w:rPr>
                <w:rFonts w:ascii="Times New Roman" w:cs="Times New Roman" w:eastAsia="Times New Roman" w:hAnsi="Times New Roman"/>
                <w:sz w:val="14"/>
                <w:szCs w:val="14"/>
                <w:b w:val="1"/>
                <w:bCs w:val="1"/>
                <w:color w:val="auto"/>
                <w:vertAlign w:val="superscript"/>
              </w:rPr>
              <w:t>(3)</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Affordable housing entities</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1,454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4,774</w:t>
            </w:r>
          </w:p>
        </w:tc>
        <w:tc>
          <w:tcPr>
            <w:tcW w:w="0" w:type="dxa"/>
            <w:vAlign w:val="bottom"/>
          </w:tcPr>
          <w:p>
            <w:pPr>
              <w:spacing w:after="0"/>
              <w:rPr>
                <w:sz w:val="1"/>
                <w:szCs w:val="1"/>
                <w:color w:val="auto"/>
              </w:rPr>
            </w:pPr>
          </w:p>
        </w:tc>
      </w:tr>
      <w:tr>
        <w:trPr>
          <w:trHeight w:val="146"/>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Entities that provide capital to low-income and rural communities</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4"/>
        </w:trPr>
        <w:tc>
          <w:tcPr>
            <w:tcW w:w="5760" w:type="dxa"/>
            <w:vAlign w:val="bottom"/>
            <w:tcBorders>
              <w:bottom w:val="single" w:sz="8" w:color="CCEEFF"/>
            </w:tcBorders>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(4)</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0" w:type="dxa"/>
            <w:vAlign w:val="bottom"/>
          </w:tcPr>
          <w:p>
            <w:pPr>
              <w:spacing w:after="0"/>
              <w:rPr>
                <w:sz w:val="1"/>
                <w:szCs w:val="1"/>
                <w:color w:val="auto"/>
              </w:rPr>
            </w:pPr>
          </w:p>
        </w:tc>
      </w:tr>
      <w:tr>
        <w:trPr>
          <w:trHeight w:val="133"/>
        </w:trPr>
        <w:tc>
          <w:tcPr>
            <w:tcW w:w="576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other VIEs</w:t>
            </w: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1,454</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5,157</w:t>
            </w:r>
          </w:p>
        </w:tc>
        <w:tc>
          <w:tcPr>
            <w:tcW w:w="0" w:type="dxa"/>
            <w:vAlign w:val="bottom"/>
          </w:tcPr>
          <w:p>
            <w:pPr>
              <w:spacing w:after="0"/>
              <w:rPr>
                <w:sz w:val="1"/>
                <w:szCs w:val="1"/>
                <w:color w:val="auto"/>
              </w:rPr>
            </w:pPr>
          </w:p>
        </w:tc>
      </w:tr>
      <w:tr>
        <w:trPr>
          <w:trHeight w:val="131"/>
        </w:trPr>
        <w:tc>
          <w:tcPr>
            <w:tcW w:w="57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VIEs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26,458</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15,256</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rPr>
              <w:t>1,454</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5,157</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96" w:lineRule="exact"/>
        <w:rPr>
          <w:sz w:val="20"/>
          <w:szCs w:val="20"/>
          <w:color w:val="auto"/>
        </w:rPr>
      </w:pPr>
    </w:p>
    <w:p>
      <w:pPr>
        <w:ind w:left="208" w:hanging="208"/>
        <w:spacing w:after="0"/>
        <w:tabs>
          <w:tab w:leader="none" w:pos="208" w:val="left"/>
        </w:tabs>
        <w:numPr>
          <w:ilvl w:val="0"/>
          <w:numId w:val="8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Excludes insignificant VIEs from previously exited businesses.</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36" w:lineRule="auto"/>
        <w:tabs>
          <w:tab w:leader="none" w:pos="208" w:val="left"/>
        </w:tabs>
        <w:numPr>
          <w:ilvl w:val="0"/>
          <w:numId w:val="8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the carrying amount of assets and liabilities of the VIE, which includes the seller’s interest and repurchased notes held by other related parties.</w:t>
      </w:r>
    </w:p>
    <w:p>
      <w:pPr>
        <w:spacing w:after="0" w:line="29" w:lineRule="exact"/>
        <w:rPr>
          <w:rFonts w:ascii="Times New Roman" w:cs="Times New Roman" w:eastAsia="Times New Roman" w:hAnsi="Times New Roman"/>
          <w:sz w:val="6"/>
          <w:szCs w:val="6"/>
          <w:color w:val="auto"/>
        </w:rPr>
      </w:pPr>
    </w:p>
    <w:p>
      <w:pPr>
        <w:jc w:val="both"/>
        <w:ind w:left="208" w:hanging="208"/>
        <w:spacing w:after="0" w:line="253" w:lineRule="auto"/>
        <w:tabs>
          <w:tab w:leader="none" w:pos="200" w:val="left"/>
        </w:tabs>
        <w:numPr>
          <w:ilvl w:val="0"/>
          <w:numId w:val="8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 certain investment structures, we consolidate a VIE which in turn holds as its primary asset an investment in an unconsolidated VIE. In these instances, we disclose the carrying amount of assets and liabilities on our consolidated balance sheets as unconsolidated VIEs to avoid duplicating our exposure, as the unconsolidated VIEs are generally the operating entities generating the exposure. The carrying amount of assets and liabilities included in the unconsolidated VIE columns above related to these investment structures were $2.3 billion of assets and $616 million of liabilities as of December 31, 2022, and $2.2 billion of assets and $568 million of liabilities as of December 31, 2021.</w:t>
      </w:r>
    </w:p>
    <w:p>
      <w:pPr>
        <w:spacing w:after="0" w:line="8"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8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Primarily consists of variable interests in companies that promote renewable energy sources and other equity method investments.</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Securitization-Related VIEs</w:t>
      </w:r>
    </w:p>
    <w:p>
      <w:pPr>
        <w:spacing w:after="0" w:line="11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a securitization transaction, assets are transferred to a trust, which generally meets the definition of a VIE. We engage in securitization activities as an issuer and an investor. Our primary securitization issuance activity includes credit card and auto securitizations, conducted through securitization trusts which we consolidate. Our continuing involvement in these securitization transactions mainly consists of acting as the primary servicer and holding certain retained interests.</w:t>
      </w:r>
    </w:p>
    <w:p>
      <w:pPr>
        <w:spacing w:after="0" w:line="83"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In our multifamily agency business, we originate multifamily commercial real estate loans and transfer them to government-sponsored enterprises (“GSEs”) who may, in turn, securitize them. We retain the related MSRs and service the transferred loans pursuant to the guidelines set forth by the GSEs. As an investor, we hold primarily RMBS, CMBS, and ABS in our investment securities portfolio, which represent variable interests in the respective securitization trusts from which those securities were issued. We do not consolidate the securitization trusts employed in these transactions as we do not have the power to direct the activities that most significantly impact the economic performance of these securitization trusts. We exclude these VIEs from the tables within this note because we do not consider our continuing involvement with these VIEs to be significant as we either solely invest in securities issued by the VIE and were not involved in the design of the VIE or no transfers have occurred between the VIE and ourselves. Our maximum exposure to loss as a result of our involvement with these VIEs is the carrying value of the MSRs and investment securities on our consolidated balance sheets as well as our contractual obligations under loss sharing arrangements. See “Note 18—Commitments, Contingencies, Guarantees and Others” for information about the loss sharing agreements, “Note 6—Goodwill and Other Intangible Assets” for information related to our MSRs associated with these securitizations and “Note 2—Investment Securities” for more information on the securities held in our investment securities portfolio. In addition, where we have certain lending arrangements in the normal course of business with entities that could be VIEs, we have also excluded these VIEs from the tables presented in this note. See “Note 3— Loans” for additional information regarding our lending arrangements in the normal course of business.</w:t>
      </w:r>
    </w:p>
    <w:p>
      <w:pPr>
        <w:spacing w:after="0" w:line="200" w:lineRule="exact"/>
        <w:rPr>
          <w:sz w:val="20"/>
          <w:szCs w:val="20"/>
          <w:color w:val="auto"/>
        </w:rPr>
      </w:pPr>
    </w:p>
    <w:p>
      <w:pPr>
        <w:spacing w:after="0" w:line="390"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155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presents our continuing involvement in certain securitization-related VIEs as of December 31, 2022 and 2021.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5.2: Continuing Involvement in Securitization-Related VIEs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8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00" w:type="dxa"/>
            <w:vAlign w:val="bottom"/>
          </w:tcPr>
          <w:p>
            <w:pPr>
              <w:spacing w:after="0"/>
              <w:rPr>
                <w:sz w:val="11"/>
                <w:szCs w:val="11"/>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300" w:type="dxa"/>
            <w:vAlign w:val="bottom"/>
          </w:tcPr>
          <w:p>
            <w:pPr>
              <w:spacing w:after="0"/>
              <w:rPr>
                <w:sz w:val="11"/>
                <w:szCs w:val="11"/>
                <w:color w:val="auto"/>
              </w:rPr>
            </w:pPr>
          </w:p>
        </w:tc>
        <w:tc>
          <w:tcPr>
            <w:tcW w:w="92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Auto</w:t>
            </w:r>
          </w:p>
        </w:tc>
      </w:tr>
      <w:tr>
        <w:trPr>
          <w:trHeight w:val="142"/>
        </w:trPr>
        <w:tc>
          <w:tcPr>
            <w:tcW w:w="8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r>
      <w:tr>
        <w:trPr>
          <w:trHeight w:val="143"/>
        </w:trPr>
        <w:tc>
          <w:tcPr>
            <w:tcW w:w="8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held by third-party investors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12,976</w:t>
            </w:r>
          </w:p>
        </w:tc>
        <w:tc>
          <w:tcPr>
            <w:tcW w:w="8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3,997</w:t>
            </w:r>
          </w:p>
        </w:tc>
      </w:tr>
      <w:tr>
        <w:trPr>
          <w:trHeight w:val="145"/>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in the trusts</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24,367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4,682</w:t>
            </w:r>
          </w:p>
        </w:tc>
      </w:tr>
      <w:tr>
        <w:trPr>
          <w:trHeight w:val="143"/>
        </w:trPr>
        <w:tc>
          <w:tcPr>
            <w:tcW w:w="8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balance of spread or reserve accounts</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w:t>
            </w:r>
          </w:p>
        </w:tc>
      </w:tr>
      <w:tr>
        <w:trPr>
          <w:trHeight w:val="145"/>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Retained interests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b w:val="1"/>
                <w:bCs w:val="1"/>
                <w:color w:val="auto"/>
              </w:rPr>
              <w:t>Yes</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Yes</w:t>
            </w:r>
          </w:p>
        </w:tc>
      </w:tr>
      <w:tr>
        <w:trPr>
          <w:trHeight w:val="143"/>
        </w:trPr>
        <w:tc>
          <w:tcPr>
            <w:tcW w:w="8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Servicing retained</w:t>
            </w:r>
          </w:p>
        </w:tc>
        <w:tc>
          <w:tcPr>
            <w:tcW w:w="200" w:type="dxa"/>
            <w:vAlign w:val="bottom"/>
          </w:tcPr>
          <w:p>
            <w:pPr>
              <w:spacing w:after="0"/>
              <w:rPr>
                <w:sz w:val="12"/>
                <w:szCs w:val="12"/>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Yes</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Yes</w:t>
            </w:r>
          </w:p>
        </w:tc>
      </w:tr>
      <w:tr>
        <w:trPr>
          <w:trHeight w:val="145"/>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2"/>
        </w:trPr>
        <w:tc>
          <w:tcPr>
            <w:tcW w:w="8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held by third-party investors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12,808</w:t>
            </w:r>
          </w:p>
        </w:tc>
        <w:tc>
          <w:tcPr>
            <w:tcW w:w="8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2,186</w:t>
            </w:r>
          </w:p>
        </w:tc>
      </w:tr>
      <w:tr>
        <w:trPr>
          <w:trHeight w:val="14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in the trusts</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22,454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2,418</w:t>
            </w:r>
          </w:p>
        </w:tc>
      </w:tr>
      <w:tr>
        <w:trPr>
          <w:trHeight w:val="142"/>
        </w:trPr>
        <w:tc>
          <w:tcPr>
            <w:tcW w:w="8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balance of spread or reserve accounts</w:t>
            </w: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4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Retained interests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Yes</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Yes</w:t>
            </w:r>
          </w:p>
        </w:tc>
      </w:tr>
      <w:tr>
        <w:trPr>
          <w:trHeight w:val="140"/>
        </w:trPr>
        <w:tc>
          <w:tcPr>
            <w:tcW w:w="88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Servicing retained</w:t>
            </w:r>
          </w:p>
        </w:tc>
        <w:tc>
          <w:tcPr>
            <w:tcW w:w="200" w:type="dxa"/>
            <w:vAlign w:val="bottom"/>
          </w:tcPr>
          <w:p>
            <w:pPr>
              <w:spacing w:after="0"/>
              <w:rPr>
                <w:sz w:val="12"/>
                <w:szCs w:val="12"/>
                <w:color w:val="auto"/>
              </w:rPr>
            </w:pP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Yes</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Yes</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Credit Card Securitizations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securitize a portion of our credit card loans which provides a source of funding for us. Credit card securitizations involve the transfer of credit card receivables to securitization trusts. These trusts then issue debt securities collateralized by the transferred receivables to third-party investors. We hold certain retained interests in our credit card securitizations and continue to service the receivables in these trusts. We consolidate these trusts because we are deemed to be the primary beneficiary as we have the power to direct the activities that most significantly impact the economic performance of the trusts, and the right to receive benefits or the obligation to absorb losses that could potentially be significant to the trusts.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Auto Securitizations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Similar to our credit card securitizations, we securitize a portion of our auto loans which provides a source of funding for us. Auto securitizations involve the transfer of auto loans to securitization trusts. These trusts then issue debt securities collateralized by the transferred loans to third-party investors. We hold certain retained interests and continue to service the loans in these trusts. We consolidate these trusts because we are deemed to be the primary beneficiary as we have the power to direct the activities that most significantly impact the economic performance of the trusts, and the right to receive benefits or the obligation to absorb losses that could potentially be significant to the trusts.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VIEs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Affordable Housing Entities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As part of our community reinvestment initiatives, we invest in private investment funds that make equity investments in multifamily affordable housing properties. We receive affordable housing tax credits for these investments. The activities of these entities are financed with a combination of invested equity capital and debt. We account for certain investments in qualified affordable housing projects using the proportional amortization method if certain criteria are met. The proportional amortization method amortizes the cost of the investment over the period in which the investor expects to receive tax credits and other tax benefits, and the resulting amortization is recognized as a component of income tax expense attributable to continuing operations. For the years ended December 31, 2022 and 2021, we recognized amortization of $637 million and $633 million, respectively, and tax credits of $664 million and $644 million, respectively, associated with these investments within income tax provision. The carrying value of our equity investments in these qualified affordable housing projects was $4.9 billion and $4.7 billion as of December 31, 2022 and 2021, respectively. We are periodically required to provide additional financial or other support during the period of the investments. Our liability for these unfunded commitments was $1.8 billion and $1.7 billion as of December 31, 2022 and 2021 respectively, and is largely expected to be paid from 2023 to 2025.</w:t>
      </w:r>
    </w:p>
    <w:p>
      <w:pPr>
        <w:spacing w:after="0" w:line="200" w:lineRule="exact"/>
        <w:rPr>
          <w:sz w:val="20"/>
          <w:szCs w:val="20"/>
          <w:color w:val="auto"/>
        </w:rPr>
      </w:pPr>
    </w:p>
    <w:p>
      <w:pPr>
        <w:spacing w:after="0" w:line="381"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156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For those investment funds considered to be VIEs, we are not required to consolidate them if we do not have the power to direct the activities that most significantly impact the economic performance of those entities. We record our interests in these unconsolidated VIEs in loans held for investment, other assets and other liabilities on our consolidated balance sheets. Our maximum exposure to these entities is limited to our variable interests in the entities which consisted of assets of approximately $4.9 billion and $4.8 billion as of December 31, 2022 and 2021 respectively. The creditors of the VIEs have no recourse to our general credit and we do not provide additional financial or other support other than during the period that we are contractually required to provide it. The total assets of the unconsolidated VIE investment funds were approximately $12.5 billion and $11.9 billion as of December 31, 2022 and 2021,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Entities that Provide Capital to Low-Income and Rural Communities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hold variable interests in entities (“Investor Entities”) that invest in community development entities (“CDEs”) that provide debt financing to businesses and non-profit entities in low-income and rural communities. Variable interests in the CDEs held by the consolidated Investor Entities are also our variable interests. The activities of the Investor Entities are financed with a combination of invested equity capital and debt. The activities of the CDEs are financed solely with invested equity capital. We receive federal and state tax credits for these investments. We consolidate the VIEs in which we have the power to direct the activities that most significantly impact the VIE’s economic performance and where we have the obligation to absorb losses or right to receive benefits that could be potentially significant to the VIE. We consolidate other investments and CDEs that are not considered to be VIEs, but where we hold a controlling financial interest. The assets of the VIEs that we consolidated, which totaled approximately $2.3 billion and $2.1 billion as of December 31, 2022 and 2021, respectively, are reflected on our consolidated balance sheets in cash, loans held for investment, and other assets. The liabilities are reflected in other liabilities. The creditors of the VIEs have no recourse to our general credit. We have not provided additional financial or other support other than during the period that we are contractually required to provide it.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hold variable interests in other VIEs, including companies that promote renewable energy sources and other equity method investments. We are not required to consolidate these VIEs because we do not have the power to direct the activities that most significantly impact their economic performance. Our maximum exposure to these VIEs is limited to the investments on our consolidated balance sheets of $337 million and $383 million as of December 31, 2022 and 2021, respectively. The creditors of the other VIEs have no recourse to our general credit. We have not provided additional financial or other support other than during the period that we are contractually required to provide it.</w:t>
      </w:r>
    </w:p>
    <w:p>
      <w:pPr>
        <w:spacing w:after="0" w:line="200" w:lineRule="exact"/>
        <w:rPr>
          <w:sz w:val="20"/>
          <w:szCs w:val="20"/>
          <w:color w:val="auto"/>
        </w:rPr>
      </w:pPr>
    </w:p>
    <w:p>
      <w:pPr>
        <w:spacing w:after="0" w:line="37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157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58" w:name="page159"/>
    <w:bookmarkEnd w:id="158"/>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178040"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6—GOODWILL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78040"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table below presents our goodwill, other intangible assets and MSRs as of December 31, 2022 and 2021. Goodwill is presented separately, while other intangible assets and MSRs are included in other assets on our consolidated balance sheets.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6.1: Components of Goodwill, Other Intangible Assets and MSRs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4"/>
          </w:tcPr>
          <w:p>
            <w:pPr>
              <w:jc w:val="right"/>
              <w:ind w:right="747"/>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3"/>
              </w:rPr>
              <w:t>Weighted Average</w:t>
            </w:r>
          </w:p>
        </w:tc>
        <w:tc>
          <w:tcPr>
            <w:tcW w:w="0" w:type="dxa"/>
            <w:vAlign w:val="bottom"/>
          </w:tcPr>
          <w:p>
            <w:pPr>
              <w:spacing w:after="0"/>
              <w:rPr>
                <w:sz w:val="1"/>
                <w:szCs w:val="1"/>
                <w:color w:val="auto"/>
              </w:rPr>
            </w:pPr>
          </w:p>
        </w:tc>
      </w:tr>
      <w:tr>
        <w:trPr>
          <w:trHeight w:val="97"/>
        </w:trPr>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Carrying Amount of</w:t>
            </w:r>
          </w:p>
        </w:tc>
        <w:tc>
          <w:tcPr>
            <w:tcW w:w="180" w:type="dxa"/>
            <w:vAlign w:val="bottom"/>
          </w:tcPr>
          <w:p>
            <w:pPr>
              <w:spacing w:after="0"/>
              <w:rPr>
                <w:sz w:val="8"/>
                <w:szCs w:val="8"/>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8"/>
              </w:rPr>
              <w:t>Remaining</w:t>
            </w:r>
          </w:p>
        </w:tc>
        <w:tc>
          <w:tcPr>
            <w:tcW w:w="0" w:type="dxa"/>
            <w:vAlign w:val="bottom"/>
          </w:tcPr>
          <w:p>
            <w:pPr>
              <w:spacing w:after="0"/>
              <w:rPr>
                <w:sz w:val="1"/>
                <w:szCs w:val="1"/>
                <w:color w:val="auto"/>
              </w:rPr>
            </w:pPr>
          </w:p>
        </w:tc>
      </w:tr>
      <w:tr>
        <w:trPr>
          <w:trHeight w:val="99"/>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95"/>
              </w:rPr>
              <w:t>Net Carrying Amount</w:t>
            </w:r>
          </w:p>
        </w:tc>
        <w:tc>
          <w:tcPr>
            <w:tcW w:w="100" w:type="dxa"/>
            <w:vAlign w:val="bottom"/>
          </w:tcPr>
          <w:p>
            <w:pPr>
              <w:spacing w:after="0"/>
              <w:rPr>
                <w:sz w:val="8"/>
                <w:szCs w:val="8"/>
                <w:color w:val="auto"/>
              </w:rPr>
            </w:pPr>
          </w:p>
        </w:tc>
        <w:tc>
          <w:tcPr>
            <w:tcW w:w="11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Amortization</w:t>
            </w:r>
          </w:p>
        </w:tc>
        <w:tc>
          <w:tcPr>
            <w:tcW w:w="0" w:type="dxa"/>
            <w:vAlign w:val="bottom"/>
          </w:tcPr>
          <w:p>
            <w:pPr>
              <w:spacing w:after="0"/>
              <w:rPr>
                <w:sz w:val="1"/>
                <w:szCs w:val="1"/>
                <w:color w:val="auto"/>
              </w:rPr>
            </w:pPr>
          </w:p>
        </w:tc>
      </w:tr>
      <w:tr>
        <w:trPr>
          <w:trHeight w:val="131"/>
        </w:trPr>
        <w:tc>
          <w:tcPr>
            <w:tcW w:w="6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1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Period</w:t>
            </w:r>
          </w:p>
        </w:tc>
        <w:tc>
          <w:tcPr>
            <w:tcW w:w="0" w:type="dxa"/>
            <w:vAlign w:val="bottom"/>
          </w:tcPr>
          <w:p>
            <w:pPr>
              <w:spacing w:after="0"/>
              <w:rPr>
                <w:sz w:val="1"/>
                <w:szCs w:val="1"/>
                <w:color w:val="auto"/>
              </w:rPr>
            </w:pPr>
          </w:p>
        </w:tc>
      </w:tr>
      <w:tr>
        <w:trPr>
          <w:trHeight w:val="137"/>
        </w:trPr>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14,777</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N/A</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14,777</w:t>
            </w: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142"/>
        </w:trPr>
        <w:tc>
          <w:tcPr>
            <w:tcW w:w="65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Purchased credit card relationship (“PCCR”) intangibles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147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 years</w:t>
            </w:r>
          </w:p>
        </w:tc>
        <w:tc>
          <w:tcPr>
            <w:tcW w:w="0" w:type="dxa"/>
            <w:vAlign w:val="bottom"/>
          </w:tcPr>
          <w:p>
            <w:pPr>
              <w:spacing w:after="0"/>
              <w:rPr>
                <w:sz w:val="1"/>
                <w:szCs w:val="1"/>
                <w:color w:val="auto"/>
              </w:rPr>
            </w:pPr>
          </w:p>
        </w:tc>
      </w:tr>
      <w:tr>
        <w:trPr>
          <w:trHeight w:val="144"/>
        </w:trPr>
        <w:tc>
          <w:tcPr>
            <w:tcW w:w="6500" w:type="dxa"/>
            <w:vAlign w:val="bottom"/>
            <w:tcBorders>
              <w:bottom w:val="single" w:sz="8" w:color="CCEEFF"/>
            </w:tcBorders>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(1)</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195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5.4 years</w:t>
            </w:r>
          </w:p>
        </w:tc>
        <w:tc>
          <w:tcPr>
            <w:tcW w:w="0" w:type="dxa"/>
            <w:vAlign w:val="bottom"/>
          </w:tcPr>
          <w:p>
            <w:pPr>
              <w:spacing w:after="0"/>
              <w:rPr>
                <w:sz w:val="1"/>
                <w:szCs w:val="1"/>
                <w:color w:val="auto"/>
              </w:rPr>
            </w:pPr>
          </w:p>
        </w:tc>
      </w:tr>
      <w:tr>
        <w:trPr>
          <w:trHeight w:val="133"/>
        </w:trPr>
        <w:tc>
          <w:tcPr>
            <w:tcW w:w="65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other intangible assets</w:t>
            </w: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342</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(183)</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159</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 years</w:t>
            </w: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goodwill and other intangible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15,119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(183)</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14,936</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Commercial MSRs</w:t>
            </w:r>
            <w:r>
              <w:rPr>
                <w:rFonts w:ascii="Times New Roman" w:cs="Times New Roman" w:eastAsia="Times New Roman" w:hAnsi="Times New Roman"/>
                <w:sz w:val="14"/>
                <w:szCs w:val="14"/>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660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437</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6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gridSpan w:val="4"/>
          </w:tcPr>
          <w:p>
            <w:pPr>
              <w:jc w:val="right"/>
              <w:ind w:right="747"/>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9"/>
        </w:trPr>
        <w:tc>
          <w:tcPr>
            <w:tcW w:w="6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3"/>
              </w:rPr>
              <w:t>Weighted Average</w:t>
            </w:r>
          </w:p>
        </w:tc>
        <w:tc>
          <w:tcPr>
            <w:tcW w:w="0" w:type="dxa"/>
            <w:vAlign w:val="bottom"/>
          </w:tcPr>
          <w:p>
            <w:pPr>
              <w:spacing w:after="0"/>
              <w:rPr>
                <w:sz w:val="1"/>
                <w:szCs w:val="1"/>
                <w:color w:val="auto"/>
              </w:rPr>
            </w:pPr>
          </w:p>
        </w:tc>
      </w:tr>
      <w:tr>
        <w:trPr>
          <w:trHeight w:val="97"/>
        </w:trPr>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Carrying Amount of</w:t>
            </w:r>
          </w:p>
        </w:tc>
        <w:tc>
          <w:tcPr>
            <w:tcW w:w="180" w:type="dxa"/>
            <w:vAlign w:val="bottom"/>
          </w:tcPr>
          <w:p>
            <w:pPr>
              <w:spacing w:after="0"/>
              <w:rPr>
                <w:sz w:val="8"/>
                <w:szCs w:val="8"/>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8"/>
              </w:rPr>
              <w:t>Remaining</w:t>
            </w:r>
          </w:p>
        </w:tc>
        <w:tc>
          <w:tcPr>
            <w:tcW w:w="0" w:type="dxa"/>
            <w:vAlign w:val="bottom"/>
          </w:tcPr>
          <w:p>
            <w:pPr>
              <w:spacing w:after="0"/>
              <w:rPr>
                <w:sz w:val="1"/>
                <w:szCs w:val="1"/>
                <w:color w:val="auto"/>
              </w:rPr>
            </w:pPr>
          </w:p>
        </w:tc>
      </w:tr>
      <w:tr>
        <w:trPr>
          <w:trHeight w:val="99"/>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w w:val="95"/>
              </w:rPr>
              <w:t>Net Carrying Amount</w:t>
            </w:r>
          </w:p>
        </w:tc>
        <w:tc>
          <w:tcPr>
            <w:tcW w:w="100" w:type="dxa"/>
            <w:vAlign w:val="bottom"/>
          </w:tcPr>
          <w:p>
            <w:pPr>
              <w:spacing w:after="0"/>
              <w:rPr>
                <w:sz w:val="8"/>
                <w:szCs w:val="8"/>
                <w:color w:val="auto"/>
              </w:rPr>
            </w:pPr>
          </w:p>
        </w:tc>
        <w:tc>
          <w:tcPr>
            <w:tcW w:w="11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Amortization</w:t>
            </w:r>
          </w:p>
        </w:tc>
        <w:tc>
          <w:tcPr>
            <w:tcW w:w="0" w:type="dxa"/>
            <w:vAlign w:val="bottom"/>
          </w:tcPr>
          <w:p>
            <w:pPr>
              <w:spacing w:after="0"/>
              <w:rPr>
                <w:sz w:val="1"/>
                <w:szCs w:val="1"/>
                <w:color w:val="auto"/>
              </w:rPr>
            </w:pPr>
          </w:p>
        </w:tc>
      </w:tr>
      <w:tr>
        <w:trPr>
          <w:trHeight w:val="131"/>
        </w:trPr>
        <w:tc>
          <w:tcPr>
            <w:tcW w:w="6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18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Period</w:t>
            </w:r>
          </w:p>
        </w:tc>
        <w:tc>
          <w:tcPr>
            <w:tcW w:w="0" w:type="dxa"/>
            <w:vAlign w:val="bottom"/>
          </w:tcPr>
          <w:p>
            <w:pPr>
              <w:spacing w:after="0"/>
              <w:rPr>
                <w:sz w:val="1"/>
                <w:szCs w:val="1"/>
                <w:color w:val="auto"/>
              </w:rPr>
            </w:pPr>
          </w:p>
        </w:tc>
      </w:tr>
      <w:tr>
        <w:trPr>
          <w:trHeight w:val="137"/>
        </w:trPr>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14,782</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14,782</w:t>
            </w: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2"/>
        </w:trPr>
        <w:tc>
          <w:tcPr>
            <w:tcW w:w="65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Purchased credit card relationship (“PCCR”) intangibles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 years</w:t>
            </w:r>
          </w:p>
        </w:tc>
        <w:tc>
          <w:tcPr>
            <w:tcW w:w="0" w:type="dxa"/>
            <w:vAlign w:val="bottom"/>
          </w:tcPr>
          <w:p>
            <w:pPr>
              <w:spacing w:after="0"/>
              <w:rPr>
                <w:sz w:val="1"/>
                <w:szCs w:val="1"/>
                <w:color w:val="auto"/>
              </w:rPr>
            </w:pPr>
          </w:p>
        </w:tc>
      </w:tr>
      <w:tr>
        <w:trPr>
          <w:trHeight w:val="144"/>
        </w:trPr>
        <w:tc>
          <w:tcPr>
            <w:tcW w:w="6500" w:type="dxa"/>
            <w:vAlign w:val="bottom"/>
            <w:tcBorders>
              <w:bottom w:val="single" w:sz="8" w:color="CCEEFF"/>
            </w:tcBorders>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(1)</w:t>
            </w: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213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4.1 years</w:t>
            </w:r>
          </w:p>
        </w:tc>
        <w:tc>
          <w:tcPr>
            <w:tcW w:w="0" w:type="dxa"/>
            <w:vAlign w:val="bottom"/>
          </w:tcPr>
          <w:p>
            <w:pPr>
              <w:spacing w:after="0"/>
              <w:rPr>
                <w:sz w:val="1"/>
                <w:szCs w:val="1"/>
                <w:color w:val="auto"/>
              </w:rPr>
            </w:pPr>
          </w:p>
        </w:tc>
      </w:tr>
      <w:tr>
        <w:trPr>
          <w:trHeight w:val="133"/>
        </w:trPr>
        <w:tc>
          <w:tcPr>
            <w:tcW w:w="65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other intangible assets</w:t>
            </w: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 years</w:t>
            </w: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goodwill and other intangible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15,024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14,893</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Commercial MSRs</w:t>
            </w:r>
            <w:r>
              <w:rPr>
                <w:rFonts w:ascii="Times New Roman" w:cs="Times New Roman" w:eastAsia="Times New Roman" w:hAnsi="Times New Roman"/>
                <w:sz w:val="14"/>
                <w:szCs w:val="14"/>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8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Primarily consists of intangibles for sponsorship, customer and merchant relationships, trade names and other customer contract intangibles.</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8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Commercial MSRs are accounted for under the amortization method under which we recorded $93 million and $79 million of amortization expense for the years ended December 31, 2022 and 2021 , respectively.</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158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59" w:name="page160"/>
    <w:bookmarkEnd w:id="15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Goodwill</w:t>
      </w:r>
    </w:p>
    <w:p>
      <w:pPr>
        <w:spacing w:after="0" w:line="118"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following table presents changes in carrying amount of goodwill by each of our business segments as of December 31, 2022, 2021 and 2020. There were no changes in the carrying amount of goodwill by each of our business segments for the year ended December 31, 2020. We did not recognize any goodwill impairment during 2022, 2021 and 2020.</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6.2: Goodwill by Business Segments</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6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2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Consumer Banking</w:t>
            </w:r>
          </w:p>
        </w:tc>
        <w:tc>
          <w:tcPr>
            <w:tcW w:w="10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Commercial Banking</w:t>
            </w:r>
          </w:p>
        </w:tc>
        <w:tc>
          <w:tcPr>
            <w:tcW w:w="240" w:type="dxa"/>
            <w:vAlign w:val="bottom"/>
          </w:tcPr>
          <w:p>
            <w:pPr>
              <w:spacing w:after="0"/>
              <w:rPr>
                <w:sz w:val="11"/>
                <w:szCs w:val="11"/>
                <w:color w:val="auto"/>
              </w:rPr>
            </w:pPr>
          </w:p>
        </w:tc>
        <w:tc>
          <w:tcPr>
            <w:tcW w:w="820" w:type="dxa"/>
            <w:vAlign w:val="bottom"/>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2"/>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as of December 31, 2019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4,920</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14,653</w:t>
            </w:r>
          </w:p>
        </w:tc>
      </w:tr>
      <w:tr>
        <w:trPr>
          <w:trHeight w:val="131"/>
        </w:trPr>
        <w:tc>
          <w:tcPr>
            <w:tcW w:w="668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2020</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4,645</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4,920</w:t>
            </w:r>
          </w:p>
        </w:tc>
        <w:tc>
          <w:tcPr>
            <w:tcW w:w="10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14,653</w:t>
            </w:r>
          </w:p>
        </w:tc>
      </w:tr>
      <w:tr>
        <w:trPr>
          <w:trHeight w:val="14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Acquisitions</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r>
      <w:tr>
        <w:trPr>
          <w:trHeight w:val="144"/>
        </w:trPr>
        <w:tc>
          <w:tcPr>
            <w:tcW w:w="6680" w:type="dxa"/>
            <w:vAlign w:val="bottom"/>
            <w:tcBorders>
              <w:bottom w:val="single" w:sz="8" w:color="CCEEFF"/>
            </w:tcBorders>
            <w:gridSpan w:val="2"/>
          </w:tcPr>
          <w:p>
            <w:pPr>
              <w:spacing w:after="0" w:line="144" w:lineRule="exact"/>
              <w:rPr>
                <w:sz w:val="20"/>
                <w:szCs w:val="20"/>
                <w:color w:val="auto"/>
              </w:rPr>
            </w:pPr>
            <w:r>
              <w:rPr>
                <w:rFonts w:ascii="Times New Roman" w:cs="Times New Roman" w:eastAsia="Times New Roman" w:hAnsi="Times New Roman"/>
                <w:sz w:val="11"/>
                <w:szCs w:val="11"/>
                <w:color w:val="auto"/>
              </w:rPr>
              <w:t>Other adjustments</w:t>
            </w:r>
            <w:r>
              <w:rPr>
                <w:rFonts w:ascii="Times New Roman" w:cs="Times New Roman" w:eastAsia="Times New Roman" w:hAnsi="Times New Roman"/>
                <w:sz w:val="14"/>
                <w:szCs w:val="14"/>
                <w:color w:val="auto"/>
                <w:vertAlign w:val="superscript"/>
              </w:rPr>
              <w:t>(1)</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33"/>
        </w:trPr>
        <w:tc>
          <w:tcPr>
            <w:tcW w:w="668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2021</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5,087</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4,645</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5,050</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14,782</w:t>
            </w:r>
          </w:p>
        </w:tc>
      </w:tr>
      <w:tr>
        <w:trPr>
          <w:trHeight w:val="133"/>
        </w:trPr>
        <w:tc>
          <w:tcPr>
            <w:tcW w:w="668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1"/>
                <w:szCs w:val="11"/>
                <w:color w:val="auto"/>
              </w:rPr>
              <w:t>Other adjustments</w:t>
            </w:r>
            <w:r>
              <w:rPr>
                <w:rFonts w:ascii="Times New Roman" w:cs="Times New Roman" w:eastAsia="Times New Roman" w:hAnsi="Times New Roman"/>
                <w:sz w:val="14"/>
                <w:szCs w:val="14"/>
                <w:color w:val="auto"/>
                <w:vertAlign w:val="superscript"/>
              </w:rPr>
              <w:t>(1)</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r>
      <w:tr>
        <w:trPr>
          <w:trHeight w:val="149"/>
        </w:trPr>
        <w:tc>
          <w:tcPr>
            <w:tcW w:w="6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as of December 31, 2022</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5,078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4,645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5,054</w:t>
            </w: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14,777</w:t>
            </w: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tabs>
          <w:tab w:leader="none" w:pos="208" w:val="left"/>
        </w:tabs>
        <w:numPr>
          <w:ilvl w:val="0"/>
          <w:numId w:val="8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foreign currency translation adjustments and measurement period adjustments on prior period acquisitions.</w:t>
      </w:r>
    </w:p>
    <w:p>
      <w:pPr>
        <w:spacing w:after="0" w:line="11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goodwill impairment test is performed as of October 1 of each year. An impairment of a reporting unit’s goodwill is determined based on the amount by which the reporting unit’s carrying value exceeds its fair value, limited to the amount of goodwill allocated to the reporting unit.</w:t>
      </w:r>
    </w:p>
    <w:p>
      <w:pPr>
        <w:spacing w:after="0" w:line="75"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The fair value of reporting units is calculated using a discounted cash flow methodology, a form of the income approach. The calculation uses projected cash flows based on each reporting unit’s internal forecast and uses the perpetuity growth method to calculate terminal values. These cash flows and terminal values are then discounted using appropriate discount rates, which are largely based on our external cost of equity with adjustments for risk inherent in each reporting unit. The carrying amount for a reporting unit is the sum of its respective capital requirements, goodwill and other intangibles balances. Capital is allocated based on each reporting unit’s specific regulatory capital requirements, economic capital requirements, and underlying risks. Consolidated stockholder’s equity in excess of the sum of all reporting unit’s capital requirements that is not identified for future capital needs, such as dividends, share buybacks, or other strategic initiatives, is allocated to the reporting units and the Other category and assumed distributed to equity holders in future periods. Our discounted cash flow analysis requires management to make judgments about future loan and deposit growth, revenue growth, credit losses, and capital rates. The reasonableness of our fair value calculation is assessed by reference to a market-based approach using comparable market multiples and recent market transactions where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159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Intangible Assets</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connection with our acquisitions, we recorded intangible assets that include PCCR intangibles, sponsorship, customer and merchant relationships, partnership, trade names, and other customer contract intangibles. At acquisition, the PCCR intangibles reflect the estimated value of existing credit card holder relationships. There was a $10 million impairment of intangible assets in 2022. There were no impairments of intangible assets in 2021 and 2020.</w:t>
      </w:r>
    </w:p>
    <w:p>
      <w:pPr>
        <w:spacing w:after="0" w:line="7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Intangible assets are typically amortized over their respective estimated useful lives on either an accelerated or straight-line basis. The following table summarizes the actual amortization expense recorded for the years ended December 31, 2022, 2021 and 2020 and the estimated future amortization expense for intangible assets as of December 31,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Table 6.3: Amortization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0"/>
                <w:szCs w:val="10"/>
                <w:color w:val="auto"/>
              </w:rPr>
            </w:pPr>
          </w:p>
        </w:tc>
        <w:tc>
          <w:tcPr>
            <w:tcW w:w="96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0" w:type="dxa"/>
            <w:vAlign w:val="bottom"/>
          </w:tcPr>
          <w:p>
            <w:pPr>
              <w:spacing w:after="0"/>
              <w:rPr>
                <w:sz w:val="1"/>
                <w:szCs w:val="1"/>
                <w:color w:val="auto"/>
              </w:rPr>
            </w:pPr>
          </w:p>
        </w:tc>
      </w:tr>
      <w:tr>
        <w:trPr>
          <w:trHeight w:val="129"/>
        </w:trPr>
        <w:tc>
          <w:tcPr>
            <w:tcW w:w="10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347"/>
              <w:spacing w:after="0"/>
              <w:rPr>
                <w:sz w:val="20"/>
                <w:szCs w:val="20"/>
                <w:color w:val="auto"/>
              </w:rPr>
            </w:pPr>
            <w:r>
              <w:rPr>
                <w:rFonts w:ascii="Times New Roman" w:cs="Times New Roman" w:eastAsia="Times New Roman" w:hAnsi="Times New Roman"/>
                <w:sz w:val="10"/>
                <w:szCs w:val="10"/>
                <w:b w:val="1"/>
                <w:bCs w:val="1"/>
                <w:color w:val="auto"/>
              </w:rPr>
              <w:t>Expense</w:t>
            </w:r>
          </w:p>
        </w:tc>
        <w:tc>
          <w:tcPr>
            <w:tcW w:w="0" w:type="dxa"/>
            <w:vAlign w:val="bottom"/>
          </w:tcPr>
          <w:p>
            <w:pPr>
              <w:spacing w:after="0"/>
              <w:rPr>
                <w:sz w:val="1"/>
                <w:szCs w:val="1"/>
                <w:color w:val="auto"/>
              </w:rPr>
            </w:pPr>
          </w:p>
        </w:tc>
      </w:tr>
      <w:tr>
        <w:trPr>
          <w:trHeight w:val="137"/>
        </w:trPr>
        <w:tc>
          <w:tcPr>
            <w:tcW w:w="10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Actual for the year ended December 31,</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80" w:type="dxa"/>
            <w:vAlign w:val="bottom"/>
          </w:tcPr>
          <w:p>
            <w:pPr>
              <w:spacing w:after="0"/>
              <w:rPr>
                <w:sz w:val="20"/>
                <w:szCs w:val="20"/>
                <w:color w:val="auto"/>
              </w:rPr>
            </w:pPr>
            <w:r>
              <w:rPr>
                <w:rFonts w:ascii="Times New Roman" w:cs="Times New Roman" w:eastAsia="Times New Roman" w:hAnsi="Times New Roman"/>
                <w:sz w:val="11"/>
                <w:szCs w:val="11"/>
                <w:color w:val="auto"/>
              </w:rPr>
              <w:t>2020</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46"/>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43"/>
        </w:trPr>
        <w:tc>
          <w:tcPr>
            <w:tcW w:w="10080" w:type="dxa"/>
            <w:vAlign w:val="bottom"/>
          </w:tcPr>
          <w:p>
            <w:pPr>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60</w:t>
            </w:r>
          </w:p>
        </w:tc>
        <w:tc>
          <w:tcPr>
            <w:tcW w:w="0" w:type="dxa"/>
            <w:vAlign w:val="bottom"/>
          </w:tcPr>
          <w:p>
            <w:pPr>
              <w:spacing w:after="0"/>
              <w:rPr>
                <w:sz w:val="1"/>
                <w:szCs w:val="1"/>
                <w:color w:val="auto"/>
              </w:rPr>
            </w:pPr>
          </w:p>
        </w:tc>
      </w:tr>
      <w:tr>
        <w:trPr>
          <w:trHeight w:val="145"/>
        </w:trPr>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Estimated future amounts for the year ending December 31,</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80" w:type="dxa"/>
            <w:vAlign w:val="bottom"/>
          </w:tcPr>
          <w:p>
            <w:pPr>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0" w:type="dxa"/>
            <w:vAlign w:val="bottom"/>
          </w:tcPr>
          <w:p>
            <w:pPr>
              <w:spacing w:after="0"/>
              <w:rPr>
                <w:sz w:val="1"/>
                <w:szCs w:val="1"/>
                <w:color w:val="auto"/>
              </w:rPr>
            </w:pPr>
          </w:p>
        </w:tc>
      </w:tr>
      <w:tr>
        <w:trPr>
          <w:trHeight w:val="145"/>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w:t>
            </w:r>
          </w:p>
        </w:tc>
        <w:tc>
          <w:tcPr>
            <w:tcW w:w="0" w:type="dxa"/>
            <w:vAlign w:val="bottom"/>
          </w:tcPr>
          <w:p>
            <w:pPr>
              <w:spacing w:after="0"/>
              <w:rPr>
                <w:sz w:val="1"/>
                <w:szCs w:val="1"/>
                <w:color w:val="auto"/>
              </w:rPr>
            </w:pPr>
          </w:p>
        </w:tc>
      </w:tr>
      <w:tr>
        <w:trPr>
          <w:trHeight w:val="143"/>
        </w:trPr>
        <w:tc>
          <w:tcPr>
            <w:tcW w:w="10080" w:type="dxa"/>
            <w:vAlign w:val="bottom"/>
          </w:tcPr>
          <w:p>
            <w:pPr>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w:t>
            </w:r>
          </w:p>
        </w:tc>
        <w:tc>
          <w:tcPr>
            <w:tcW w:w="0" w:type="dxa"/>
            <w:vAlign w:val="bottom"/>
          </w:tcPr>
          <w:p>
            <w:pPr>
              <w:spacing w:after="0"/>
              <w:rPr>
                <w:sz w:val="1"/>
                <w:szCs w:val="1"/>
                <w:color w:val="auto"/>
              </w:rPr>
            </w:pPr>
          </w:p>
        </w:tc>
      </w:tr>
      <w:tr>
        <w:trPr>
          <w:trHeight w:val="145"/>
        </w:trPr>
        <w:tc>
          <w:tcPr>
            <w:tcW w:w="10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0" w:type="dxa"/>
            <w:vAlign w:val="bottom"/>
          </w:tcPr>
          <w:p>
            <w:pPr>
              <w:spacing w:after="0"/>
              <w:rPr>
                <w:sz w:val="1"/>
                <w:szCs w:val="1"/>
                <w:color w:val="auto"/>
              </w:rPr>
            </w:pPr>
          </w:p>
        </w:tc>
      </w:tr>
      <w:tr>
        <w:trPr>
          <w:trHeight w:val="143"/>
        </w:trPr>
        <w:tc>
          <w:tcPr>
            <w:tcW w:w="10080" w:type="dxa"/>
            <w:vAlign w:val="bottom"/>
          </w:tcPr>
          <w:p>
            <w:pPr>
              <w:spacing w:after="0"/>
              <w:rPr>
                <w:sz w:val="20"/>
                <w:szCs w:val="20"/>
                <w:color w:val="auto"/>
              </w:rPr>
            </w:pPr>
            <w:r>
              <w:rPr>
                <w:rFonts w:ascii="Times New Roman" w:cs="Times New Roman" w:eastAsia="Times New Roman" w:hAnsi="Times New Roman"/>
                <w:sz w:val="11"/>
                <w:szCs w:val="11"/>
                <w:color w:val="auto"/>
              </w:rPr>
              <w:t>2027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w:t>
            </w:r>
          </w:p>
        </w:tc>
        <w:tc>
          <w:tcPr>
            <w:tcW w:w="0" w:type="dxa"/>
            <w:vAlign w:val="bottom"/>
          </w:tcPr>
          <w:p>
            <w:pPr>
              <w:spacing w:after="0"/>
              <w:rPr>
                <w:sz w:val="1"/>
                <w:szCs w:val="1"/>
                <w:color w:val="auto"/>
              </w:rPr>
            </w:pPr>
          </w:p>
        </w:tc>
      </w:tr>
      <w:tr>
        <w:trPr>
          <w:trHeight w:val="145"/>
        </w:trPr>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Thereafter</w:t>
            </w: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w:t>
            </w:r>
          </w:p>
        </w:tc>
        <w:tc>
          <w:tcPr>
            <w:tcW w:w="0" w:type="dxa"/>
            <w:vAlign w:val="bottom"/>
          </w:tcPr>
          <w:p>
            <w:pPr>
              <w:spacing w:after="0"/>
              <w:rPr>
                <w:sz w:val="1"/>
                <w:szCs w:val="1"/>
                <w:color w:val="auto"/>
              </w:rPr>
            </w:pPr>
          </w:p>
        </w:tc>
      </w:tr>
      <w:tr>
        <w:trPr>
          <w:trHeight w:val="132"/>
        </w:trPr>
        <w:tc>
          <w:tcPr>
            <w:tcW w:w="101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estimated future amounts</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150</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160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7—PREMISES, EQUIPMENT AND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Premises and Equipment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our premises and equipment as of December 31, 2022 and 2021.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7.1 Components of Premises and Equipment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8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4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40" w:type="dxa"/>
            <w:vAlign w:val="bottom"/>
          </w:tcPr>
          <w:p>
            <w:pPr>
              <w:spacing w:after="0"/>
              <w:rPr>
                <w:sz w:val="11"/>
                <w:szCs w:val="11"/>
                <w:color w:val="auto"/>
              </w:rPr>
            </w:pPr>
          </w:p>
        </w:tc>
        <w:tc>
          <w:tcPr>
            <w:tcW w:w="1040" w:type="dxa"/>
            <w:vAlign w:val="bottom"/>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1"/>
        </w:trPr>
        <w:tc>
          <w:tcPr>
            <w:tcW w:w="8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Land</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w:t>
            </w:r>
          </w:p>
        </w:tc>
      </w:tr>
      <w:tr>
        <w:trPr>
          <w:trHeight w:val="143"/>
        </w:trPr>
        <w:tc>
          <w:tcPr>
            <w:tcW w:w="8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Buildings and improvements</w:t>
            </w: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4,345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3,854</w:t>
            </w:r>
          </w:p>
        </w:tc>
      </w:tr>
      <w:tr>
        <w:trPr>
          <w:trHeight w:val="145"/>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Furniture and equipment</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1,816</w:t>
            </w:r>
          </w:p>
        </w:tc>
      </w:tr>
      <w:tr>
        <w:trPr>
          <w:trHeight w:val="143"/>
        </w:trPr>
        <w:tc>
          <w:tcPr>
            <w:tcW w:w="8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Computer software</w:t>
            </w: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2,006</w:t>
            </w:r>
          </w:p>
        </w:tc>
      </w:tr>
      <w:tr>
        <w:trPr>
          <w:trHeight w:val="145"/>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 progress</w:t>
            </w: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646</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732</w:t>
            </w:r>
          </w:p>
        </w:tc>
      </w:tr>
      <w:tr>
        <w:trPr>
          <w:trHeight w:val="132"/>
        </w:trPr>
        <w:tc>
          <w:tcPr>
            <w:tcW w:w="886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premises and equipment, gross</w:t>
            </w:r>
          </w:p>
        </w:tc>
        <w:tc>
          <w:tcPr>
            <w:tcW w:w="1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9,355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8,744</w:t>
            </w:r>
          </w:p>
        </w:tc>
      </w:tr>
      <w:tr>
        <w:trPr>
          <w:trHeight w:val="145"/>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Less: Accumulated depreciation and amortization</w:t>
            </w: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(5,004)</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(4,534)</w:t>
            </w:r>
          </w:p>
        </w:tc>
      </w:tr>
      <w:tr>
        <w:trPr>
          <w:trHeight w:val="132"/>
        </w:trPr>
        <w:tc>
          <w:tcPr>
            <w:tcW w:w="88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premises and equipment, net</w:t>
            </w: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4,351</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4,210</w:t>
            </w:r>
          </w:p>
        </w:tc>
      </w:tr>
      <w:tr>
        <w:trPr>
          <w:trHeight w:val="20"/>
        </w:trPr>
        <w:tc>
          <w:tcPr>
            <w:tcW w:w="8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 expense was $790 million, $775 million and $809 million for the years ended December 31, 2022, 2021 and 2020,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Leases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primary involvement with leases is in the capacity as a lessee where we lease premises to support our business. A majority of our leases are operating leases of office space, retail bank branches and cafés. For real estate leases, we have elected to account for the lease and non-lease components together as a single lease component. Our operating leases expire at various dates through 2071, and many of them require variable lease payments by us, of property taxes, insurance premiums, common area maintenance and other costs. Certain of these leases also have extension or termination options, and we assess the likelihood of exercising such options. If it is reasonably certain that we will exercise the options, then we include the impact in the measurement of our right-of-use assets and lease liabilities.</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right-of-use assets and lease liabilities for operating leases are included in other assets and other liabilities on our consolidated balance sheets. As most of our operating leases do not provide an implicit rate, we use our incremental borrowing rate in determining the present value of future lease payments. Our operating lease expense is included in occupancy and equipment within non-interest expense in our consolidated statements of income. Total operating lease expense consists of operating lease cost, which is recognized on a straight-line basis over the lease term, and variable lease cost, which is recognized based on actual amounts incurred. We also sublease certain premises, and sublease income is included in other non-interest income in our consolidated statements of income.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present information about our operating lease portfolio and the related lease costs as of and for the years ended December 31, 2022 and 2021.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7.2 Operating Lease Portfolio</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6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Pr>
          <w:p>
            <w:pPr>
              <w:spacing w:after="0"/>
              <w:rPr>
                <w:sz w:val="11"/>
                <w:szCs w:val="11"/>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60" w:type="dxa"/>
            <w:vAlign w:val="bottom"/>
          </w:tcPr>
          <w:p>
            <w:pPr>
              <w:spacing w:after="0"/>
              <w:rPr>
                <w:sz w:val="11"/>
                <w:szCs w:val="11"/>
                <w:color w:val="auto"/>
              </w:rPr>
            </w:pPr>
          </w:p>
        </w:tc>
        <w:tc>
          <w:tcPr>
            <w:tcW w:w="110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2"/>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Right-of-use assets</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1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1,128</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1,137</w:t>
            </w:r>
          </w:p>
        </w:tc>
      </w:tr>
      <w:tr>
        <w:trPr>
          <w:trHeight w:val="143"/>
        </w:trPr>
        <w:tc>
          <w:tcPr>
            <w:tcW w:w="8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Lease liabilities</w:t>
            </w:r>
          </w:p>
        </w:tc>
        <w:tc>
          <w:tcPr>
            <w:tcW w:w="160" w:type="dxa"/>
            <w:vAlign w:val="bottom"/>
          </w:tcPr>
          <w:p>
            <w:pPr>
              <w:spacing w:after="0"/>
              <w:rPr>
                <w:sz w:val="12"/>
                <w:szCs w:val="12"/>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1"/>
                <w:szCs w:val="11"/>
                <w:b w:val="1"/>
                <w:bCs w:val="1"/>
                <w:color w:val="auto"/>
              </w:rPr>
              <w:t>1,458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1,485</w:t>
            </w:r>
          </w:p>
        </w:tc>
      </w:tr>
      <w:tr>
        <w:trPr>
          <w:trHeight w:val="145"/>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Weighted-average remaining lease term</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b w:val="1"/>
                <w:bCs w:val="1"/>
                <w:color w:val="auto"/>
              </w:rPr>
              <w:t>8.4 years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years</w:t>
            </w:r>
          </w:p>
        </w:tc>
      </w:tr>
      <w:tr>
        <w:trPr>
          <w:trHeight w:val="142"/>
        </w:trPr>
        <w:tc>
          <w:tcPr>
            <w:tcW w:w="8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Weighted-average discount rate</w:t>
            </w: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3.0 %</w:t>
            </w:r>
          </w:p>
        </w:tc>
      </w:tr>
      <w:tr>
        <w:trPr>
          <w:trHeight w:val="669"/>
        </w:trPr>
        <w:tc>
          <w:tcPr>
            <w:tcW w:w="8600" w:type="dxa"/>
            <w:vAlign w:val="bottom"/>
          </w:tcPr>
          <w:p>
            <w:pPr>
              <w:ind w:left="5560"/>
              <w:spacing w:after="0"/>
              <w:rPr>
                <w:sz w:val="20"/>
                <w:szCs w:val="20"/>
                <w:color w:val="auto"/>
              </w:rPr>
            </w:pPr>
            <w:r>
              <w:rPr>
                <w:rFonts w:ascii="Times New Roman" w:cs="Times New Roman" w:eastAsia="Times New Roman" w:hAnsi="Times New Roman"/>
                <w:sz w:val="10"/>
                <w:szCs w:val="10"/>
                <w:color w:val="auto"/>
              </w:rPr>
              <w:t>161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r>
      <w:tr>
        <w:trPr>
          <w:trHeight w:val="224"/>
        </w:trPr>
        <w:tc>
          <w:tcPr>
            <w:tcW w:w="86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7.3 Total Operating Lease Expense and Other Information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r>
      <w:tr>
        <w:trPr>
          <w:trHeight w:val="1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80" w:type="dxa"/>
            <w:vAlign w:val="bottom"/>
          </w:tcPr>
          <w:p>
            <w:pPr>
              <w:spacing w:after="0"/>
              <w:rPr>
                <w:sz w:val="11"/>
                <w:szCs w:val="11"/>
                <w:color w:val="auto"/>
              </w:rPr>
            </w:pPr>
          </w:p>
        </w:tc>
        <w:tc>
          <w:tcPr>
            <w:tcW w:w="90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w w:val="79"/>
              </w:rPr>
              <w:t>2021</w:t>
            </w:r>
          </w:p>
        </w:tc>
      </w:tr>
      <w:tr>
        <w:trPr>
          <w:trHeight w:val="138"/>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cost</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280</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r>
      <w:tr>
        <w:trPr>
          <w:trHeight w:val="143"/>
        </w:trPr>
        <w:tc>
          <w:tcPr>
            <w:tcW w:w="8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Variable lease cost</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42</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134"/>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lease cost</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322</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r>
      <w:tr>
        <w:trPr>
          <w:trHeight w:val="143"/>
        </w:trPr>
        <w:tc>
          <w:tcPr>
            <w:tcW w:w="8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Sublease income</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4"/>
        </w:trPr>
        <w:tc>
          <w:tcPr>
            <w:tcW w:w="8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lease cost</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306</w:t>
            </w: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r>
      <w:tr>
        <w:trPr>
          <w:trHeight w:val="13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paid for amounts included in the measurement of lease liabilities</w:t>
            </w: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320</w:t>
            </w:r>
          </w:p>
        </w:tc>
        <w:tc>
          <w:tcPr>
            <w:tcW w:w="80" w:type="dxa"/>
            <w:vAlign w:val="bottom"/>
          </w:tcPr>
          <w:p>
            <w:pPr>
              <w:spacing w:after="0"/>
              <w:rPr>
                <w:sz w:val="12"/>
                <w:szCs w:val="12"/>
                <w:color w:val="auto"/>
              </w:rPr>
            </w:pPr>
          </w:p>
        </w:tc>
        <w:tc>
          <w:tcPr>
            <w:tcW w:w="4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r>
      <w:tr>
        <w:trPr>
          <w:trHeight w:val="145"/>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 obtained in exchange for lease liabilities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221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 maturity analysis of our operating leases and a reconciliation of the undiscounted cash flows to our lease liabilities as of December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7.4 Maturities of Operating Leases and Reconciliation to Lease Liabilities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8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460" w:type="dxa"/>
            <w:vAlign w:val="bottom"/>
          </w:tcPr>
          <w:p>
            <w:pPr>
              <w:spacing w:after="0"/>
              <w:rPr>
                <w:sz w:val="11"/>
                <w:szCs w:val="11"/>
                <w:color w:val="auto"/>
              </w:rPr>
            </w:pPr>
          </w:p>
        </w:tc>
        <w:tc>
          <w:tcPr>
            <w:tcW w:w="1980" w:type="dxa"/>
            <w:vAlign w:val="bottom"/>
          </w:tcPr>
          <w:p>
            <w:pPr>
              <w:jc w:val="right"/>
              <w:ind w:right="787"/>
              <w:spacing w:after="0"/>
              <w:rPr>
                <w:sz w:val="20"/>
                <w:szCs w:val="20"/>
                <w:color w:val="auto"/>
              </w:rPr>
            </w:pPr>
            <w:r>
              <w:rPr>
                <w:rFonts w:ascii="Times New Roman" w:cs="Times New Roman" w:eastAsia="Times New Roman" w:hAnsi="Times New Roman"/>
                <w:sz w:val="10"/>
                <w:szCs w:val="10"/>
                <w:b w:val="1"/>
                <w:bCs w:val="1"/>
                <w:color w:val="auto"/>
              </w:rPr>
              <w:t>December 31, 2022</w:t>
            </w:r>
          </w:p>
        </w:tc>
      </w:tr>
      <w:tr>
        <w:trPr>
          <w:trHeight w:val="142"/>
        </w:trPr>
        <w:tc>
          <w:tcPr>
            <w:tcW w:w="8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259</w:t>
            </w:r>
          </w:p>
        </w:tc>
      </w:tr>
      <w:tr>
        <w:trPr>
          <w:trHeight w:val="143"/>
        </w:trPr>
        <w:tc>
          <w:tcPr>
            <w:tcW w:w="8780" w:type="dxa"/>
            <w:vAlign w:val="bottom"/>
          </w:tcPr>
          <w:p>
            <w:pPr>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241</w:t>
            </w:r>
          </w:p>
        </w:tc>
      </w:tr>
      <w:tr>
        <w:trPr>
          <w:trHeight w:val="145"/>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210</w:t>
            </w:r>
          </w:p>
        </w:tc>
      </w:tr>
      <w:tr>
        <w:trPr>
          <w:trHeight w:val="143"/>
        </w:trPr>
        <w:tc>
          <w:tcPr>
            <w:tcW w:w="878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192</w:t>
            </w:r>
          </w:p>
        </w:tc>
      </w:tr>
      <w:tr>
        <w:trPr>
          <w:trHeight w:val="145"/>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167</w:t>
            </w:r>
          </w:p>
        </w:tc>
      </w:tr>
      <w:tr>
        <w:trPr>
          <w:trHeight w:val="143"/>
        </w:trPr>
        <w:tc>
          <w:tcPr>
            <w:tcW w:w="8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Thereafter</w:t>
            </w:r>
          </w:p>
        </w:tc>
        <w:tc>
          <w:tcPr>
            <w:tcW w:w="4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623</w:t>
            </w:r>
          </w:p>
        </w:tc>
      </w:tr>
      <w:tr>
        <w:trPr>
          <w:trHeight w:val="134"/>
        </w:trPr>
        <w:tc>
          <w:tcPr>
            <w:tcW w:w="886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undiscounted lease payments</w:t>
            </w:r>
          </w:p>
        </w:tc>
        <w:tc>
          <w:tcPr>
            <w:tcW w:w="460" w:type="dxa"/>
            <w:vAlign w:val="bottom"/>
            <w:shd w:val="clear" w:color="auto" w:fill="CCEEFF"/>
          </w:tcPr>
          <w:p>
            <w:pPr>
              <w:spacing w:after="0"/>
              <w:rPr>
                <w:sz w:val="11"/>
                <w:szCs w:val="1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1,692</w:t>
            </w:r>
          </w:p>
        </w:tc>
      </w:tr>
      <w:tr>
        <w:trPr>
          <w:trHeight w:val="143"/>
        </w:trPr>
        <w:tc>
          <w:tcPr>
            <w:tcW w:w="8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Less: Imputed interest</w:t>
            </w:r>
          </w:p>
        </w:tc>
        <w:tc>
          <w:tcPr>
            <w:tcW w:w="4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(234)</w:t>
            </w:r>
          </w:p>
        </w:tc>
      </w:tr>
      <w:tr>
        <w:trPr>
          <w:trHeight w:val="150"/>
        </w:trPr>
        <w:tc>
          <w:tcPr>
            <w:tcW w:w="8860" w:type="dxa"/>
            <w:vAlign w:val="bottom"/>
            <w:tcBorders>
              <w:bottom w:val="single" w:sz="8" w:color="CCEEFF"/>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lease liabilities</w:t>
            </w:r>
          </w:p>
        </w:tc>
        <w:tc>
          <w:tcPr>
            <w:tcW w:w="46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1,458</w:t>
            </w:r>
          </w:p>
        </w:tc>
      </w:tr>
    </w:tbl>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of December 31, 2022, we had approximately $22 million and $33 million of right-of-use assets and lease liabilities, respectively, for finance leases with a weighted-average remaining lease term of 3.3 years. As of December 31, 2021, we had approximately $33 million and $53 million of right-of-use assets and lease liabilities, respectively, for finance leases with a weighted-average remaining lease term of 3.4 years. These right-of-use assets and lease liabilities are included in premises and equipment, net and other borrowings, respectively, on our consolidated balance sheets. We recognized $14 million and $22 million of total finance lease expense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162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3" w:name="page164"/>
    <w:bookmarkEnd w:id="16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178040"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8—DEPOSITS AND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9"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Our deposits, which include checking accounts, money market deposits, negotiable order of withdrawals, savings deposits and time deposits, represent our largest source of funding for our assets and operations. We also use a variety of other funding sources including short-term borrowings, senior and subordinated notes, securitized debt obligations and other borrowings. Securitized debt obligations are presented separately on our consolidated balance sheets, as they represent obligations of consolidated securitization trusts, while federal funds purchased and securities loaned or sold under agreements to repurchase, senior and subordinated notes and other borrowings, including FHLB advances, are included in other debt on our consolidated balance sheets.</w:t>
      </w:r>
    </w:p>
    <w:p>
      <w:pPr>
        <w:spacing w:after="0" w:line="8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Our total short-term borrowings generally consist of federal funds purchased, securities loaned or sold under agreements to repurchase and FHLB advances. Our long-term debt consists of borrowings with an original contractual maturity of greater than one year. The following tables summarize the components of our deposits, short-term borrowings and long-term debt as of December 31, 2022 and 2021. The carrying value presented below for these borrowings includes unamortized debt premiums and discounts, net of debt issuance costs and fair value hedge accounting adjustments.</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8.1: Components of Deposits, Short-Term Borrowings and Long-Term Debt</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142"/>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Deposits:</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32,203</w:t>
            </w:r>
          </w:p>
        </w:tc>
        <w:tc>
          <w:tcPr>
            <w:tcW w:w="20" w:type="dxa"/>
            <w:vAlign w:val="bottom"/>
          </w:tcPr>
          <w:p>
            <w:pPr>
              <w:spacing w:after="0"/>
              <w:rPr>
                <w:sz w:val="12"/>
                <w:szCs w:val="12"/>
                <w:color w:val="auto"/>
              </w:rPr>
            </w:pPr>
          </w:p>
        </w:tc>
        <w:tc>
          <w:tcPr>
            <w:tcW w:w="22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1"/>
                <w:szCs w:val="11"/>
                <w:color w:val="auto"/>
              </w:rPr>
              <w:t>Interest-bearing deposits</w:t>
            </w:r>
            <w:r>
              <w:rPr>
                <w:rFonts w:ascii="Times New Roman" w:cs="Times New Roman" w:eastAsia="Times New Roman" w:hAnsi="Times New Roman"/>
                <w:sz w:val="14"/>
                <w:szCs w:val="14"/>
                <w:color w:val="auto"/>
                <w:vertAlign w:val="superscript"/>
              </w:rPr>
              <w:t>(1)</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300,789</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272,937</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deposits</w:t>
            </w:r>
          </w:p>
        </w:tc>
        <w:tc>
          <w:tcPr>
            <w:tcW w:w="1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332,992</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310,980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2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Short-term borrowings:</w:t>
            </w: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Federal funds purchased and securities loaned or sold under agreements to repurchase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20" w:type="dxa"/>
            <w:vAlign w:val="bottom"/>
          </w:tcPr>
          <w:p>
            <w:pPr>
              <w:spacing w:after="0"/>
              <w:rPr>
                <w:sz w:val="12"/>
                <w:szCs w:val="12"/>
                <w:color w:val="auto"/>
              </w:rPr>
            </w:pPr>
          </w:p>
        </w:tc>
        <w:tc>
          <w:tcPr>
            <w:tcW w:w="22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short-term borrowings</w:t>
            </w:r>
          </w:p>
        </w:tc>
        <w:tc>
          <w:tcPr>
            <w:tcW w:w="12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3"/>
              </w:rPr>
              <w:t>December 31,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Maturity Dates</w:t>
            </w:r>
          </w:p>
        </w:tc>
        <w:tc>
          <w:tcPr>
            <w:tcW w:w="2060" w:type="dxa"/>
            <w:vAlign w:val="bottom"/>
            <w:gridSpan w:val="3"/>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Stated Interest Rates</w:t>
            </w:r>
          </w:p>
        </w:tc>
        <w:tc>
          <w:tcPr>
            <w:tcW w:w="1140" w:type="dxa"/>
            <w:vAlign w:val="bottom"/>
            <w:gridSpan w:val="3"/>
          </w:tcPr>
          <w:p>
            <w:pPr>
              <w:jc w:val="center"/>
              <w:ind w:right="180"/>
              <w:spacing w:after="0" w:line="89" w:lineRule="exact"/>
              <w:rPr>
                <w:sz w:val="20"/>
                <w:szCs w:val="20"/>
                <w:color w:val="auto"/>
              </w:rPr>
            </w:pPr>
            <w:r>
              <w:rPr>
                <w:rFonts w:ascii="Times New Roman" w:cs="Times New Roman" w:eastAsia="Times New Roman" w:hAnsi="Times New Roman"/>
                <w:sz w:val="10"/>
                <w:szCs w:val="10"/>
                <w:b w:val="1"/>
                <w:bCs w:val="1"/>
                <w:color w:val="auto"/>
                <w:w w:val="94"/>
              </w:rPr>
              <w:t>Weighted-Average</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2"/>
              </w:rPr>
              <w:t>Carrying Value</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Carrying Value</w:t>
            </w:r>
          </w:p>
        </w:tc>
        <w:tc>
          <w:tcPr>
            <w:tcW w:w="0" w:type="dxa"/>
            <w:vAlign w:val="bottom"/>
          </w:tcPr>
          <w:p>
            <w:pPr>
              <w:spacing w:after="0"/>
              <w:rPr>
                <w:sz w:val="1"/>
                <w:szCs w:val="1"/>
                <w:color w:val="auto"/>
              </w:rPr>
            </w:pPr>
          </w:p>
        </w:tc>
      </w:tr>
      <w:tr>
        <w:trPr>
          <w:trHeight w:val="129"/>
        </w:trPr>
        <w:tc>
          <w:tcPr>
            <w:tcW w:w="428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Long-term debt:</w:t>
            </w: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Securitized debt obligations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2023-2028</w:t>
            </w:r>
          </w:p>
        </w:tc>
        <w:tc>
          <w:tcPr>
            <w:tcW w:w="6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0.32% - 4.95%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16,973</w:t>
            </w:r>
          </w:p>
        </w:tc>
        <w:tc>
          <w:tcPr>
            <w:tcW w:w="20" w:type="dxa"/>
            <w:vAlign w:val="bottom"/>
          </w:tcPr>
          <w:p>
            <w:pPr>
              <w:spacing w:after="0"/>
              <w:rPr>
                <w:sz w:val="12"/>
                <w:szCs w:val="12"/>
                <w:color w:val="auto"/>
              </w:rPr>
            </w:pPr>
          </w:p>
        </w:tc>
        <w:tc>
          <w:tcPr>
            <w:tcW w:w="22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Senior and subordinated notes:</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gridSpan w:val="2"/>
          </w:tcPr>
          <w:p>
            <w:pPr>
              <w:ind w:left="300"/>
              <w:spacing w:after="0" w:line="144" w:lineRule="exact"/>
              <w:rPr>
                <w:sz w:val="20"/>
                <w:szCs w:val="20"/>
                <w:color w:val="auto"/>
              </w:rPr>
            </w:pPr>
            <w:r>
              <w:rPr>
                <w:rFonts w:ascii="Times New Roman" w:cs="Times New Roman" w:eastAsia="Times New Roman" w:hAnsi="Times New Roman"/>
                <w:sz w:val="11"/>
                <w:szCs w:val="11"/>
                <w:color w:val="auto"/>
              </w:rPr>
              <w:t>Fixed unsecured senior debt</w:t>
            </w:r>
            <w:r>
              <w:rPr>
                <w:rFonts w:ascii="Times New Roman" w:cs="Times New Roman" w:eastAsia="Times New Roman" w:hAnsi="Times New Roman"/>
                <w:sz w:val="14"/>
                <w:szCs w:val="14"/>
                <w:color w:val="auto"/>
                <w:vertAlign w:val="superscript"/>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2023-2033</w:t>
            </w:r>
          </w:p>
        </w:tc>
        <w:tc>
          <w:tcPr>
            <w:tcW w:w="6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0.80 - 5.27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3.43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24,134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Floating unsecured senior debt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2023-2025</w:t>
            </w:r>
          </w:p>
        </w:tc>
        <w:tc>
          <w:tcPr>
            <w:tcW w:w="6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4.99 - 5.65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5.17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1,597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280" w:type="dxa"/>
            <w:vAlign w:val="bottom"/>
            <w:gridSpan w:val="2"/>
          </w:tcPr>
          <w:p>
            <w:pPr>
              <w:ind w:left="360"/>
              <w:spacing w:after="0" w:line="121" w:lineRule="exact"/>
              <w:rPr>
                <w:sz w:val="20"/>
                <w:szCs w:val="20"/>
                <w:color w:val="auto"/>
              </w:rPr>
            </w:pPr>
            <w:r>
              <w:rPr>
                <w:rFonts w:ascii="Times New Roman" w:cs="Times New Roman" w:eastAsia="Times New Roman" w:hAnsi="Times New Roman"/>
                <w:sz w:val="11"/>
                <w:szCs w:val="11"/>
                <w:color w:val="auto"/>
              </w:rPr>
              <w:t>Total unsecured senior debt</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48"/>
              <w:spacing w:after="0" w:line="122" w:lineRule="exact"/>
              <w:rPr>
                <w:sz w:val="20"/>
                <w:szCs w:val="20"/>
                <w:color w:val="auto"/>
              </w:rPr>
            </w:pPr>
            <w:r>
              <w:rPr>
                <w:rFonts w:ascii="Times New Roman" w:cs="Times New Roman" w:eastAsia="Times New Roman" w:hAnsi="Times New Roman"/>
                <w:sz w:val="11"/>
                <w:szCs w:val="11"/>
                <w:b w:val="1"/>
                <w:bCs w:val="1"/>
                <w:color w:val="auto"/>
              </w:rPr>
              <w:t>3.53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25,731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Fixed unsecured subordinated debt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2023-2032</w:t>
            </w:r>
          </w:p>
        </w:tc>
        <w:tc>
          <w:tcPr>
            <w:tcW w:w="60" w:type="dxa"/>
            <w:vAlign w:val="bottom"/>
            <w:shd w:val="clear" w:color="auto" w:fill="CCEEFF"/>
          </w:tcPr>
          <w:p>
            <w:pPr>
              <w:spacing w:after="0"/>
              <w:rPr>
                <w:sz w:val="12"/>
                <w:szCs w:val="1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2.36 - 4.20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3.52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5,095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280" w:type="dxa"/>
            <w:vAlign w:val="bottom"/>
            <w:gridSpan w:val="2"/>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senior and subordinated notes</w:t>
            </w: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30,826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long-term borrowings:</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2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2023 - 2031</w:t>
            </w:r>
          </w:p>
        </w:tc>
        <w:tc>
          <w:tcPr>
            <w:tcW w:w="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0.30 - 9.91</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4.27</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80" w:type="dxa"/>
            <w:vAlign w:val="bottom"/>
            <w:gridSpan w:val="2"/>
            <w:shd w:val="clear" w:color="auto" w:fill="CCEEFF"/>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other long-term borrowings</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8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long-term debt</w:t>
            </w:r>
          </w:p>
        </w:tc>
        <w:tc>
          <w:tcPr>
            <w:tcW w:w="12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8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47,832</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42,266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short-term borrowings and long-term debt</w:t>
            </w:r>
          </w:p>
        </w:tc>
        <w:tc>
          <w:tcPr>
            <w:tcW w:w="1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48,715</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8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$6.1 billion and $1.8 billion of time deposits in denominations in excess of the $250,000 federal insurance limit as of December 31, 2022 and 2021, respectively.</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8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$1.2 billion and $1.4 billion of Euro (“EUR”) denominated unsecured notes as of December 31, 2022 and 2021, respectively.</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163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carrying value of our interest-bearing time deposits with contractual maturities, securitized debt obligations and other debt by remaining contractual maturity as of December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8.2: Maturity Profile of Borrowings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1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20" w:type="dxa"/>
            <w:vAlign w:val="bottom"/>
          </w:tcPr>
          <w:p>
            <w:pPr>
              <w:spacing w:after="0"/>
              <w:rPr>
                <w:sz w:val="11"/>
                <w:szCs w:val="11"/>
                <w:color w:val="auto"/>
              </w:rPr>
            </w:pPr>
          </w:p>
        </w:tc>
        <w:tc>
          <w:tcPr>
            <w:tcW w:w="70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2027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220" w:type="dxa"/>
            <w:vAlign w:val="bottom"/>
          </w:tcPr>
          <w:p>
            <w:pPr>
              <w:spacing w:after="0"/>
              <w:rPr>
                <w:sz w:val="11"/>
                <w:szCs w:val="11"/>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2"/>
        </w:trPr>
        <w:tc>
          <w:tcPr>
            <w:tcW w:w="4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time deposits</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20,090</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13,321</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4,349</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2,077</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5,719</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45,858</w:t>
            </w:r>
          </w:p>
        </w:tc>
        <w:tc>
          <w:tcPr>
            <w:tcW w:w="100" w:type="dxa"/>
            <w:vAlign w:val="bottom"/>
          </w:tcPr>
          <w:p>
            <w:pPr>
              <w:spacing w:after="0"/>
              <w:rPr>
                <w:sz w:val="12"/>
                <w:szCs w:val="12"/>
                <w:color w:val="auto"/>
              </w:rPr>
            </w:pPr>
          </w:p>
        </w:tc>
      </w:tr>
      <w:tr>
        <w:trPr>
          <w:trHeight w:val="143"/>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Securitized debt obligations</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4,166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7,780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1,620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1,192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16,973</w:t>
            </w:r>
          </w:p>
        </w:tc>
        <w:tc>
          <w:tcPr>
            <w:tcW w:w="100" w:type="dxa"/>
            <w:vAlign w:val="bottom"/>
          </w:tcPr>
          <w:p>
            <w:pPr>
              <w:spacing w:after="0"/>
              <w:rPr>
                <w:sz w:val="12"/>
                <w:szCs w:val="12"/>
                <w:color w:val="auto"/>
              </w:rPr>
            </w:pPr>
          </w:p>
        </w:tc>
      </w:tr>
      <w:tr>
        <w:trPr>
          <w:trHeight w:val="145"/>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Federal funds purchased and securities loaned or sold under agreements to repurchase</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100" w:type="dxa"/>
            <w:vAlign w:val="bottom"/>
          </w:tcPr>
          <w:p>
            <w:pPr>
              <w:spacing w:after="0"/>
              <w:rPr>
                <w:sz w:val="12"/>
                <w:szCs w:val="12"/>
                <w:color w:val="auto"/>
              </w:rPr>
            </w:pPr>
          </w:p>
        </w:tc>
      </w:tr>
      <w:tr>
        <w:trPr>
          <w:trHeight w:val="143"/>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Senior and subordinated notes</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4,859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6,387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4,397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4,325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3,381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7,477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30,826</w:t>
            </w:r>
          </w:p>
        </w:tc>
        <w:tc>
          <w:tcPr>
            <w:tcW w:w="100" w:type="dxa"/>
            <w:vAlign w:val="bottom"/>
          </w:tcPr>
          <w:p>
            <w:pPr>
              <w:spacing w:after="0"/>
              <w:rPr>
                <w:sz w:val="12"/>
                <w:szCs w:val="12"/>
                <w:color w:val="auto"/>
              </w:rPr>
            </w:pPr>
          </w:p>
        </w:tc>
      </w:tr>
      <w:tr>
        <w:trPr>
          <w:trHeight w:val="144"/>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borrowings</w:t>
            </w: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w:t>
            </w:r>
          </w:p>
        </w:tc>
        <w:tc>
          <w:tcPr>
            <w:tcW w:w="100" w:type="dxa"/>
            <w:vAlign w:val="bottom"/>
          </w:tcPr>
          <w:p>
            <w:pPr>
              <w:spacing w:after="0"/>
              <w:rPr>
                <w:sz w:val="12"/>
                <w:szCs w:val="12"/>
                <w:color w:val="auto"/>
              </w:rPr>
            </w:pPr>
          </w:p>
        </w:tc>
      </w:tr>
      <w:tr>
        <w:trPr>
          <w:trHeight w:val="134"/>
        </w:trPr>
        <w:tc>
          <w:tcPr>
            <w:tcW w:w="4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26,317</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23,877</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16,528</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8,153</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10,723</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8,975</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94,573</w:t>
            </w:r>
          </w:p>
        </w:tc>
        <w:tc>
          <w:tcPr>
            <w:tcW w:w="100" w:type="dxa"/>
            <w:vAlign w:val="bottom"/>
          </w:tcPr>
          <w:p>
            <w:pPr>
              <w:spacing w:after="0"/>
              <w:rPr>
                <w:sz w:val="11"/>
                <w:szCs w:val="1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87"/>
        </w:trPr>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28"/>
              <w:spacing w:after="0"/>
              <w:rPr>
                <w:sz w:val="20"/>
                <w:szCs w:val="20"/>
                <w:color w:val="auto"/>
              </w:rPr>
            </w:pPr>
            <w:r>
              <w:rPr>
                <w:rFonts w:ascii="Times New Roman" w:cs="Times New Roman" w:eastAsia="Times New Roman" w:hAnsi="Times New Roman"/>
                <w:sz w:val="10"/>
                <w:szCs w:val="10"/>
                <w:color w:val="auto"/>
              </w:rPr>
              <w:t>164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5"/>
          </w:tcPr>
          <w:p>
            <w:pPr>
              <w:ind w:left="28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24"/>
        </w:trPr>
        <w:tc>
          <w:tcPr>
            <w:tcW w:w="4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Derivatives and Accounting for Derivatives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regularly enter into derivative transactions to support our overall risk management activities. Our primary market risks stem from the impact on our earnings and economic value of equity due to changes in interest rates and, to a lesser extent, changes in foreign exchange rates. We manage our interest rate sensitivity by employing several techniques, which include changing the duration and re-pricing characteristics of various assets and liabilities by using interest rate derivatives. We also use foreign currency derivatives to limit our earnings and capital exposures to foreign exchange risk by hedging exposures denominated in foreign currencies. We primarily use interest rate and foreign currency swaps to hedge, but we may also use a variety of other derivative instruments, including caps, floors, options, futures and forward contracts, to manage our interest rate and foreign exchange risks. We designate these risk management derivatives as either qualifying accounting hedges or free-standing derivatives. Qualifying accounting hedges are further designated as fair value hedges, cash flow hedges or net investment hedges. Free-standing derivatives are economic hedges that do not qualify for hedge accounting.</w:t>
      </w:r>
    </w:p>
    <w:p>
      <w:pPr>
        <w:spacing w:after="0" w:line="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also offer interest rate, commodity, foreign currency derivatives and other contracts as an accommodation to our customers within our Commercial Banking business. We enter into these derivatives with our customers primarily to help them manage their interest rate risks, hedge their energy and other commodities exposures, and manage foreign currency fluctuations. We offset the majority of the market risk exposure of our customer accommodation derivatives through derivative transactions with other counterparties.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below for additional information on our use of derivatives and how we account for them:</w:t>
      </w:r>
    </w:p>
    <w:p>
      <w:pPr>
        <w:spacing w:after="0" w:line="112" w:lineRule="exact"/>
        <w:rPr>
          <w:sz w:val="20"/>
          <w:szCs w:val="20"/>
          <w:color w:val="auto"/>
        </w:rPr>
      </w:pPr>
    </w:p>
    <w:p>
      <w:pPr>
        <w:jc w:val="both"/>
        <w:ind w:left="320" w:hanging="220"/>
        <w:spacing w:after="0" w:line="266" w:lineRule="auto"/>
        <w:tabs>
          <w:tab w:leader="none" w:pos="317" w:val="left"/>
        </w:tabs>
        <w:numPr>
          <w:ilvl w:val="0"/>
          <w:numId w:val="8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Fair Value Hedges: </w:t>
      </w:r>
      <w:r>
        <w:rPr>
          <w:rFonts w:ascii="Times New Roman" w:cs="Times New Roman" w:eastAsia="Times New Roman" w:hAnsi="Times New Roman"/>
          <w:sz w:val="12"/>
          <w:szCs w:val="12"/>
          <w:color w:val="auto"/>
        </w:rPr>
        <w:t>We designate derivatives as fair value hedges when they are used to manage our exposure to changes in the fair value of certain financial assets and liabilities, which fluctuate in value as a result of movements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interest rates. Changes in the fair value of derivatives designated as fair value hedges are presented in the same line item in our consolidated statements of income as the earnings effect of the hedged items. Our fair value hedges primarily consist of interest rate swaps that are intended to modify our exposure to interest rate risk on various fixed-rate financial assets and liabilities.</w:t>
      </w:r>
    </w:p>
    <w:p>
      <w:pPr>
        <w:spacing w:after="0" w:line="72" w:lineRule="exact"/>
        <w:rPr>
          <w:rFonts w:ascii="Times New Roman" w:cs="Times New Roman" w:eastAsia="Times New Roman" w:hAnsi="Times New Roman"/>
          <w:sz w:val="12"/>
          <w:szCs w:val="12"/>
          <w:i w:val="1"/>
          <w:iCs w:val="1"/>
          <w:color w:val="auto"/>
        </w:rPr>
      </w:pPr>
    </w:p>
    <w:p>
      <w:pPr>
        <w:jc w:val="both"/>
        <w:ind w:left="320" w:hanging="220"/>
        <w:spacing w:after="0"/>
        <w:tabs>
          <w:tab w:leader="none" w:pos="31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Cash Flow Hedges: </w:t>
      </w:r>
      <w:r>
        <w:rPr>
          <w:rFonts w:ascii="Times New Roman" w:cs="Times New Roman" w:eastAsia="Times New Roman" w:hAnsi="Times New Roman"/>
          <w:sz w:val="12"/>
          <w:szCs w:val="12"/>
          <w:color w:val="auto"/>
        </w:rPr>
        <w:t>We designate derivatives as cash flow hedges when they are used to manage our exposure to variability in cash flows related to forecasted transactions. Changes in the fair value of derivatives designated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cash flow hedges are recorded as a component of AOCI. Those amounts are reclassified into earnings in the same period during which the hedged forecasted transactions impact earnings and presented in the same line item in our consolidated statements of income as the earnings effect of the hedged items. Our cash flow hedges use interest rate swaps and floors that are intended to hedge the variability in interest receipts or interest payments on some of our variable-rate financial assets or liabilities. We also enter into foreign currency forward contracts to hedge our exposure to variability in cash flows related to intercompany borrowings denominated in foreign currencies.</w:t>
      </w:r>
    </w:p>
    <w:p>
      <w:pPr>
        <w:spacing w:after="0" w:line="96" w:lineRule="exact"/>
        <w:rPr>
          <w:rFonts w:ascii="Times New Roman" w:cs="Times New Roman" w:eastAsia="Times New Roman" w:hAnsi="Times New Roman"/>
          <w:sz w:val="12"/>
          <w:szCs w:val="12"/>
          <w:color w:val="auto"/>
        </w:rPr>
      </w:pPr>
    </w:p>
    <w:p>
      <w:pPr>
        <w:jc w:val="both"/>
        <w:ind w:left="320" w:hanging="220"/>
        <w:spacing w:after="0" w:line="266" w:lineRule="auto"/>
        <w:tabs>
          <w:tab w:leader="none" w:pos="31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Net Investment Hedges: </w:t>
      </w:r>
      <w:r>
        <w:rPr>
          <w:rFonts w:ascii="Times New Roman" w:cs="Times New Roman" w:eastAsia="Times New Roman" w:hAnsi="Times New Roman"/>
          <w:sz w:val="12"/>
          <w:szCs w:val="12"/>
          <w:color w:val="auto"/>
        </w:rPr>
        <w:t>We use net investment hedges to manage the foreign currency exposure related to our net investments in foreign operations that have functional currencies other than the U.S. dollar. Changes in the fair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value of net investment hedges are recorded in the translation adjustment component of AOCI, offsetting the translation gain or loss from those foreign operations. We execute net investment hedges using foreign currency forward contracts to hedge the translation exposure of the net investment in our foreign operations under the forward method.</w:t>
      </w:r>
    </w:p>
    <w:p>
      <w:pPr>
        <w:spacing w:after="0" w:line="81" w:lineRule="exact"/>
        <w:rPr>
          <w:rFonts w:ascii="Times New Roman" w:cs="Times New Roman" w:eastAsia="Times New Roman" w:hAnsi="Times New Roman"/>
          <w:sz w:val="12"/>
          <w:szCs w:val="12"/>
          <w:color w:val="auto"/>
        </w:rPr>
      </w:pPr>
    </w:p>
    <w:p>
      <w:pPr>
        <w:jc w:val="both"/>
        <w:ind w:left="320" w:hanging="220"/>
        <w:spacing w:after="0" w:line="266" w:lineRule="auto"/>
        <w:tabs>
          <w:tab w:leader="none" w:pos="317" w:val="left"/>
        </w:tabs>
        <w:numPr>
          <w:ilvl w:val="0"/>
          <w:numId w:val="8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Free-Standing Derivatives: </w:t>
      </w:r>
      <w:r>
        <w:rPr>
          <w:rFonts w:ascii="Times New Roman" w:cs="Times New Roman" w:eastAsia="Times New Roman" w:hAnsi="Times New Roman"/>
          <w:sz w:val="12"/>
          <w:szCs w:val="12"/>
          <w:color w:val="auto"/>
        </w:rPr>
        <w:t>Our free-standing derivatives primarily consist of our customer accommodation derivatives and other economic hedges. The customer accommodation derivatives and the related offsetting contracts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mainly interest rate, commodity and foreign currency contracts. The other free-standing derivatives are primarily used to economically hedge the risk of changes in the fair value of our commercial mortgage loan origination and purchase commitments as well as other interests held. Changes in the fair value of free-standing derivatives are recorded in earnings as a component of other non-interest income.</w:t>
      </w:r>
    </w:p>
    <w:p>
      <w:pPr>
        <w:spacing w:after="0" w:line="200" w:lineRule="exact"/>
        <w:rPr>
          <w:sz w:val="20"/>
          <w:szCs w:val="20"/>
          <w:color w:val="auto"/>
        </w:rPr>
      </w:pPr>
    </w:p>
    <w:p>
      <w:pPr>
        <w:spacing w:after="0" w:line="38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165</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720344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Derivatives Counterparty Credit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Counterparty Types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Derivative instruments contain an element of credit risk that stems from the potential failure of a counterparty to perform according to the terms of the contract, including making payments due upon maturity of certain derivative instruments. We execute our derivative contracts primarily in OTC markets. We also execute interest rate and commodity futures in the exchange-traded derivative markets. Our OTC derivatives consist of both trades cleared through central counterparty clearinghouses (“CCPs”) and uncleared bilateral contracts. The Chicago Mercantile Exchange (“CME”), the Intercontinental Exchange (“ICE”) and the LCH Group (“LCH”) are our CCPs for our centrally cleared contracts. In our uncleared bilateral contracts, we enter into agreements directly with our derivative counterparties.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Counterparty Credit Risk Management</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manage the counterparty credit risk associated with derivative instruments by entering into legally enforceable master netting agreements, where applicable, and exchanging collateral with our counterparties, typically in the form of cash or high-quality liquid securities. We exchange collateral in two primary forms: variation margin, which mitigates the risk of changes in value due to daily market movements and is exchanged daily, and initial margin, which mitigates the risk of potential future exposure of a derivative and is exchanged at the outset of a transaction and adjusted daily. We exchange variation margin and initial margin on our cleared derivatives. For uncleared bilateral derivatives, we exchange variation margin and initial margin on any new trades executed after September 1, 2021, where such trades are in scope for initial margin.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amount of collateral exchanged for variation margin is dependent upon the fair value of the derivative instruments as well as the fair value of the pledged collateral and will vary over time as market variables change. The amount of the initial margin exchanged is dependent upon 1) the calculation of initial margin exposure, as prescribed by 1(a) the U.S. prudential regulators’ margin rules for uncleared derivatives (“PR Rules”) or 1(b) the CCPs for cleared derivatives and 2) the fair value of the pledged collateral; it will vary over time as market variables change. When valuing collateral, an estimate of the variation in price and liquidity over time is subtracted in the form of a “haircut” to discount the value of the collateral pledged. Our exposure to derivative counterparty credit risk, at any point in time, is equal to the amount reported as a derivative asset on our balance sheet. The fair value of our derivatives is adjusted on an aggregate basis to take into consideration the effects of legally enforceable master netting agreements and any associated collateral received or pledged. See Table 9.3 for our net exposure associated with derivatives.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terms under which we collateralize our exposures differ between cleared exposures and uncleared bilateral exposures.</w:t>
      </w:r>
    </w:p>
    <w:p>
      <w:pPr>
        <w:spacing w:after="0" w:line="76" w:lineRule="exact"/>
        <w:rPr>
          <w:sz w:val="20"/>
          <w:szCs w:val="20"/>
          <w:color w:val="auto"/>
        </w:rPr>
      </w:pPr>
    </w:p>
    <w:p>
      <w:pPr>
        <w:jc w:val="both"/>
        <w:ind w:left="320" w:hanging="220"/>
        <w:spacing w:after="0" w:line="258" w:lineRule="auto"/>
        <w:tabs>
          <w:tab w:leader="none" w:pos="317"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CCPs</w:t>
      </w:r>
      <w:r>
        <w:rPr>
          <w:rFonts w:ascii="Times New Roman" w:cs="Times New Roman" w:eastAsia="Times New Roman" w:hAnsi="Times New Roman"/>
          <w:sz w:val="12"/>
          <w:szCs w:val="12"/>
          <w:color w:val="auto"/>
        </w:rPr>
        <w:t>: We clear eligible OTC derivatives with CCPs as part of our regulatory requirements. We also clear exchange-traded instruments, like futures, with CCPs. Futures commission merchants (“FCMs”) serve as the intermediary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between CCPs and us. CCPs require that we post initial and variation margin through our FCMs to mitigate the risk of non-payment or default. Initial margin is required by CCPs as collateral against potential losses on our exchange-traded and cleared derivative contracts and variation margin is exchanged on a daily basis to account for mark-to-market changes in those derivative contracts. For CME, ICE and LCH-cleared OTC derivatives, variation margin cash payments are required to be characterized as settlements. Our FCM agreements governing these derivative transactions include provisions that may require us to post additional collateral under certain circumstances.</w:t>
      </w:r>
    </w:p>
    <w:p>
      <w:pPr>
        <w:spacing w:after="0" w:line="50" w:lineRule="exact"/>
        <w:rPr>
          <w:rFonts w:ascii="Times New Roman" w:cs="Times New Roman" w:eastAsia="Times New Roman" w:hAnsi="Times New Roman"/>
          <w:sz w:val="12"/>
          <w:szCs w:val="12"/>
          <w:color w:val="auto"/>
        </w:rPr>
      </w:pPr>
    </w:p>
    <w:p>
      <w:pPr>
        <w:jc w:val="both"/>
        <w:ind w:left="320" w:hanging="220"/>
        <w:spacing w:after="0" w:line="261" w:lineRule="auto"/>
        <w:tabs>
          <w:tab w:leader="none" w:pos="317"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Bilateral Counterparties</w:t>
      </w:r>
      <w:r>
        <w:rPr>
          <w:rFonts w:ascii="Times New Roman" w:cs="Times New Roman" w:eastAsia="Times New Roman" w:hAnsi="Times New Roman"/>
          <w:sz w:val="12"/>
          <w:szCs w:val="12"/>
          <w:color w:val="auto"/>
        </w:rPr>
        <w:t>: We enter into master netting agreements and collateral agreements with bilateral derivative counterparties, where applicable, to mitigate the risk of default. These bilateral agreements typically provide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right to offset exposure with the same counterparty and require the party in a net liability position to post collateral. Agreements with certain bilateral counterparties require both parties to maintain collateral in the event the fair values of uncleared derivatives exceed established exposure thresholds. Certain of these bilateral agreements include provisions requiring that our debt maintain a credit rating of investment grade or above by each of the major credit rating agencies. In the event of a downgrade of our debt credit rating below investment grade, some of our counterparties would have the right to terminate their derivative contract and close out existing positions.</w:t>
      </w:r>
    </w:p>
    <w:p>
      <w:pPr>
        <w:spacing w:after="0" w:line="200" w:lineRule="exact"/>
        <w:rPr>
          <w:sz w:val="20"/>
          <w:szCs w:val="20"/>
          <w:color w:val="auto"/>
        </w:rPr>
      </w:pPr>
    </w:p>
    <w:p>
      <w:pPr>
        <w:spacing w:after="0" w:line="341"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166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67" w:name="page168"/>
    <w:bookmarkEnd w:id="167"/>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Credit Risk Valuation Adjustments</w:t>
      </w:r>
    </w:p>
    <w:p>
      <w:pPr>
        <w:spacing w:after="0" w:line="11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record counterparty credit valuation adjustments (“CVAs”) on our derivative assets to reflect the credit quality of our counterparties. We consider collateral and legally enforceable master netting agreements that mitigate our credit exposure to each counterparty in determining CVAs, which may be adjusted due to changes in the fair values of the derivative contracts, collateral, and creditworthiness of the counterparty. We also record debit valuation adjustments (“DVAs”) to adjust the fair values of our derivative liabilities to reflect the impact of our own credit quality.</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Balance Sheet Presentation</w:t>
      </w:r>
    </w:p>
    <w:p>
      <w:pPr>
        <w:spacing w:after="0" w:line="11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following table summarizes the notional amounts and fair values of our derivative instruments as of December 31, 2022 and 2021, which are segregated by derivatives that are designated as accounting hedges and those that are not, and are further segregated by type of contract within those two categories. The total derivative assets and liabilities are adjusted on an aggregate basis to take into consideration the effects of legally enforceable master netting agreements and any associated cash collateral received or pledged. Derivative assets and liabilities are included in other assets and other liabilities, respectively, on our consolidated balance sheets, and their related gains or losses are included in operating activities as changes in other assets and other liabilities in the consolidated statements of cash flows.</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9.1: Derivative Assets and Liabilities at Fair Value</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December 31, 2022</w:t>
            </w: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59"/>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Notional or Contractual</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Derivative</w:t>
            </w:r>
            <w:r>
              <w:rPr>
                <w:rFonts w:ascii="Times New Roman" w:cs="Times New Roman" w:eastAsia="Times New Roman" w:hAnsi="Times New Roman"/>
                <w:sz w:val="12"/>
                <w:szCs w:val="12"/>
                <w:b w:val="1"/>
                <w:bCs w:val="1"/>
                <w:color w:val="auto"/>
                <w:vertAlign w:val="superscript"/>
              </w:rPr>
              <w:t>(1)</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Notional or Contractual</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Derivative</w:t>
            </w:r>
            <w:r>
              <w:rPr>
                <w:rFonts w:ascii="Times New Roman" w:cs="Times New Roman" w:eastAsia="Times New Roman" w:hAnsi="Times New Roman"/>
                <w:sz w:val="12"/>
                <w:szCs w:val="12"/>
                <w:b w:val="1"/>
                <w:bCs w:val="1"/>
                <w:color w:val="auto"/>
                <w:vertAlign w:val="superscript"/>
              </w:rPr>
              <w:t>(1)</w:t>
            </w:r>
          </w:p>
        </w:tc>
        <w:tc>
          <w:tcPr>
            <w:tcW w:w="800" w:type="dxa"/>
            <w:vAlign w:val="bottom"/>
            <w:tcBorders>
              <w:bottom w:val="single" w:sz="8" w:color="auto"/>
            </w:tcBorders>
          </w:tcPr>
          <w:p>
            <w:pPr>
              <w:spacing w:after="0"/>
              <w:rPr>
                <w:sz w:val="13"/>
                <w:szCs w:val="13"/>
                <w:color w:val="auto"/>
              </w:rPr>
            </w:pPr>
          </w:p>
        </w:tc>
      </w:tr>
      <w:tr>
        <w:trPr>
          <w:trHeight w:val="120"/>
        </w:trPr>
        <w:tc>
          <w:tcPr>
            <w:tcW w:w="45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i w:val="1"/>
                <w:iCs w:val="1"/>
                <w:color w:val="auto"/>
              </w:rPr>
              <w:t>(Dollars in millions)</w:t>
            </w:r>
          </w:p>
        </w:tc>
        <w:tc>
          <w:tcPr>
            <w:tcW w:w="200" w:type="dxa"/>
            <w:vAlign w:val="bottom"/>
          </w:tcPr>
          <w:p>
            <w:pPr>
              <w:spacing w:after="0"/>
              <w:rPr>
                <w:sz w:val="10"/>
                <w:szCs w:val="10"/>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89"/>
              </w:rPr>
              <w:t>Assets</w:t>
            </w:r>
          </w:p>
        </w:tc>
        <w:tc>
          <w:tcPr>
            <w:tcW w:w="260" w:type="dxa"/>
            <w:vAlign w:val="bottom"/>
          </w:tcPr>
          <w:p>
            <w:pPr>
              <w:spacing w:after="0"/>
              <w:rPr>
                <w:sz w:val="10"/>
                <w:szCs w:val="10"/>
                <w:color w:val="auto"/>
              </w:rPr>
            </w:pPr>
          </w:p>
        </w:tc>
        <w:tc>
          <w:tcPr>
            <w:tcW w:w="80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10"/>
                <w:szCs w:val="1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260" w:type="dxa"/>
            <w:vAlign w:val="bottom"/>
          </w:tcPr>
          <w:p>
            <w:pPr>
              <w:spacing w:after="0"/>
              <w:rPr>
                <w:sz w:val="10"/>
                <w:szCs w:val="10"/>
                <w:color w:val="auto"/>
              </w:rPr>
            </w:pPr>
          </w:p>
        </w:tc>
        <w:tc>
          <w:tcPr>
            <w:tcW w:w="80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Liabilities</w:t>
            </w:r>
          </w:p>
        </w:tc>
      </w:tr>
      <w:tr>
        <w:trPr>
          <w:trHeight w:val="137"/>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Derivatives designated as accounting hedges:</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42"/>
        </w:trPr>
        <w:tc>
          <w:tcPr>
            <w:tcW w:w="45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rate contracts: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6"/>
        </w:trPr>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Fair value hedges</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60,956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53</w:t>
            </w:r>
          </w:p>
        </w:tc>
        <w:tc>
          <w:tcPr>
            <w:tcW w:w="3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49,659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43"/>
        </w:trPr>
        <w:tc>
          <w:tcPr>
            <w:tcW w:w="4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Cash flow hedges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30,350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451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52,400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34"/>
        </w:trPr>
        <w:tc>
          <w:tcPr>
            <w:tcW w:w="45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interest rate contracts</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91,306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504</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102,059</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22"/>
        </w:trPr>
        <w:tc>
          <w:tcPr>
            <w:tcW w:w="450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Foreign exchange contracts:</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6"/>
        </w:trPr>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Fair value hedges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211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3"/>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Cash flow hedges</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45"/>
        </w:trPr>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investment hedges</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4,147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3,459</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32"/>
        </w:trPr>
        <w:tc>
          <w:tcPr>
            <w:tcW w:w="45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foreign exchange contracts</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7,660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82</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316</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9,559</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34"/>
        </w:trPr>
        <w:tc>
          <w:tcPr>
            <w:tcW w:w="45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derivatives designated as accounting hedges</w:t>
            </w: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98,966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85</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820</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111,618</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23"/>
        </w:trPr>
        <w:tc>
          <w:tcPr>
            <w:tcW w:w="45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Derivatives not designated as accounting hedges:</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5"/>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Customer accommodation:</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3"/>
        </w:trPr>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 rate contracts</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91,601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1,873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71,724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r>
      <w:tr>
        <w:trPr>
          <w:trHeight w:val="145"/>
        </w:trPr>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Commodity contracts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28,935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1,756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1,738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22,021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1,561</w:t>
            </w:r>
          </w:p>
        </w:tc>
      </w:tr>
      <w:tr>
        <w:trPr>
          <w:trHeight w:val="143"/>
        </w:trPr>
        <w:tc>
          <w:tcPr>
            <w:tcW w:w="4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Foreign exchange and other contracts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4,926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78</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3,779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r>
      <w:tr>
        <w:trPr>
          <w:trHeight w:val="134"/>
        </w:trPr>
        <w:tc>
          <w:tcPr>
            <w:tcW w:w="45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customer accommodation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125,462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2,970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3,689</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97,524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1,797</w:t>
            </w:r>
          </w:p>
        </w:tc>
      </w:tr>
      <w:tr>
        <w:trPr>
          <w:trHeight w:val="144"/>
        </w:trPr>
        <w:tc>
          <w:tcPr>
            <w:tcW w:w="450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Other interest rate exposures</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4"/>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contracts</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2,238</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2,028</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32"/>
        </w:trPr>
        <w:tc>
          <w:tcPr>
            <w:tcW w:w="45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derivatives not designated as accounting hedges</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128,835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3,013</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3,730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101,451</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2,364</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1,829</w:t>
            </w:r>
          </w:p>
        </w:tc>
      </w:tr>
      <w:tr>
        <w:trPr>
          <w:trHeight w:val="134"/>
        </w:trPr>
        <w:tc>
          <w:tcPr>
            <w:tcW w:w="45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derivatives</w:t>
            </w: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227,801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3,098</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4,550</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213,069</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2,690</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1,868</w:t>
            </w:r>
          </w:p>
        </w:tc>
      </w:tr>
      <w:tr>
        <w:trPr>
          <w:trHeight w:val="133"/>
        </w:trPr>
        <w:tc>
          <w:tcPr>
            <w:tcW w:w="450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1"/>
                <w:szCs w:val="11"/>
                <w:color w:val="auto"/>
              </w:rPr>
              <w:t>Less: netting adjustment</w:t>
            </w:r>
            <w:r>
              <w:rPr>
                <w:rFonts w:ascii="Times New Roman" w:cs="Times New Roman" w:eastAsia="Times New Roman" w:hAnsi="Times New Roman"/>
                <w:sz w:val="14"/>
                <w:szCs w:val="14"/>
                <w:color w:val="auto"/>
                <w:vertAlign w:val="superscript"/>
              </w:rPr>
              <w:t>(3)</w:t>
            </w:r>
          </w:p>
        </w:tc>
        <w:tc>
          <w:tcPr>
            <w:tcW w:w="20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(1,134)</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(1,235)</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(544)</w:t>
            </w:r>
          </w:p>
        </w:tc>
      </w:tr>
      <w:tr>
        <w:trPr>
          <w:trHeight w:val="149"/>
        </w:trPr>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derivative assets/liabilities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1,964</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3,315</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w:t>
            </w:r>
          </w:p>
        </w:tc>
      </w:tr>
    </w:tbl>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right="20" w:hanging="208"/>
        <w:spacing w:after="0" w:line="228" w:lineRule="auto"/>
        <w:tabs>
          <w:tab w:leader="none" w:pos="200" w:val="left"/>
        </w:tabs>
        <w:numPr>
          <w:ilvl w:val="0"/>
          <w:numId w:val="8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Does not reflect $4 million and $11 million recognized as a net valuation allowance on derivative assets and liabilities for non-performance risk as of December 31, 2022 and 2021, respectively. Non-performance risk is included in derivative assets and liabilities, which are part of other assets and other liabilities on the consolidated balance sheets, and is offset through non-interest income in the consolidated statements of income.</w:t>
      </w:r>
    </w:p>
    <w:p>
      <w:pPr>
        <w:spacing w:after="0" w:line="20"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8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Other interest rate exposures include commercial mortgage-related derivatives and interest rate swaps.</w:t>
      </w:r>
    </w:p>
    <w:p>
      <w:pPr>
        <w:spacing w:after="0" w:line="200" w:lineRule="exact"/>
        <w:rPr>
          <w:sz w:val="20"/>
          <w:szCs w:val="20"/>
          <w:color w:val="auto"/>
        </w:rPr>
      </w:pPr>
    </w:p>
    <w:p>
      <w:pPr>
        <w:spacing w:after="0" w:line="333"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167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68" w:name="page169"/>
    <w:bookmarkEnd w:id="168"/>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208" w:hanging="208"/>
        <w:spacing w:after="0"/>
        <w:tabs>
          <w:tab w:leader="none" w:pos="208" w:val="left"/>
        </w:tabs>
        <w:numPr>
          <w:ilvl w:val="0"/>
          <w:numId w:val="8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Represents balance sheet netting of derivative assets and liabilities, and related payables and receivables for cash collateral held or placed with the same counterparty.</w:t>
      </w:r>
    </w:p>
    <w:p>
      <w:pPr>
        <w:spacing w:after="0" w:line="105"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carrying value of our hedged assets and liabilities in fair value hedges and the associated cumulative basis adjustments included in those carrying values, excluding basis adjustments related to foreign currency risk, as of December 31, 2022 and 2021.</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9.2: Hedged Items in Fair Value Hedging Relationships</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Cumulative Amount of Basis Adjustments Included in the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5"/>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97"/>
              </w:rPr>
              <w:t>Cumulative Amount of Basis Adjustments Included in the</w:t>
            </w: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0"/>
                <w:szCs w:val="10"/>
                <w:b w:val="1"/>
                <w:bCs w:val="1"/>
                <w:color w:val="auto"/>
              </w:rPr>
              <w:t>Carrying Amount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0"/>
                <w:szCs w:val="10"/>
                <w:b w:val="1"/>
                <w:bCs w:val="1"/>
                <w:color w:val="auto"/>
              </w:rPr>
              <w:t>Carrying Amount</w:t>
            </w:r>
          </w:p>
        </w:tc>
        <w:tc>
          <w:tcPr>
            <w:tcW w:w="0" w:type="dxa"/>
            <w:vAlign w:val="bottom"/>
          </w:tcPr>
          <w:p>
            <w:pPr>
              <w:spacing w:after="0"/>
              <w:rPr>
                <w:sz w:val="1"/>
                <w:szCs w:val="1"/>
                <w:color w:val="auto"/>
              </w:rPr>
            </w:pPr>
          </w:p>
        </w:tc>
      </w:tr>
      <w:tr>
        <w:trPr>
          <w:trHeight w:val="175"/>
        </w:trPr>
        <w:tc>
          <w:tcPr>
            <w:tcW w:w="362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Carrying Amount</w:t>
            </w:r>
          </w:p>
        </w:tc>
        <w:tc>
          <w:tcPr>
            <w:tcW w:w="80" w:type="dxa"/>
            <w:vAlign w:val="bottom"/>
          </w:tcPr>
          <w:p>
            <w:pPr>
              <w:spacing w:after="0"/>
              <w:rPr>
                <w:sz w:val="15"/>
                <w:szCs w:val="15"/>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Total Assets/(Liabilities)</w:t>
            </w:r>
          </w:p>
        </w:tc>
        <w:tc>
          <w:tcPr>
            <w:tcW w:w="1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96"/>
              </w:rPr>
              <w:t>Discontinued-Hedging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Carrying Amount</w:t>
            </w:r>
          </w:p>
        </w:tc>
        <w:tc>
          <w:tcPr>
            <w:tcW w:w="100" w:type="dxa"/>
            <w:vAlign w:val="bottom"/>
          </w:tcPr>
          <w:p>
            <w:pPr>
              <w:spacing w:after="0"/>
              <w:rPr>
                <w:sz w:val="15"/>
                <w:szCs w:val="15"/>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Total Assets/(Liabilities)</w:t>
            </w:r>
          </w:p>
        </w:tc>
        <w:tc>
          <w:tcPr>
            <w:tcW w:w="100" w:type="dxa"/>
            <w:vAlign w:val="bottom"/>
          </w:tcPr>
          <w:p>
            <w:pPr>
              <w:spacing w:after="0"/>
              <w:rPr>
                <w:sz w:val="15"/>
                <w:szCs w:val="15"/>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98"/>
              </w:rPr>
              <w:t>Discontinued-Hedging</w:t>
            </w:r>
          </w:p>
        </w:tc>
        <w:tc>
          <w:tcPr>
            <w:tcW w:w="0" w:type="dxa"/>
            <w:vAlign w:val="bottom"/>
          </w:tcPr>
          <w:p>
            <w:pPr>
              <w:spacing w:after="0"/>
              <w:rPr>
                <w:sz w:val="1"/>
                <w:szCs w:val="1"/>
                <w:color w:val="auto"/>
              </w:rPr>
            </w:pPr>
          </w:p>
        </w:tc>
      </w:tr>
      <w:tr>
        <w:trPr>
          <w:trHeight w:val="129"/>
        </w:trPr>
        <w:tc>
          <w:tcPr>
            <w:tcW w:w="3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Assets/(Liabilities)</w:t>
            </w: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Relationships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Assets/(Liabilities)</w:t>
            </w: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Relationships</w:t>
            </w:r>
          </w:p>
        </w:tc>
        <w:tc>
          <w:tcPr>
            <w:tcW w:w="0" w:type="dxa"/>
            <w:vAlign w:val="bottom"/>
          </w:tcPr>
          <w:p>
            <w:pPr>
              <w:spacing w:after="0"/>
              <w:rPr>
                <w:sz w:val="1"/>
                <w:szCs w:val="1"/>
                <w:color w:val="auto"/>
              </w:rPr>
            </w:pPr>
          </w:p>
        </w:tc>
      </w:tr>
      <w:tr>
        <w:trPr>
          <w:trHeight w:val="101"/>
        </w:trPr>
        <w:tc>
          <w:tcPr>
            <w:tcW w:w="362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Line item on our consolidated balance sheets in which the hedged item is</w:t>
            </w: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included: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Investment securities available for sale</w:t>
            </w:r>
            <w:r>
              <w:rPr>
                <w:rFonts w:ascii="Times New Roman" w:cs="Times New Roman" w:eastAsia="Times New Roman" w:hAnsi="Times New Roman"/>
                <w:sz w:val="14"/>
                <w:szCs w:val="14"/>
                <w:color w:val="auto"/>
                <w:vertAlign w:val="superscript"/>
              </w:rPr>
              <w:t>(1)(2)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3,983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(80)</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10,327</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(17,280)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3"/>
        </w:trPr>
        <w:tc>
          <w:tcPr>
            <w:tcW w:w="3620" w:type="dxa"/>
            <w:vAlign w:val="bottom"/>
          </w:tcPr>
          <w:p>
            <w:pPr>
              <w:spacing w:after="0"/>
              <w:rPr>
                <w:sz w:val="20"/>
                <w:szCs w:val="20"/>
                <w:color w:val="auto"/>
              </w:rPr>
            </w:pPr>
            <w:r>
              <w:rPr>
                <w:rFonts w:ascii="Times New Roman" w:cs="Times New Roman" w:eastAsia="Times New Roman" w:hAnsi="Times New Roman"/>
                <w:sz w:val="11"/>
                <w:szCs w:val="11"/>
                <w:color w:val="auto"/>
              </w:rPr>
              <w:t>Securitized debt obligations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(11,921)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45"/>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Senior and subordinated notes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(24,544)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jc w:val="both"/>
        <w:ind w:left="208" w:hanging="208"/>
        <w:spacing w:after="0" w:line="227" w:lineRule="auto"/>
        <w:tabs>
          <w:tab w:leader="none" w:pos="200" w:val="left"/>
        </w:tabs>
        <w:numPr>
          <w:ilvl w:val="0"/>
          <w:numId w:val="9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These amounts include the amortized cost basis of our investment securities designated in hedging relationships for which the hedged item is the last layer expected to be remaining at the end of the hedging relationship. The amortized cost basis of this portfolio was $236 million and $247 million as of December 31, 2022 and 2021, respectively. The amount of the designated hedged items was $225 million as of both December 31, 2022 and 2021. The cumulative basis adjustments associated with these hedges was $13 million and $3 million as of December 31, 2022 and 2021, respectively.</w:t>
      </w:r>
    </w:p>
    <w:p>
      <w:pPr>
        <w:spacing w:after="0" w:line="15"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9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Carrying value represents amortized cost.</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Balance Sheet Offsetting of Financial Assets and Liabilities</w:t>
      </w:r>
    </w:p>
    <w:p>
      <w:pPr>
        <w:spacing w:after="0" w:line="11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Derivative contracts and repurchase agreements that we execute bilaterally in the OTC market are generally governed by enforceable master netting agreements where we generally have the right to offset exposure with the same counterparty. Either counterparty can generally request to net settle all contracts through a single payment upon default on, or termination of, any one contract. We elect to offset the derivative assets and liabilities under master netting agreements for balance sheet presentation where a right of setoff exists. For derivative contracts entered into under master netting agreements for which we have not been able to confirm the enforceability of the setoff rights, or those not subject to master netting agreements, we do not offset our derivative positions for balance sheet presentation.</w:t>
      </w:r>
    </w:p>
    <w:p>
      <w:pPr>
        <w:spacing w:after="0" w:line="86"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following table presents the gross and net fair values of our derivative assets, derivative liabilities, resale and repurchase agreements and the related offsetting amounts permitted under U.S. GAAP as of December 31, 2022 and 2021. The table also includes cash and non-cash collateral received or pledged in accordance with such arrangements. The amount of collateral presented, however, is limited to the amount of the related net derivative fair values or outstanding balances; therefore, instances of over-collateralization are excluded.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168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69" w:name="page170"/>
    <w:bookmarkEnd w:id="16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9.3: Offsetting of Financial Assets and Financial Liabilities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Gross Amounts Offset in the Balance Sheet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5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Gross Amounts</w:t>
            </w:r>
          </w:p>
        </w:tc>
        <w:tc>
          <w:tcPr>
            <w:tcW w:w="6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Financial Instruments</w:t>
            </w:r>
          </w:p>
        </w:tc>
        <w:tc>
          <w:tcPr>
            <w:tcW w:w="100" w:type="dxa"/>
            <w:vAlign w:val="bottom"/>
          </w:tcPr>
          <w:p>
            <w:pPr>
              <w:spacing w:after="0"/>
              <w:rPr>
                <w:sz w:val="9"/>
                <w:szCs w:val="9"/>
                <w:color w:val="auto"/>
              </w:rPr>
            </w:pPr>
          </w:p>
        </w:tc>
        <w:tc>
          <w:tcPr>
            <w:tcW w:w="122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98"/>
              </w:rPr>
              <w:t>Cash Collateral Received</w:t>
            </w:r>
          </w:p>
        </w:tc>
        <w:tc>
          <w:tcPr>
            <w:tcW w:w="80" w:type="dxa"/>
            <w:vAlign w:val="bottom"/>
          </w:tcPr>
          <w:p>
            <w:pPr>
              <w:spacing w:after="0"/>
              <w:rPr>
                <w:sz w:val="9"/>
                <w:szCs w:val="9"/>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Net Amounts as Recognized</w:t>
            </w:r>
          </w:p>
        </w:tc>
        <w:tc>
          <w:tcPr>
            <w:tcW w:w="80" w:type="dxa"/>
            <w:vAlign w:val="bottom"/>
          </w:tcPr>
          <w:p>
            <w:pPr>
              <w:spacing w:after="0"/>
              <w:rPr>
                <w:sz w:val="9"/>
                <w:szCs w:val="9"/>
                <w:color w:val="auto"/>
              </w:rPr>
            </w:pPr>
          </w:p>
        </w:tc>
        <w:tc>
          <w:tcPr>
            <w:tcW w:w="16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5"/>
              </w:rPr>
              <w:t>Securities Collateral Held Under</w:t>
            </w:r>
          </w:p>
        </w:tc>
        <w:tc>
          <w:tcPr>
            <w:tcW w:w="140" w:type="dxa"/>
            <w:vAlign w:val="bottom"/>
          </w:tcPr>
          <w:p>
            <w:pPr>
              <w:spacing w:after="0"/>
              <w:rPr>
                <w:sz w:val="9"/>
                <w:szCs w:val="9"/>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Net Exposure</w:t>
            </w:r>
          </w:p>
        </w:tc>
        <w:tc>
          <w:tcPr>
            <w:tcW w:w="0" w:type="dxa"/>
            <w:vAlign w:val="bottom"/>
          </w:tcPr>
          <w:p>
            <w:pPr>
              <w:spacing w:after="0"/>
              <w:rPr>
                <w:sz w:val="1"/>
                <w:szCs w:val="1"/>
                <w:color w:val="auto"/>
              </w:rPr>
            </w:pPr>
          </w:p>
        </w:tc>
      </w:tr>
      <w:tr>
        <w:trPr>
          <w:trHeight w:val="129"/>
        </w:trPr>
        <w:tc>
          <w:tcPr>
            <w:tcW w:w="3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Master Netting Agreements</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4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Derivative assets</w:t>
            </w:r>
            <w:r>
              <w:rPr>
                <w:rFonts w:ascii="Times New Roman" w:cs="Times New Roman" w:eastAsia="Times New Roman" w:hAnsi="Times New Roman"/>
                <w:sz w:val="14"/>
                <w:szCs w:val="14"/>
                <w:color w:val="auto"/>
                <w:vertAlign w:val="superscript"/>
              </w:rPr>
              <w:t>(1)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3,098</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(759)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(375)</w:t>
            </w:r>
          </w:p>
        </w:tc>
        <w:tc>
          <w:tcPr>
            <w:tcW w:w="580" w:type="dxa"/>
            <w:vAlign w:val="bottom"/>
            <w:gridSpan w:val="2"/>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1,964</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(96)</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1,868</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 of December 31, 2021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Derivative assets</w:t>
            </w:r>
            <w:r>
              <w:rPr>
                <w:rFonts w:ascii="Times New Roman" w:cs="Times New Roman" w:eastAsia="Times New Roman" w:hAnsi="Times New Roman"/>
                <w:sz w:val="14"/>
                <w:szCs w:val="14"/>
                <w:color w:val="auto"/>
                <w:vertAlign w:val="superscript"/>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0" w:type="dxa"/>
            <w:vAlign w:val="bottom"/>
          </w:tcPr>
          <w:p>
            <w:pPr>
              <w:spacing w:after="0"/>
              <w:rPr>
                <w:sz w:val="1"/>
                <w:szCs w:val="1"/>
                <w:color w:val="auto"/>
              </w:rPr>
            </w:pPr>
          </w:p>
        </w:tc>
      </w:tr>
      <w:tr>
        <w:trPr>
          <w:trHeight w:val="316"/>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0"/>
                <w:szCs w:val="10"/>
                <w:b w:val="1"/>
                <w:bCs w:val="1"/>
                <w:color w:val="auto"/>
              </w:rPr>
              <w:t>Gross Amounts Offset in the Balance Sheet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Gross Amounts</w:t>
            </w:r>
          </w:p>
        </w:tc>
        <w:tc>
          <w:tcPr>
            <w:tcW w:w="6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Financial Instruments</w:t>
            </w:r>
          </w:p>
        </w:tc>
        <w:tc>
          <w:tcPr>
            <w:tcW w:w="100" w:type="dxa"/>
            <w:vAlign w:val="bottom"/>
          </w:tcPr>
          <w:p>
            <w:pPr>
              <w:spacing w:after="0"/>
              <w:rPr>
                <w:sz w:val="9"/>
                <w:szCs w:val="9"/>
                <w:color w:val="auto"/>
              </w:rPr>
            </w:pPr>
          </w:p>
        </w:tc>
        <w:tc>
          <w:tcPr>
            <w:tcW w:w="122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Cash Collateral Pledged</w:t>
            </w:r>
          </w:p>
        </w:tc>
        <w:tc>
          <w:tcPr>
            <w:tcW w:w="80" w:type="dxa"/>
            <w:vAlign w:val="bottom"/>
          </w:tcPr>
          <w:p>
            <w:pPr>
              <w:spacing w:after="0"/>
              <w:rPr>
                <w:sz w:val="9"/>
                <w:szCs w:val="9"/>
                <w:color w:val="auto"/>
              </w:rPr>
            </w:pP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Net Amounts as Recognized</w:t>
            </w:r>
          </w:p>
        </w:tc>
        <w:tc>
          <w:tcPr>
            <w:tcW w:w="80" w:type="dxa"/>
            <w:vAlign w:val="bottom"/>
          </w:tcPr>
          <w:p>
            <w:pPr>
              <w:spacing w:after="0"/>
              <w:rPr>
                <w:sz w:val="9"/>
                <w:szCs w:val="9"/>
                <w:color w:val="auto"/>
              </w:rPr>
            </w:pPr>
          </w:p>
        </w:tc>
        <w:tc>
          <w:tcPr>
            <w:tcW w:w="1620" w:type="dxa"/>
            <w:vAlign w:val="bottom"/>
            <w:gridSpan w:val="2"/>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5"/>
              </w:rPr>
              <w:t>Securities Collateral Pledged Under</w:t>
            </w:r>
          </w:p>
        </w:tc>
        <w:tc>
          <w:tcPr>
            <w:tcW w:w="140" w:type="dxa"/>
            <w:vAlign w:val="bottom"/>
          </w:tcPr>
          <w:p>
            <w:pPr>
              <w:spacing w:after="0"/>
              <w:rPr>
                <w:sz w:val="9"/>
                <w:szCs w:val="9"/>
                <w:color w:val="auto"/>
              </w:rPr>
            </w:pPr>
          </w:p>
        </w:tc>
        <w:tc>
          <w:tcPr>
            <w:tcW w:w="860" w:type="dxa"/>
            <w:vAlign w:val="bottom"/>
            <w:vMerge w:val="restart"/>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Net Exposure</w:t>
            </w:r>
          </w:p>
        </w:tc>
        <w:tc>
          <w:tcPr>
            <w:tcW w:w="0" w:type="dxa"/>
            <w:vAlign w:val="bottom"/>
          </w:tcPr>
          <w:p>
            <w:pPr>
              <w:spacing w:after="0"/>
              <w:rPr>
                <w:sz w:val="1"/>
                <w:szCs w:val="1"/>
                <w:color w:val="auto"/>
              </w:rPr>
            </w:pPr>
          </w:p>
        </w:tc>
      </w:tr>
      <w:tr>
        <w:trPr>
          <w:trHeight w:val="129"/>
        </w:trPr>
        <w:tc>
          <w:tcPr>
            <w:tcW w:w="3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Master Netting Agreements</w:t>
            </w: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4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Derivative liabilities</w:t>
            </w:r>
            <w:r>
              <w:rPr>
                <w:rFonts w:ascii="Times New Roman" w:cs="Times New Roman" w:eastAsia="Times New Roman" w:hAnsi="Times New Roman"/>
                <w:sz w:val="14"/>
                <w:szCs w:val="14"/>
                <w:color w:val="auto"/>
                <w:vertAlign w:val="superscript"/>
              </w:rPr>
              <w:t>(1)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4,550</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(759)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(476)</w:t>
            </w:r>
          </w:p>
        </w:tc>
        <w:tc>
          <w:tcPr>
            <w:tcW w:w="580" w:type="dxa"/>
            <w:vAlign w:val="bottom"/>
            <w:gridSpan w:val="2"/>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3,315</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(85)</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3,230</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Repurchase agreements</w:t>
            </w:r>
            <w:r>
              <w:rPr>
                <w:rFonts w:ascii="Times New Roman" w:cs="Times New Roman" w:eastAsia="Times New Roman" w:hAnsi="Times New Roman"/>
                <w:sz w:val="14"/>
                <w:szCs w:val="14"/>
                <w:color w:val="auto"/>
                <w:vertAlign w:val="superscript"/>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1"/>
                <w:szCs w:val="11"/>
                <w:color w:val="auto"/>
              </w:rPr>
              <w:t>As of December 31, 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4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Derivative liabilities</w:t>
            </w:r>
            <w:r>
              <w:rPr>
                <w:rFonts w:ascii="Times New Roman" w:cs="Times New Roman" w:eastAsia="Times New Roman" w:hAnsi="Times New Roman"/>
                <w:sz w:val="14"/>
                <w:szCs w:val="14"/>
                <w:color w:val="auto"/>
                <w:vertAlign w:val="superscript"/>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0" w:type="dxa"/>
            <w:vAlign w:val="bottom"/>
          </w:tcPr>
          <w:p>
            <w:pPr>
              <w:spacing w:after="0"/>
              <w:rPr>
                <w:sz w:val="1"/>
                <w:szCs w:val="1"/>
                <w:color w:val="auto"/>
              </w:rPr>
            </w:pPr>
          </w:p>
        </w:tc>
      </w:tr>
      <w:tr>
        <w:trPr>
          <w:trHeight w:val="186"/>
        </w:trPr>
        <w:tc>
          <w:tcPr>
            <w:tcW w:w="35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Repurchase agreements</w:t>
            </w:r>
            <w:r>
              <w:rPr>
                <w:rFonts w:ascii="Times New Roman" w:cs="Times New Roman" w:eastAsia="Times New Roman" w:hAnsi="Times New Roman"/>
                <w:sz w:val="14"/>
                <w:szCs w:val="14"/>
                <w:color w:val="auto"/>
                <w:vertAlign w:val="superscript"/>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28" w:lineRule="auto"/>
        <w:tabs>
          <w:tab w:leader="none" w:pos="200" w:val="left"/>
        </w:tabs>
        <w:numPr>
          <w:ilvl w:val="0"/>
          <w:numId w:val="9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received cash collateral from derivative counterparties totaling $608 million and $377 million as of December 31, 2022 and 2021, respectively. We also received securities from derivative counterparties with a fair value of approximately $82 million and $1 million as of December 31, 2022 and 2021, respectively, which we have the ability to re-pledge. We posted $2.3 billion and $2.0 billion of cash collateral as of December 31, 2022 and 2021, respectively.</w:t>
      </w:r>
    </w:p>
    <w:p>
      <w:pPr>
        <w:spacing w:after="0" w:line="20"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9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Under our customer repurchase agreements, which mature the next business day, we pledged collateral with a fair value of $900 million and $836 million as of December 31, 2022 and 2021, respectively, primarily consisting of agency RMBS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169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Statement and AOCI Presentation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and Cash Flow Hedges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net gains (losses) recognized in our consolidated statements of income related to derivatives in fair value and cash flow hedging relationships are presented below for the years ended December 31, 2022, 2021 and 2020.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9.4: Effects of Fair Value and Cash Flow Hedge Accounting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w w:val="97"/>
              </w:rPr>
              <w:t>Year Ended December 31, 2022</w:t>
            </w: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0"/>
                <w:szCs w:val="10"/>
                <w:b w:val="1"/>
                <w:bCs w:val="1"/>
                <w:color w:val="auto"/>
              </w:rPr>
              <w:t>Net Interest Income</w:t>
            </w: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w w:val="97"/>
              </w:rPr>
              <w:t>Non-Interest Income</w:t>
            </w:r>
          </w:p>
        </w:tc>
        <w:tc>
          <w:tcPr>
            <w:tcW w:w="0" w:type="dxa"/>
            <w:vAlign w:val="bottom"/>
          </w:tcPr>
          <w:p>
            <w:pPr>
              <w:spacing w:after="0"/>
              <w:rPr>
                <w:sz w:val="1"/>
                <w:szCs w:val="1"/>
                <w:color w:val="auto"/>
              </w:rPr>
            </w:pPr>
          </w:p>
        </w:tc>
      </w:tr>
      <w:tr>
        <w:trPr>
          <w:trHeight w:val="85"/>
        </w:trPr>
        <w:tc>
          <w:tcPr>
            <w:tcW w:w="2540" w:type="dxa"/>
            <w:vAlign w:val="bottom"/>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w w:val="97"/>
              </w:rPr>
              <w:t>Investment Securities</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tcPr>
          <w:p>
            <w:pPr>
              <w:ind w:left="20"/>
              <w:spacing w:after="0" w:line="86" w:lineRule="exact"/>
              <w:rPr>
                <w:sz w:val="20"/>
                <w:szCs w:val="20"/>
                <w:color w:val="auto"/>
              </w:rPr>
            </w:pPr>
            <w:r>
              <w:rPr>
                <w:rFonts w:ascii="Times New Roman" w:cs="Times New Roman" w:eastAsia="Times New Roman" w:hAnsi="Times New Roman"/>
                <w:sz w:val="8"/>
                <w:szCs w:val="8"/>
                <w:b w:val="1"/>
                <w:bCs w:val="1"/>
                <w:color w:val="auto"/>
              </w:rPr>
              <w:t>Loans, Including Loans</w:t>
            </w:r>
          </w:p>
        </w:tc>
        <w:tc>
          <w:tcPr>
            <w:tcW w:w="280" w:type="dxa"/>
            <w:vAlign w:val="bottom"/>
          </w:tcPr>
          <w:p>
            <w:pPr>
              <w:spacing w:after="0"/>
              <w:rPr>
                <w:sz w:val="7"/>
                <w:szCs w:val="7"/>
                <w:color w:val="auto"/>
              </w:rPr>
            </w:pPr>
          </w:p>
        </w:tc>
        <w:tc>
          <w:tcPr>
            <w:tcW w:w="900" w:type="dxa"/>
            <w:vAlign w:val="bottom"/>
            <w:vMerge w:val="restart"/>
          </w:tcPr>
          <w:p>
            <w:pPr>
              <w:jc w:val="right"/>
              <w:ind w:right="407"/>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restart"/>
          </w:tcPr>
          <w:p>
            <w:pPr>
              <w:jc w:val="right"/>
              <w:ind w:right="7"/>
              <w:spacing w:after="0"/>
              <w:rPr>
                <w:sz w:val="20"/>
                <w:szCs w:val="20"/>
                <w:color w:val="auto"/>
              </w:rPr>
            </w:pPr>
            <w:r>
              <w:rPr>
                <w:rFonts w:ascii="Times New Roman" w:cs="Times New Roman" w:eastAsia="Times New Roman" w:hAnsi="Times New Roman"/>
                <w:sz w:val="10"/>
                <w:szCs w:val="10"/>
                <w:b w:val="1"/>
                <w:bCs w:val="1"/>
                <w:color w:val="auto"/>
                <w:w w:val="94"/>
              </w:rPr>
              <w:t>Interest-bearing Deposits</w:t>
            </w:r>
          </w:p>
        </w:tc>
        <w:tc>
          <w:tcPr>
            <w:tcW w:w="8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gridSpan w:val="2"/>
          </w:tcPr>
          <w:p>
            <w:pPr>
              <w:ind w:left="100"/>
              <w:spacing w:after="0" w:line="86" w:lineRule="exact"/>
              <w:rPr>
                <w:sz w:val="20"/>
                <w:szCs w:val="20"/>
                <w:color w:val="auto"/>
              </w:rPr>
            </w:pPr>
            <w:r>
              <w:rPr>
                <w:rFonts w:ascii="Times New Roman" w:cs="Times New Roman" w:eastAsia="Times New Roman" w:hAnsi="Times New Roman"/>
                <w:sz w:val="8"/>
                <w:szCs w:val="8"/>
                <w:b w:val="1"/>
                <w:bCs w:val="1"/>
                <w:color w:val="auto"/>
              </w:rPr>
              <w:t>Securitized Debt</w:t>
            </w:r>
          </w:p>
        </w:tc>
        <w:tc>
          <w:tcPr>
            <w:tcW w:w="80" w:type="dxa"/>
            <w:vAlign w:val="bottom"/>
          </w:tcPr>
          <w:p>
            <w:pPr>
              <w:spacing w:after="0"/>
              <w:rPr>
                <w:sz w:val="7"/>
                <w:szCs w:val="7"/>
                <w:color w:val="auto"/>
              </w:rPr>
            </w:pPr>
          </w:p>
        </w:tc>
        <w:tc>
          <w:tcPr>
            <w:tcW w:w="1100" w:type="dxa"/>
            <w:vAlign w:val="bottom"/>
          </w:tcPr>
          <w:p>
            <w:pPr>
              <w:jc w:val="right"/>
              <w:ind w:right="28"/>
              <w:spacing w:after="0" w:line="86" w:lineRule="exact"/>
              <w:rPr>
                <w:sz w:val="20"/>
                <w:szCs w:val="20"/>
                <w:color w:val="auto"/>
              </w:rPr>
            </w:pPr>
            <w:r>
              <w:rPr>
                <w:rFonts w:ascii="Times New Roman" w:cs="Times New Roman" w:eastAsia="Times New Roman" w:hAnsi="Times New Roman"/>
                <w:sz w:val="8"/>
                <w:szCs w:val="8"/>
                <w:b w:val="1"/>
                <w:bCs w:val="1"/>
                <w:color w:val="auto"/>
              </w:rPr>
              <w:t>Senior and Subordinated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restart"/>
          </w:tcPr>
          <w:p>
            <w:pPr>
              <w:jc w:val="right"/>
              <w:ind w:right="387"/>
              <w:spacing w:after="0"/>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129"/>
        </w:trPr>
        <w:tc>
          <w:tcPr>
            <w:tcW w:w="2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Held for Sale</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Obligations</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Notes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amounts presented in our consolidated</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1,884</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28,910</w:t>
            </w:r>
          </w:p>
        </w:tc>
        <w:tc>
          <w:tcPr>
            <w:tcW w:w="80" w:type="dxa"/>
            <w:vAlign w:val="bottom"/>
            <w:shd w:val="clear" w:color="auto" w:fill="CCEEFF"/>
          </w:tcPr>
          <w:p>
            <w:pPr>
              <w:spacing w:after="0"/>
              <w:rPr>
                <w:sz w:val="8"/>
                <w:szCs w:val="8"/>
                <w:color w:val="auto"/>
              </w:rPr>
            </w:pPr>
          </w:p>
        </w:tc>
        <w:tc>
          <w:tcPr>
            <w:tcW w:w="280" w:type="dxa"/>
            <w:vAlign w:val="bottom"/>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443</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(2,535)</w:t>
            </w:r>
          </w:p>
        </w:tc>
        <w:tc>
          <w:tcPr>
            <w:tcW w:w="8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(384)</w:t>
            </w:r>
          </w:p>
        </w:tc>
        <w:tc>
          <w:tcPr>
            <w:tcW w:w="8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(1,074)</w:t>
            </w:r>
          </w:p>
        </w:tc>
        <w:tc>
          <w:tcPr>
            <w:tcW w:w="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905</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statements of income</w:t>
            </w:r>
          </w:p>
        </w:tc>
        <w:tc>
          <w:tcPr>
            <w:tcW w:w="12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 hedging relationships: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rate and foreign exchange contracts:</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 recognized on 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(197)</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0" w:type="dxa"/>
            <w:vAlign w:val="bottom"/>
          </w:tcPr>
          <w:p>
            <w:pPr>
              <w:spacing w:after="0"/>
              <w:rPr>
                <w:sz w:val="1"/>
                <w:szCs w:val="1"/>
                <w:color w:val="auto"/>
              </w:rPr>
            </w:pPr>
          </w:p>
        </w:tc>
      </w:tr>
      <w:tr>
        <w:trPr>
          <w:trHeight w:val="145"/>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Gains (losses) recognized on derivatives</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(84)</w:t>
            </w:r>
          </w:p>
        </w:tc>
        <w:tc>
          <w:tcPr>
            <w:tcW w:w="0" w:type="dxa"/>
            <w:vAlign w:val="bottom"/>
          </w:tcPr>
          <w:p>
            <w:pPr>
              <w:spacing w:after="0"/>
              <w:rPr>
                <w:sz w:val="1"/>
                <w:szCs w:val="1"/>
                <w:color w:val="auto"/>
              </w:rPr>
            </w:pPr>
          </w:p>
        </w:tc>
      </w:tr>
      <w:tr>
        <w:trPr>
          <w:trHeight w:val="144"/>
        </w:trPr>
        <w:tc>
          <w:tcPr>
            <w:tcW w:w="262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Gains (losses) recognized on hedged items</w:t>
            </w:r>
            <w:r>
              <w:rPr>
                <w:rFonts w:ascii="Times New Roman" w:cs="Times New Roman" w:eastAsia="Times New Roman" w:hAnsi="Times New Roman"/>
                <w:sz w:val="14"/>
                <w:szCs w:val="14"/>
                <w:color w:val="auto"/>
                <w:vertAlign w:val="superscript"/>
              </w:rPr>
              <w:t>(1)</w:t>
            </w: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83</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Excluded component of fair value hedges</w:t>
            </w:r>
            <w:r>
              <w:rPr>
                <w:rFonts w:ascii="Times New Roman" w:cs="Times New Roman" w:eastAsia="Times New Roman" w:hAnsi="Times New Roman"/>
                <w:sz w:val="14"/>
                <w:szCs w:val="14"/>
                <w:color w:val="auto"/>
                <w:vertAlign w:val="superscript"/>
              </w:rPr>
              <w:t>(2)</w:t>
            </w: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0" w:type="dxa"/>
            <w:vAlign w:val="bottom"/>
          </w:tcPr>
          <w:p>
            <w:pPr>
              <w:spacing w:after="0"/>
              <w:rPr>
                <w:sz w:val="1"/>
                <w:szCs w:val="1"/>
                <w:color w:val="auto"/>
              </w:rPr>
            </w:pPr>
          </w:p>
        </w:tc>
      </w:tr>
      <w:tr>
        <w:trPr>
          <w:trHeight w:val="149"/>
        </w:trPr>
        <w:tc>
          <w:tcPr>
            <w:tcW w:w="2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Net income (expense) recognized on fair value hedges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Cash flow hedging relationships:</w:t>
            </w:r>
            <w:r>
              <w:rPr>
                <w:rFonts w:ascii="Times New Roman" w:cs="Times New Roman" w:eastAsia="Times New Roman" w:hAnsi="Times New Roman"/>
                <w:sz w:val="14"/>
                <w:szCs w:val="14"/>
                <w:b w:val="1"/>
                <w:bCs w:val="1"/>
                <w:color w:val="auto"/>
                <w:vertAlign w:val="superscript"/>
              </w:rPr>
              <w:t>(3)</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rate contracts: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620" w:type="dxa"/>
            <w:vAlign w:val="bottom"/>
            <w:gridSpan w:val="2"/>
            <w:shd w:val="clear" w:color="auto" w:fill="CCEEFF"/>
          </w:tcPr>
          <w:p>
            <w:pPr>
              <w:ind w:left="140"/>
              <w:spacing w:after="0" w:line="110" w:lineRule="exact"/>
              <w:rPr>
                <w:sz w:val="20"/>
                <w:szCs w:val="20"/>
                <w:color w:val="auto"/>
              </w:rPr>
            </w:pPr>
            <w:r>
              <w:rPr>
                <w:rFonts w:ascii="Times New Roman" w:cs="Times New Roman" w:eastAsia="Times New Roman" w:hAnsi="Times New Roman"/>
                <w:sz w:val="11"/>
                <w:szCs w:val="11"/>
                <w:color w:val="auto"/>
              </w:rPr>
              <w:t>Realized gains (losses) reclassified from AOCI into</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8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income</w:t>
            </w:r>
          </w:p>
        </w:tc>
        <w:tc>
          <w:tcPr>
            <w:tcW w:w="12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620" w:type="dxa"/>
            <w:vAlign w:val="bottom"/>
            <w:gridSpan w:val="2"/>
            <w:shd w:val="clear" w:color="auto" w:fill="CCEEFF"/>
          </w:tcPr>
          <w:p>
            <w:pPr>
              <w:ind w:left="140"/>
              <w:spacing w:after="0" w:line="110" w:lineRule="exact"/>
              <w:rPr>
                <w:sz w:val="20"/>
                <w:szCs w:val="20"/>
                <w:color w:val="auto"/>
              </w:rPr>
            </w:pPr>
            <w:r>
              <w:rPr>
                <w:rFonts w:ascii="Times New Roman" w:cs="Times New Roman" w:eastAsia="Times New Roman" w:hAnsi="Times New Roman"/>
                <w:sz w:val="11"/>
                <w:szCs w:val="11"/>
                <w:color w:val="auto"/>
              </w:rPr>
              <w:t>Realized gains (losses) reclassified from AOCI into</w:t>
            </w:r>
          </w:p>
        </w:tc>
        <w:tc>
          <w:tcPr>
            <w:tcW w:w="12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net income</w:t>
            </w:r>
            <w:r>
              <w:rPr>
                <w:rFonts w:ascii="Times New Roman" w:cs="Times New Roman" w:eastAsia="Times New Roman" w:hAnsi="Times New Roman"/>
                <w:sz w:val="14"/>
                <w:szCs w:val="14"/>
                <w:color w:val="auto"/>
                <w:vertAlign w:val="superscript"/>
              </w:rPr>
              <w:t>(4)</w:t>
            </w: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6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(expense) recognized on cash flow hedges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80" w:type="dxa"/>
            <w:vAlign w:val="bottom"/>
          </w:tcPr>
          <w:p>
            <w:pPr>
              <w:spacing w:after="0"/>
              <w:rPr>
                <w:sz w:val="11"/>
                <w:szCs w:val="11"/>
                <w:color w:val="auto"/>
              </w:rPr>
            </w:pP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170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Year Ended December 31, 2021</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Net Interest Income</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Non-Interest Income</w:t>
            </w:r>
          </w:p>
        </w:tc>
        <w:tc>
          <w:tcPr>
            <w:tcW w:w="0" w:type="dxa"/>
            <w:vAlign w:val="bottom"/>
          </w:tcPr>
          <w:p>
            <w:pPr>
              <w:spacing w:after="0"/>
              <w:rPr>
                <w:sz w:val="1"/>
                <w:szCs w:val="1"/>
                <w:color w:val="auto"/>
              </w:rPr>
            </w:pPr>
          </w:p>
        </w:tc>
      </w:tr>
      <w:tr>
        <w:trPr>
          <w:trHeight w:val="84"/>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0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Investment Securities</w:t>
            </w:r>
          </w:p>
        </w:tc>
        <w:tc>
          <w:tcPr>
            <w:tcW w:w="100" w:type="dxa"/>
            <w:vAlign w:val="bottom"/>
          </w:tcPr>
          <w:p>
            <w:pPr>
              <w:spacing w:after="0"/>
              <w:rPr>
                <w:sz w:val="7"/>
                <w:szCs w:val="7"/>
                <w:color w:val="auto"/>
              </w:rPr>
            </w:pPr>
          </w:p>
        </w:tc>
        <w:tc>
          <w:tcPr>
            <w:tcW w:w="1160" w:type="dxa"/>
            <w:vAlign w:val="bottom"/>
            <w:gridSpan w:val="2"/>
          </w:tcPr>
          <w:p>
            <w:pPr>
              <w:jc w:val="center"/>
              <w:ind w:right="180"/>
              <w:spacing w:after="0" w:line="84" w:lineRule="exact"/>
              <w:rPr>
                <w:sz w:val="20"/>
                <w:szCs w:val="20"/>
                <w:color w:val="auto"/>
              </w:rPr>
            </w:pPr>
            <w:r>
              <w:rPr>
                <w:rFonts w:ascii="Times New Roman" w:cs="Times New Roman" w:eastAsia="Times New Roman" w:hAnsi="Times New Roman"/>
                <w:sz w:val="8"/>
                <w:szCs w:val="8"/>
                <w:b w:val="1"/>
                <w:bCs w:val="1"/>
                <w:color w:val="auto"/>
              </w:rPr>
              <w:t>Loans, Including Loans</w:t>
            </w:r>
          </w:p>
        </w:tc>
        <w:tc>
          <w:tcPr>
            <w:tcW w:w="260" w:type="dxa"/>
            <w:vAlign w:val="bottom"/>
          </w:tcPr>
          <w:p>
            <w:pPr>
              <w:spacing w:after="0"/>
              <w:rPr>
                <w:sz w:val="7"/>
                <w:szCs w:val="7"/>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Interest-bearing Deposits</w:t>
            </w:r>
          </w:p>
        </w:tc>
        <w:tc>
          <w:tcPr>
            <w:tcW w:w="160" w:type="dxa"/>
            <w:vAlign w:val="bottom"/>
          </w:tcPr>
          <w:p>
            <w:pPr>
              <w:spacing w:after="0"/>
              <w:rPr>
                <w:sz w:val="7"/>
                <w:szCs w:val="7"/>
                <w:color w:val="auto"/>
              </w:rPr>
            </w:pPr>
          </w:p>
        </w:tc>
        <w:tc>
          <w:tcPr>
            <w:tcW w:w="1100" w:type="dxa"/>
            <w:vAlign w:val="bottom"/>
            <w:gridSpan w:val="2"/>
          </w:tcPr>
          <w:p>
            <w:pPr>
              <w:jc w:val="center"/>
              <w:ind w:right="220"/>
              <w:spacing w:after="0" w:line="84" w:lineRule="exact"/>
              <w:rPr>
                <w:sz w:val="20"/>
                <w:szCs w:val="20"/>
                <w:color w:val="auto"/>
              </w:rPr>
            </w:pPr>
            <w:r>
              <w:rPr>
                <w:rFonts w:ascii="Times New Roman" w:cs="Times New Roman" w:eastAsia="Times New Roman" w:hAnsi="Times New Roman"/>
                <w:sz w:val="8"/>
                <w:szCs w:val="8"/>
                <w:b w:val="1"/>
                <w:bCs w:val="1"/>
                <w:color w:val="auto"/>
              </w:rPr>
              <w:t>Securitized Debt</w:t>
            </w:r>
          </w:p>
        </w:tc>
        <w:tc>
          <w:tcPr>
            <w:tcW w:w="80" w:type="dxa"/>
            <w:vAlign w:val="bottom"/>
          </w:tcPr>
          <w:p>
            <w:pPr>
              <w:spacing w:after="0"/>
              <w:rPr>
                <w:sz w:val="7"/>
                <w:szCs w:val="7"/>
                <w:color w:val="auto"/>
              </w:rPr>
            </w:pPr>
          </w:p>
        </w:tc>
        <w:tc>
          <w:tcPr>
            <w:tcW w:w="1100" w:type="dxa"/>
            <w:vAlign w:val="bottom"/>
          </w:tcPr>
          <w:p>
            <w:pPr>
              <w:jc w:val="center"/>
              <w:ind w:right="28"/>
              <w:spacing w:after="0" w:line="84" w:lineRule="exact"/>
              <w:rPr>
                <w:sz w:val="20"/>
                <w:szCs w:val="20"/>
                <w:color w:val="auto"/>
              </w:rPr>
            </w:pPr>
            <w:r>
              <w:rPr>
                <w:rFonts w:ascii="Times New Roman" w:cs="Times New Roman" w:eastAsia="Times New Roman" w:hAnsi="Times New Roman"/>
                <w:sz w:val="8"/>
                <w:szCs w:val="8"/>
                <w:b w:val="1"/>
                <w:bCs w:val="1"/>
                <w:color w:val="auto"/>
              </w:rPr>
              <w:t>Senior and Subordinated</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restart"/>
          </w:tcPr>
          <w:p>
            <w:pPr>
              <w:jc w:val="right"/>
              <w:ind w:right="467"/>
              <w:spacing w:after="0"/>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130"/>
        </w:trPr>
        <w:tc>
          <w:tcPr>
            <w:tcW w:w="2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Held for Sale</w:t>
            </w:r>
          </w:p>
        </w:tc>
        <w:tc>
          <w:tcPr>
            <w:tcW w:w="2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2"/>
              </w:rPr>
              <w:t>Obligations</w:t>
            </w:r>
          </w:p>
        </w:tc>
        <w:tc>
          <w:tcPr>
            <w:tcW w:w="80" w:type="dxa"/>
            <w:vAlign w:val="bottom"/>
          </w:tcPr>
          <w:p>
            <w:pPr>
              <w:spacing w:after="0"/>
              <w:rPr>
                <w:sz w:val="11"/>
                <w:szCs w:val="11"/>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Notes</w:t>
            </w: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500" w:type="dxa"/>
            <w:vAlign w:val="bottom"/>
            <w:tcBorders>
              <w:top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Total amounts presented in our consolidated</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24,263</w:t>
            </w: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vMerge w:val="restart"/>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statements of income</w:t>
            </w:r>
          </w:p>
        </w:tc>
        <w:tc>
          <w:tcPr>
            <w:tcW w:w="1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 hedging relationships: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rate and foreign exchange contracts: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 recognized on derivatives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760" w:type="dxa"/>
            <w:vAlign w:val="bottom"/>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Gains (losses) recognized on derivatives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0" w:type="dxa"/>
            <w:vAlign w:val="bottom"/>
          </w:tcPr>
          <w:p>
            <w:pPr>
              <w:spacing w:after="0"/>
              <w:rPr>
                <w:sz w:val="1"/>
                <w:szCs w:val="1"/>
                <w:color w:val="auto"/>
              </w:rPr>
            </w:pPr>
          </w:p>
        </w:tc>
      </w:tr>
      <w:tr>
        <w:trPr>
          <w:trHeight w:val="144"/>
        </w:trPr>
        <w:tc>
          <w:tcPr>
            <w:tcW w:w="25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Gains (losses) recognized on hedged items</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Excluded component of fair value hedges</w:t>
            </w:r>
            <w:r>
              <w:rPr>
                <w:rFonts w:ascii="Times New Roman" w:cs="Times New Roman" w:eastAsia="Times New Roman" w:hAnsi="Times New Roman"/>
                <w:sz w:val="14"/>
                <w:szCs w:val="14"/>
                <w:color w:val="auto"/>
                <w:vertAlign w:val="superscript"/>
              </w:rPr>
              <w:t>(2)</w:t>
            </w: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9"/>
        </w:trPr>
        <w:tc>
          <w:tcPr>
            <w:tcW w:w="2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Net income (expense) recognized on fair value hedges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Cash flow hedging relationships:</w:t>
            </w:r>
            <w:r>
              <w:rPr>
                <w:rFonts w:ascii="Times New Roman" w:cs="Times New Roman" w:eastAsia="Times New Roman" w:hAnsi="Times New Roman"/>
                <w:sz w:val="14"/>
                <w:szCs w:val="14"/>
                <w:b w:val="1"/>
                <w:bCs w:val="1"/>
                <w:color w:val="auto"/>
                <w:vertAlign w:val="superscript"/>
              </w:rPr>
              <w:t>(3)</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rate contracts: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580" w:type="dxa"/>
            <w:vAlign w:val="bottom"/>
            <w:gridSpan w:val="2"/>
            <w:shd w:val="clear" w:color="auto" w:fill="CCEEFF"/>
          </w:tcPr>
          <w:p>
            <w:pPr>
              <w:ind w:left="140"/>
              <w:spacing w:after="0" w:line="110" w:lineRule="exact"/>
              <w:rPr>
                <w:sz w:val="20"/>
                <w:szCs w:val="20"/>
                <w:color w:val="auto"/>
              </w:rPr>
            </w:pPr>
            <w:r>
              <w:rPr>
                <w:rFonts w:ascii="Times New Roman" w:cs="Times New Roman" w:eastAsia="Times New Roman" w:hAnsi="Times New Roman"/>
                <w:sz w:val="11"/>
                <w:szCs w:val="11"/>
                <w:color w:val="auto"/>
              </w:rPr>
              <w:t>Realized gains reclassified from AOCI into net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919</w:t>
            </w:r>
          </w:p>
        </w:tc>
        <w:tc>
          <w:tcPr>
            <w:tcW w:w="8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w:t>
            </w:r>
          </w:p>
        </w:tc>
        <w:tc>
          <w:tcPr>
            <w:tcW w:w="1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580" w:type="dxa"/>
            <w:vAlign w:val="bottom"/>
            <w:gridSpan w:val="2"/>
            <w:shd w:val="clear" w:color="auto" w:fill="CCEEFF"/>
          </w:tcPr>
          <w:p>
            <w:pPr>
              <w:ind w:left="140"/>
              <w:spacing w:after="0" w:line="110" w:lineRule="exact"/>
              <w:rPr>
                <w:sz w:val="20"/>
                <w:szCs w:val="20"/>
                <w:color w:val="auto"/>
              </w:rPr>
            </w:pPr>
            <w:r>
              <w:rPr>
                <w:rFonts w:ascii="Times New Roman" w:cs="Times New Roman" w:eastAsia="Times New Roman" w:hAnsi="Times New Roman"/>
                <w:sz w:val="11"/>
                <w:szCs w:val="11"/>
                <w:color w:val="auto"/>
              </w:rPr>
              <w:t>Realized gains reclassified from AOCI into net</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income</w:t>
            </w:r>
            <w:r>
              <w:rPr>
                <w:rFonts w:ascii="Times New Roman" w:cs="Times New Roman" w:eastAsia="Times New Roman" w:hAnsi="Times New Roman"/>
                <w:sz w:val="14"/>
                <w:szCs w:val="14"/>
                <w:color w:val="auto"/>
                <w:vertAlign w:val="superscript"/>
              </w:rPr>
              <w:t>(4)</w:t>
            </w: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(expense) recognized on cash flow hedges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919</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7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48"/>
              <w:spacing w:after="0"/>
              <w:rPr>
                <w:sz w:val="20"/>
                <w:szCs w:val="20"/>
                <w:color w:val="auto"/>
              </w:rPr>
            </w:pPr>
            <w:r>
              <w:rPr>
                <w:rFonts w:ascii="Times New Roman" w:cs="Times New Roman" w:eastAsia="Times New Roman" w:hAnsi="Times New Roman"/>
                <w:sz w:val="10"/>
                <w:szCs w:val="10"/>
                <w:color w:val="auto"/>
              </w:rPr>
              <w:t>171</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c>
          <w:tcPr>
            <w:tcW w:w="0" w:type="dxa"/>
            <w:vAlign w:val="bottom"/>
          </w:tcPr>
          <w:p>
            <w:pPr>
              <w:spacing w:after="0"/>
              <w:rPr>
                <w:sz w:val="1"/>
                <w:szCs w:val="1"/>
                <w:color w:val="auto"/>
              </w:rPr>
            </w:pPr>
          </w:p>
        </w:tc>
      </w:tr>
      <w:tr>
        <w:trPr>
          <w:trHeight w:val="215"/>
        </w:trPr>
        <w:tc>
          <w:tcPr>
            <w:tcW w:w="25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2" w:name="page173"/>
    <w:bookmarkEnd w:id="17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Year Ended December 31, 2020</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Net Interest Income</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Non-Interest Income</w:t>
            </w:r>
          </w:p>
        </w:tc>
        <w:tc>
          <w:tcPr>
            <w:tcW w:w="0" w:type="dxa"/>
            <w:vAlign w:val="bottom"/>
          </w:tcPr>
          <w:p>
            <w:pPr>
              <w:spacing w:after="0"/>
              <w:rPr>
                <w:sz w:val="1"/>
                <w:szCs w:val="1"/>
                <w:color w:val="auto"/>
              </w:rPr>
            </w:pPr>
          </w:p>
        </w:tc>
      </w:tr>
      <w:tr>
        <w:trPr>
          <w:trHeight w:val="85"/>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0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Investment Securities</w:t>
            </w:r>
          </w:p>
        </w:tc>
        <w:tc>
          <w:tcPr>
            <w:tcW w:w="100" w:type="dxa"/>
            <w:vAlign w:val="bottom"/>
          </w:tcPr>
          <w:p>
            <w:pPr>
              <w:spacing w:after="0"/>
              <w:rPr>
                <w:sz w:val="7"/>
                <w:szCs w:val="7"/>
                <w:color w:val="auto"/>
              </w:rPr>
            </w:pPr>
          </w:p>
        </w:tc>
        <w:tc>
          <w:tcPr>
            <w:tcW w:w="1160" w:type="dxa"/>
            <w:vAlign w:val="bottom"/>
            <w:gridSpan w:val="2"/>
          </w:tcPr>
          <w:p>
            <w:pPr>
              <w:jc w:val="center"/>
              <w:ind w:right="180"/>
              <w:spacing w:after="0" w:line="86" w:lineRule="exact"/>
              <w:rPr>
                <w:sz w:val="20"/>
                <w:szCs w:val="20"/>
                <w:color w:val="auto"/>
              </w:rPr>
            </w:pPr>
            <w:r>
              <w:rPr>
                <w:rFonts w:ascii="Times New Roman" w:cs="Times New Roman" w:eastAsia="Times New Roman" w:hAnsi="Times New Roman"/>
                <w:sz w:val="8"/>
                <w:szCs w:val="8"/>
                <w:b w:val="1"/>
                <w:bCs w:val="1"/>
                <w:color w:val="auto"/>
              </w:rPr>
              <w:t>Loans, Including Loans</w:t>
            </w:r>
          </w:p>
        </w:tc>
        <w:tc>
          <w:tcPr>
            <w:tcW w:w="260" w:type="dxa"/>
            <w:vAlign w:val="bottom"/>
          </w:tcPr>
          <w:p>
            <w:pPr>
              <w:spacing w:after="0"/>
              <w:rPr>
                <w:sz w:val="7"/>
                <w:szCs w:val="7"/>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Interest-bearing Deposits</w:t>
            </w:r>
          </w:p>
        </w:tc>
        <w:tc>
          <w:tcPr>
            <w:tcW w:w="160" w:type="dxa"/>
            <w:vAlign w:val="bottom"/>
          </w:tcPr>
          <w:p>
            <w:pPr>
              <w:spacing w:after="0"/>
              <w:rPr>
                <w:sz w:val="7"/>
                <w:szCs w:val="7"/>
                <w:color w:val="auto"/>
              </w:rPr>
            </w:pPr>
          </w:p>
        </w:tc>
        <w:tc>
          <w:tcPr>
            <w:tcW w:w="1100" w:type="dxa"/>
            <w:vAlign w:val="bottom"/>
            <w:gridSpan w:val="2"/>
          </w:tcPr>
          <w:p>
            <w:pPr>
              <w:jc w:val="center"/>
              <w:ind w:right="220"/>
              <w:spacing w:after="0" w:line="86" w:lineRule="exact"/>
              <w:rPr>
                <w:sz w:val="20"/>
                <w:szCs w:val="20"/>
                <w:color w:val="auto"/>
              </w:rPr>
            </w:pPr>
            <w:r>
              <w:rPr>
                <w:rFonts w:ascii="Times New Roman" w:cs="Times New Roman" w:eastAsia="Times New Roman" w:hAnsi="Times New Roman"/>
                <w:sz w:val="8"/>
                <w:szCs w:val="8"/>
                <w:b w:val="1"/>
                <w:bCs w:val="1"/>
                <w:color w:val="auto"/>
              </w:rPr>
              <w:t>Securitized Debt</w:t>
            </w:r>
          </w:p>
        </w:tc>
        <w:tc>
          <w:tcPr>
            <w:tcW w:w="80" w:type="dxa"/>
            <w:vAlign w:val="bottom"/>
          </w:tcPr>
          <w:p>
            <w:pPr>
              <w:spacing w:after="0"/>
              <w:rPr>
                <w:sz w:val="7"/>
                <w:szCs w:val="7"/>
                <w:color w:val="auto"/>
              </w:rPr>
            </w:pPr>
          </w:p>
        </w:tc>
        <w:tc>
          <w:tcPr>
            <w:tcW w:w="1100" w:type="dxa"/>
            <w:vAlign w:val="bottom"/>
          </w:tcPr>
          <w:p>
            <w:pPr>
              <w:jc w:val="center"/>
              <w:ind w:right="28"/>
              <w:spacing w:after="0" w:line="86" w:lineRule="exact"/>
              <w:rPr>
                <w:sz w:val="20"/>
                <w:szCs w:val="20"/>
                <w:color w:val="auto"/>
              </w:rPr>
            </w:pPr>
            <w:r>
              <w:rPr>
                <w:rFonts w:ascii="Times New Roman" w:cs="Times New Roman" w:eastAsia="Times New Roman" w:hAnsi="Times New Roman"/>
                <w:sz w:val="8"/>
                <w:szCs w:val="8"/>
                <w:b w:val="1"/>
                <w:bCs w:val="1"/>
                <w:color w:val="auto"/>
              </w:rPr>
              <w:t>Senior and Subordinated</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restart"/>
          </w:tcPr>
          <w:p>
            <w:pPr>
              <w:jc w:val="right"/>
              <w:ind w:right="467"/>
              <w:spacing w:after="0"/>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129"/>
        </w:trPr>
        <w:tc>
          <w:tcPr>
            <w:tcW w:w="2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Held for Sale</w:t>
            </w:r>
          </w:p>
        </w:tc>
        <w:tc>
          <w:tcPr>
            <w:tcW w:w="2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2"/>
              </w:rPr>
              <w:t>Obligations</w:t>
            </w:r>
          </w:p>
        </w:tc>
        <w:tc>
          <w:tcPr>
            <w:tcW w:w="80" w:type="dxa"/>
            <w:vAlign w:val="bottom"/>
          </w:tcPr>
          <w:p>
            <w:pPr>
              <w:spacing w:after="0"/>
              <w:rPr>
                <w:sz w:val="11"/>
                <w:szCs w:val="11"/>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Notes</w:t>
            </w:r>
          </w:p>
        </w:tc>
        <w:tc>
          <w:tcPr>
            <w:tcW w:w="1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0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amounts presented in our consolidated</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1,877</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24,074</w:t>
            </w: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vMerge w:val="restart"/>
            <w:shd w:val="clear" w:color="auto" w:fill="CCEEFF"/>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(2,165)</w:t>
            </w: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statements of income</w:t>
            </w:r>
          </w:p>
        </w:tc>
        <w:tc>
          <w:tcPr>
            <w:tcW w:w="1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Fair value hedging relationships: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rate and foreign exchange contracts: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 recognized on derivatives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720" w:type="dxa"/>
            <w:vAlign w:val="bottom"/>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Gains (losses) recognized on derivatives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144"/>
        </w:trPr>
        <w:tc>
          <w:tcPr>
            <w:tcW w:w="25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Gains (losses) recognized on hedged items</w:t>
            </w:r>
            <w:r>
              <w:rPr>
                <w:rFonts w:ascii="Times New Roman" w:cs="Times New Roman" w:eastAsia="Times New Roman" w:hAnsi="Times New Roman"/>
                <w:sz w:val="14"/>
                <w:szCs w:val="14"/>
                <w:color w:val="auto"/>
                <w:vertAlign w:val="superscript"/>
              </w:rPr>
              <w:t>(1)</w:t>
            </w: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Excluded component of fair value hedges</w:t>
            </w:r>
            <w:r>
              <w:rPr>
                <w:rFonts w:ascii="Times New Roman" w:cs="Times New Roman" w:eastAsia="Times New Roman" w:hAnsi="Times New Roman"/>
                <w:sz w:val="14"/>
                <w:szCs w:val="14"/>
                <w:color w:val="auto"/>
                <w:vertAlign w:val="superscript"/>
              </w:rPr>
              <w:t>(2)</w:t>
            </w: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9"/>
        </w:trPr>
        <w:tc>
          <w:tcPr>
            <w:tcW w:w="2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Net income (expense) recognized on fair value hedges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Cash flow hedging relationships:</w:t>
            </w:r>
            <w:r>
              <w:rPr>
                <w:rFonts w:ascii="Times New Roman" w:cs="Times New Roman" w:eastAsia="Times New Roman" w:hAnsi="Times New Roman"/>
                <w:sz w:val="14"/>
                <w:szCs w:val="14"/>
                <w:b w:val="1"/>
                <w:bCs w:val="1"/>
                <w:color w:val="auto"/>
                <w:vertAlign w:val="superscript"/>
              </w:rPr>
              <w:t>(3)</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rate contracts: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580" w:type="dxa"/>
            <w:vAlign w:val="bottom"/>
            <w:gridSpan w:val="2"/>
            <w:shd w:val="clear" w:color="auto" w:fill="CCEEFF"/>
          </w:tcPr>
          <w:p>
            <w:pPr>
              <w:ind w:left="140"/>
              <w:spacing w:after="0" w:line="110" w:lineRule="exact"/>
              <w:rPr>
                <w:sz w:val="20"/>
                <w:szCs w:val="20"/>
                <w:color w:val="auto"/>
              </w:rPr>
            </w:pPr>
            <w:r>
              <w:rPr>
                <w:rFonts w:ascii="Times New Roman" w:cs="Times New Roman" w:eastAsia="Times New Roman" w:hAnsi="Times New Roman"/>
                <w:sz w:val="11"/>
                <w:szCs w:val="11"/>
                <w:color w:val="auto"/>
              </w:rPr>
              <w:t>Realized gains reclassified from AOCI into net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8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w:t>
            </w:r>
          </w:p>
        </w:tc>
        <w:tc>
          <w:tcPr>
            <w:tcW w:w="100" w:type="dxa"/>
            <w:vAlign w:val="bottom"/>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580" w:type="dxa"/>
            <w:vAlign w:val="bottom"/>
            <w:gridSpan w:val="2"/>
            <w:shd w:val="clear" w:color="auto" w:fill="CCEEFF"/>
          </w:tcPr>
          <w:p>
            <w:pPr>
              <w:ind w:left="140"/>
              <w:spacing w:after="0" w:line="110" w:lineRule="exact"/>
              <w:rPr>
                <w:sz w:val="20"/>
                <w:szCs w:val="20"/>
                <w:color w:val="auto"/>
              </w:rPr>
            </w:pPr>
            <w:r>
              <w:rPr>
                <w:rFonts w:ascii="Times New Roman" w:cs="Times New Roman" w:eastAsia="Times New Roman" w:hAnsi="Times New Roman"/>
                <w:sz w:val="11"/>
                <w:szCs w:val="11"/>
                <w:color w:val="auto"/>
              </w:rPr>
              <w:t>Realized gains (losses) reclassified from AOCI into</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4"/>
        </w:trPr>
        <w:tc>
          <w:tcPr>
            <w:tcW w:w="25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net income</w:t>
            </w:r>
            <w:r>
              <w:rPr>
                <w:rFonts w:ascii="Times New Roman" w:cs="Times New Roman" w:eastAsia="Times New Roman" w:hAnsi="Times New Roman"/>
                <w:sz w:val="14"/>
                <w:szCs w:val="14"/>
                <w:color w:val="auto"/>
                <w:vertAlign w:val="superscript"/>
              </w:rPr>
              <w:t>(4)</w:t>
            </w: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(expense) recognized on cash flow hedges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w:t>
      </w:r>
    </w:p>
    <w:p>
      <w:pPr>
        <w:spacing w:after="0" w:line="96" w:lineRule="exact"/>
        <w:rPr>
          <w:sz w:val="20"/>
          <w:szCs w:val="20"/>
          <w:color w:val="auto"/>
        </w:rPr>
      </w:pPr>
    </w:p>
    <w:p>
      <w:pPr>
        <w:ind w:left="208" w:hanging="208"/>
        <w:spacing w:after="0"/>
        <w:tabs>
          <w:tab w:leader="none" w:pos="208" w:val="left"/>
        </w:tabs>
        <w:numPr>
          <w:ilvl w:val="0"/>
          <w:numId w:val="9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amortization benefit of $78 million and $39 million for the years ended December 31, 2022 and 2021, respectively, and expense of $12 million for year ended December 31, 2020, related to basis adjustments on discontinued hedges.</w:t>
      </w:r>
    </w:p>
    <w:p>
      <w:pPr>
        <w:spacing w:after="0" w:line="30" w:lineRule="exact"/>
        <w:rPr>
          <w:rFonts w:ascii="Times New Roman" w:cs="Times New Roman" w:eastAsia="Times New Roman" w:hAnsi="Times New Roman"/>
          <w:sz w:val="12"/>
          <w:szCs w:val="12"/>
          <w:color w:val="auto"/>
          <w:vertAlign w:val="superscript"/>
        </w:rPr>
      </w:pPr>
    </w:p>
    <w:p>
      <w:pPr>
        <w:ind w:left="208" w:right="20" w:hanging="208"/>
        <w:spacing w:after="0" w:line="241" w:lineRule="auto"/>
        <w:tabs>
          <w:tab w:leader="none" w:pos="200" w:val="left"/>
        </w:tabs>
        <w:numPr>
          <w:ilvl w:val="0"/>
          <w:numId w:val="9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Changes in fair values of cross-currency swaps attributable to changes in cross-currency basis spreads are excluded from the assessment of hedge effectiveness and recorded in other comprehensive income (“OCI”). The initial value of the excluded component is recognized in earnings over the life of the swap under the amortization approach.</w:t>
      </w:r>
    </w:p>
    <w:p>
      <w:pPr>
        <w:spacing w:after="0" w:line="14"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9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See “Note 10—Stockholders’ Equity” for the effects of cash flow and net investment hedges on AOCI and amounts reclassified to net income, net of tax.</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20" w:lineRule="auto"/>
        <w:tabs>
          <w:tab w:leader="none" w:pos="200" w:val="left"/>
        </w:tabs>
        <w:numPr>
          <w:ilvl w:val="0"/>
          <w:numId w:val="9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recognized a loss of $17 million for the year ended December 31, 2022, gain of $163 million in 2021, and loss of $57 million for year ended December 31, 2020, on foreign exchange contracts reclassified from AOCI. These amounts were largely offset by the foreign currency transaction gains (losses) on our foreign currency denominated intercompany funding included in other non-interest income on our consolidated statements of income.</w:t>
      </w:r>
    </w:p>
    <w:p>
      <w:pPr>
        <w:spacing w:after="0" w:line="9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the next 12 months, we expect to reclassify into earnings a net after-tax loss of $814 million recorded in AOCI as of December 31, 2022 associated with cash flow hedges of forecasted transactions. This amount will offset the cash flows associated with hedged forecasted transactions. The maximum length of time over which forecasted transactions were hedged was approximately 9.2 years as of December 31, 2022. The amount we expect to reclassify into earnings may change as a result of changes in market conditions and ongoing actions taken as part of our overall risk management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172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Free-Standing Derivatives</w:t>
      </w:r>
    </w:p>
    <w:p>
      <w:pPr>
        <w:spacing w:after="0" w:line="11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The net impacts to our consolidated statements of income related to free-standing derivatives are presented below for the years ended December 31, 2022, 2021 and 2020. These gains or losses are recognized in other non-interest income on our consolidated statements of income.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9.5: Gains (Losses) on Free-Standing Derivatives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0"/>
        </w:trPr>
        <w:tc>
          <w:tcPr>
            <w:tcW w:w="66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360" w:type="dxa"/>
            <w:vAlign w:val="bottom"/>
          </w:tcPr>
          <w:p>
            <w:pPr>
              <w:spacing w:after="0"/>
              <w:rPr>
                <w:sz w:val="11"/>
                <w:szCs w:val="11"/>
                <w:color w:val="auto"/>
              </w:rPr>
            </w:pPr>
          </w:p>
        </w:tc>
        <w:tc>
          <w:tcPr>
            <w:tcW w:w="1140" w:type="dxa"/>
            <w:vAlign w:val="bottom"/>
          </w:tcPr>
          <w:p>
            <w:pPr>
              <w:jc w:val="right"/>
              <w:ind w:right="587"/>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ind w:right="607"/>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38"/>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Gains (losses) recognized in other non-interest income:</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r>
      <w:tr>
        <w:trPr>
          <w:trHeight w:val="142"/>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Customer accommodation:</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rate contracts</w:t>
            </w:r>
          </w:p>
        </w:tc>
        <w:tc>
          <w:tcPr>
            <w:tcW w:w="36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43"/>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Commodity contracts</w:t>
            </w: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45"/>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Foreign exchange and other contracts</w:t>
            </w: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32"/>
        </w:trPr>
        <w:tc>
          <w:tcPr>
            <w:tcW w:w="66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customer accommodation</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103</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r>
      <w:tr>
        <w:trPr>
          <w:trHeight w:val="134"/>
        </w:trPr>
        <w:tc>
          <w:tcPr>
            <w:tcW w:w="66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Other interest rate exposures</w:t>
            </w: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43"/>
        </w:trPr>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contracts</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41"/>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20"/>
        </w:trPr>
        <w:tc>
          <w:tcPr>
            <w:tcW w:w="6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r>
      <w:tr>
        <w:trPr>
          <w:trHeight w:val="656"/>
        </w:trPr>
        <w:tc>
          <w:tcPr>
            <w:tcW w:w="6520" w:type="dxa"/>
            <w:vAlign w:val="bottom"/>
          </w:tcPr>
          <w:p>
            <w:pPr>
              <w:ind w:left="5560"/>
              <w:spacing w:after="0"/>
              <w:rPr>
                <w:sz w:val="20"/>
                <w:szCs w:val="20"/>
                <w:color w:val="auto"/>
              </w:rPr>
            </w:pPr>
            <w:r>
              <w:rPr>
                <w:rFonts w:ascii="Times New Roman" w:cs="Times New Roman" w:eastAsia="Times New Roman" w:hAnsi="Times New Roman"/>
                <w:sz w:val="10"/>
                <w:szCs w:val="10"/>
                <w:color w:val="auto"/>
              </w:rPr>
              <w:t>173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r>
      <w:tr>
        <w:trPr>
          <w:trHeight w:val="224"/>
        </w:trPr>
        <w:tc>
          <w:tcPr>
            <w:tcW w:w="65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4" w:name="page175"/>
    <w:bookmarkEnd w:id="174"/>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178040" cy="114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10—STOCKHOLDERS’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11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Preferred Stock</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summarizes our preferred stock outstanding as of December 31, 2022 and 2021.</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10.1: Preferred Stock Outstanding</w:t>
      </w:r>
      <w:r>
        <w:rPr>
          <w:rFonts w:ascii="Times New Roman" w:cs="Times New Roman" w:eastAsia="Times New Roman" w:hAnsi="Times New Roman"/>
          <w:sz w:val="14"/>
          <w:szCs w:val="14"/>
          <w:b w:val="1"/>
          <w:bCs w:val="1"/>
          <w:color w:val="auto"/>
          <w:vertAlign w:val="superscript"/>
        </w:rPr>
        <w:t>(1)</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60" w:type="dxa"/>
            <w:vAlign w:val="bottom"/>
            <w:gridSpan w:val="4"/>
          </w:tcPr>
          <w:p>
            <w:pPr>
              <w:jc w:val="right"/>
              <w:ind w:right="773"/>
              <w:spacing w:after="0"/>
              <w:rPr>
                <w:sz w:val="20"/>
                <w:szCs w:val="20"/>
                <w:color w:val="auto"/>
              </w:rPr>
            </w:pPr>
            <w:r>
              <w:rPr>
                <w:rFonts w:ascii="Times New Roman" w:cs="Times New Roman" w:eastAsia="Times New Roman" w:hAnsi="Times New Roman"/>
                <w:sz w:val="8"/>
                <w:szCs w:val="8"/>
                <w:b w:val="1"/>
                <w:bCs w:val="1"/>
                <w:color w:val="auto"/>
              </w:rPr>
              <w:t>Carrying Value</w:t>
            </w:r>
          </w:p>
        </w:tc>
        <w:tc>
          <w:tcPr>
            <w:tcW w:w="0" w:type="dxa"/>
            <w:vAlign w:val="bottom"/>
          </w:tcPr>
          <w:p>
            <w:pPr>
              <w:spacing w:after="0"/>
              <w:rPr>
                <w:sz w:val="1"/>
                <w:szCs w:val="1"/>
                <w:color w:val="auto"/>
              </w:rPr>
            </w:pPr>
          </w:p>
        </w:tc>
      </w:tr>
      <w:tr>
        <w:trPr>
          <w:trHeight w:val="115"/>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Total Shares Outstanding</w:t>
            </w: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(in millions)</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8"/>
                <w:szCs w:val="8"/>
                <w:b w:val="1"/>
                <w:bCs w:val="1"/>
                <w:color w:val="auto"/>
              </w:rPr>
              <w:t>Redeemable by Issuer</w:t>
            </w:r>
          </w:p>
        </w:tc>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tcPr>
          <w:p>
            <w:pPr>
              <w:spacing w:after="0" w:line="81" w:lineRule="exact"/>
              <w:rPr>
                <w:sz w:val="20"/>
                <w:szCs w:val="20"/>
                <w:color w:val="auto"/>
              </w:rPr>
            </w:pPr>
            <w:r>
              <w:rPr>
                <w:rFonts w:ascii="Times New Roman" w:cs="Times New Roman" w:eastAsia="Times New Roman" w:hAnsi="Times New Roman"/>
                <w:sz w:val="8"/>
                <w:szCs w:val="8"/>
                <w:b w:val="1"/>
                <w:bCs w:val="1"/>
                <w:color w:val="auto"/>
              </w:rPr>
              <w:t>Liquidation Preference</w:t>
            </w:r>
          </w:p>
        </w:tc>
        <w:tc>
          <w:tcPr>
            <w:tcW w:w="116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8"/>
                <w:szCs w:val="8"/>
                <w:b w:val="1"/>
                <w:bCs w:val="1"/>
                <w:color w:val="auto"/>
              </w:rPr>
              <w:t>as of</w:t>
            </w: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8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8"/>
                <w:szCs w:val="8"/>
                <w:b w:val="1"/>
                <w:bCs w:val="1"/>
                <w:color w:val="auto"/>
              </w:rPr>
              <w:t>Series</w:t>
            </w:r>
          </w:p>
        </w:tc>
        <w:tc>
          <w:tcPr>
            <w:tcW w:w="10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8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Issuance Date</w:t>
            </w: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Beginning</w:t>
            </w:r>
          </w:p>
        </w:tc>
        <w:tc>
          <w:tcPr>
            <w:tcW w:w="100" w:type="dxa"/>
            <w:vAlign w:val="bottom"/>
            <w:tcBorders>
              <w:bottom w:val="single" w:sz="8" w:color="CCEEFF"/>
            </w:tcBorders>
          </w:tcPr>
          <w:p>
            <w:pPr>
              <w:spacing w:after="0"/>
              <w:rPr>
                <w:sz w:val="10"/>
                <w:szCs w:val="1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Per Annum Dividend Rate</w:t>
            </w:r>
          </w:p>
        </w:tc>
        <w:tc>
          <w:tcPr>
            <w:tcW w:w="6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Dividend Frequency</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per Share</w:t>
            </w:r>
          </w:p>
        </w:tc>
        <w:tc>
          <w:tcPr>
            <w:tcW w:w="80" w:type="dxa"/>
            <w:vAlign w:val="bottom"/>
            <w:tcBorders>
              <w:bottom w:val="single" w:sz="8" w:color="CCEEFF"/>
            </w:tcBorders>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December 31, 2021</w:t>
            </w:r>
          </w:p>
        </w:tc>
        <w:tc>
          <w:tcPr>
            <w:tcW w:w="0" w:type="dxa"/>
            <w:vAlign w:val="bottom"/>
          </w:tcPr>
          <w:p>
            <w:pPr>
              <w:spacing w:after="0"/>
              <w:rPr>
                <w:sz w:val="1"/>
                <w:szCs w:val="1"/>
                <w:color w:val="auto"/>
              </w:rPr>
            </w:pPr>
          </w:p>
        </w:tc>
      </w:tr>
      <w:tr>
        <w:trPr>
          <w:trHeight w:val="85"/>
        </w:trPr>
        <w:tc>
          <w:tcPr>
            <w:tcW w:w="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Series I</w:t>
            </w:r>
          </w:p>
        </w:tc>
        <w:tc>
          <w:tcPr>
            <w:tcW w:w="1100" w:type="dxa"/>
            <w:vAlign w:val="bottom"/>
            <w:shd w:val="clear" w:color="auto" w:fill="CCEEFF"/>
          </w:tcPr>
          <w:p>
            <w:pPr>
              <w:jc w:val="center"/>
              <w:spacing w:after="0" w:line="85" w:lineRule="exact"/>
              <w:rPr>
                <w:sz w:val="20"/>
                <w:szCs w:val="20"/>
                <w:color w:val="auto"/>
              </w:rPr>
            </w:pPr>
            <w:r>
              <w:rPr>
                <w:rFonts w:ascii="Times New Roman" w:cs="Times New Roman" w:eastAsia="Times New Roman" w:hAnsi="Times New Roman"/>
                <w:sz w:val="8"/>
                <w:szCs w:val="8"/>
                <w:color w:val="auto"/>
              </w:rPr>
              <w:t>5.000%</w:t>
            </w:r>
          </w:p>
        </w:tc>
        <w:tc>
          <w:tcPr>
            <w:tcW w:w="80" w:type="dxa"/>
            <w:vAlign w:val="bottom"/>
            <w:shd w:val="clear" w:color="auto" w:fill="CCEEFF"/>
          </w:tcPr>
          <w:p>
            <w:pPr>
              <w:spacing w:after="0"/>
              <w:rPr>
                <w:sz w:val="7"/>
                <w:szCs w:val="7"/>
                <w:color w:val="auto"/>
              </w:rPr>
            </w:pPr>
          </w:p>
        </w:tc>
        <w:tc>
          <w:tcPr>
            <w:tcW w:w="1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4"/>
              </w:rPr>
              <w:t>September 11, 2019</w:t>
            </w:r>
          </w:p>
        </w:tc>
        <w:tc>
          <w:tcPr>
            <w:tcW w:w="11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5"/>
              </w:rPr>
              <w:t>December 1, 2024</w:t>
            </w: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5.000%</w:t>
            </w:r>
          </w:p>
        </w:tc>
        <w:tc>
          <w:tcPr>
            <w:tcW w:w="60" w:type="dxa"/>
            <w:vAlign w:val="bottom"/>
            <w:shd w:val="clear" w:color="auto" w:fill="CCEEFF"/>
          </w:tcPr>
          <w:p>
            <w:pPr>
              <w:spacing w:after="0"/>
              <w:rPr>
                <w:sz w:val="7"/>
                <w:szCs w:val="7"/>
                <w:color w:val="auto"/>
              </w:rPr>
            </w:pPr>
          </w:p>
        </w:tc>
        <w:tc>
          <w:tcPr>
            <w:tcW w:w="10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Quarterly</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1,500,000</w:t>
            </w: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1,462</w:t>
            </w:r>
          </w:p>
        </w:tc>
        <w:tc>
          <w:tcPr>
            <w:tcW w:w="8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1,462</w:t>
            </w:r>
          </w:p>
        </w:tc>
        <w:tc>
          <w:tcPr>
            <w:tcW w:w="0" w:type="dxa"/>
            <w:vAlign w:val="bottom"/>
          </w:tcPr>
          <w:p>
            <w:pPr>
              <w:spacing w:after="0"/>
              <w:rPr>
                <w:sz w:val="1"/>
                <w:szCs w:val="1"/>
                <w:color w:val="auto"/>
              </w:rPr>
            </w:pPr>
          </w:p>
        </w:tc>
      </w:tr>
      <w:tr>
        <w:trPr>
          <w:trHeight w:val="135"/>
        </w:trPr>
        <w:tc>
          <w:tcPr>
            <w:tcW w:w="980" w:type="dxa"/>
            <w:vAlign w:val="bottom"/>
            <w:gridSpan w:val="2"/>
            <w:vMerge w:val="continue"/>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5"/>
              </w:rPr>
              <w:t>Non-Cumulative</w:t>
            </w:r>
          </w:p>
        </w:tc>
        <w:tc>
          <w:tcPr>
            <w:tcW w:w="112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 J</w:t>
            </w:r>
          </w:p>
        </w:tc>
        <w:tc>
          <w:tcPr>
            <w:tcW w:w="110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7"/>
              </w:rPr>
              <w:t>4.800%</w:t>
            </w:r>
          </w:p>
        </w:tc>
        <w:tc>
          <w:tcPr>
            <w:tcW w:w="80" w:type="dxa"/>
            <w:vAlign w:val="bottom"/>
          </w:tcPr>
          <w:p>
            <w:pPr>
              <w:spacing w:after="0"/>
              <w:rPr>
                <w:sz w:val="7"/>
                <w:szCs w:val="7"/>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color w:val="auto"/>
                <w:w w:val="96"/>
              </w:rPr>
              <w:t>January 31, 2020</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color w:val="auto"/>
                <w:w w:val="94"/>
              </w:rPr>
              <w:t>June 1, 2025</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4.800</w:t>
            </w:r>
          </w:p>
        </w:tc>
        <w:tc>
          <w:tcPr>
            <w:tcW w:w="60" w:type="dxa"/>
            <w:vAlign w:val="bottom"/>
          </w:tcPr>
          <w:p>
            <w:pPr>
              <w:spacing w:after="0"/>
              <w:rPr>
                <w:sz w:val="7"/>
                <w:szCs w:val="7"/>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auto"/>
                <w:w w:val="99"/>
              </w:rPr>
              <w:t>Quarterly</w:t>
            </w:r>
          </w:p>
        </w:tc>
        <w:tc>
          <w:tcPr>
            <w:tcW w:w="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1,250,000</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1,209</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1,209</w:t>
            </w:r>
          </w:p>
        </w:tc>
        <w:tc>
          <w:tcPr>
            <w:tcW w:w="0" w:type="dxa"/>
            <w:vAlign w:val="bottom"/>
          </w:tcPr>
          <w:p>
            <w:pPr>
              <w:spacing w:after="0"/>
              <w:rPr>
                <w:sz w:val="1"/>
                <w:szCs w:val="1"/>
                <w:color w:val="auto"/>
              </w:rPr>
            </w:pPr>
          </w:p>
        </w:tc>
      </w:tr>
      <w:tr>
        <w:trPr>
          <w:trHeight w:val="129"/>
        </w:trPr>
        <w:tc>
          <w:tcPr>
            <w:tcW w:w="980" w:type="dxa"/>
            <w:vAlign w:val="bottom"/>
            <w:gridSpan w:val="2"/>
            <w:vMerge w:val="continue"/>
          </w:tcPr>
          <w:p>
            <w:pPr>
              <w:spacing w:after="0"/>
              <w:rPr>
                <w:sz w:val="11"/>
                <w:szCs w:val="1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5"/>
              </w:rPr>
              <w:t>Non-Cumulative</w:t>
            </w:r>
          </w:p>
        </w:tc>
        <w:tc>
          <w:tcPr>
            <w:tcW w:w="112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Series K</w:t>
            </w:r>
          </w:p>
        </w:tc>
        <w:tc>
          <w:tcPr>
            <w:tcW w:w="1100" w:type="dxa"/>
            <w:vAlign w:val="bottom"/>
            <w:shd w:val="clear" w:color="auto" w:fill="CCEEFF"/>
          </w:tcPr>
          <w:p>
            <w:pPr>
              <w:jc w:val="center"/>
              <w:spacing w:after="0" w:line="96" w:lineRule="exact"/>
              <w:rPr>
                <w:sz w:val="20"/>
                <w:szCs w:val="20"/>
                <w:color w:val="auto"/>
              </w:rPr>
            </w:pPr>
            <w:r>
              <w:rPr>
                <w:rFonts w:ascii="Times New Roman" w:cs="Times New Roman" w:eastAsia="Times New Roman" w:hAnsi="Times New Roman"/>
                <w:sz w:val="10"/>
                <w:szCs w:val="10"/>
                <w:color w:val="auto"/>
                <w:w w:val="97"/>
              </w:rPr>
              <w:t>4.625%</w:t>
            </w:r>
          </w:p>
        </w:tc>
        <w:tc>
          <w:tcPr>
            <w:tcW w:w="80" w:type="dxa"/>
            <w:vAlign w:val="bottom"/>
            <w:shd w:val="clear" w:color="auto" w:fill="CCEEFF"/>
          </w:tcPr>
          <w:p>
            <w:pPr>
              <w:spacing w:after="0"/>
              <w:rPr>
                <w:sz w:val="8"/>
                <w:szCs w:val="8"/>
                <w:color w:val="auto"/>
              </w:rPr>
            </w:pPr>
          </w:p>
        </w:tc>
        <w:tc>
          <w:tcPr>
            <w:tcW w:w="11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7"/>
              </w:rPr>
              <w:t>September 17, 2020</w:t>
            </w:r>
          </w:p>
        </w:tc>
        <w:tc>
          <w:tcPr>
            <w:tcW w:w="11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5"/>
              </w:rPr>
              <w:t>December 1, 2025</w:t>
            </w: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4.625</w:t>
            </w:r>
          </w:p>
        </w:tc>
        <w:tc>
          <w:tcPr>
            <w:tcW w:w="6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Quarterly</w:t>
            </w:r>
          </w:p>
        </w:tc>
        <w:tc>
          <w:tcPr>
            <w:tcW w:w="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125,000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122</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w:t>
            </w:r>
          </w:p>
        </w:tc>
        <w:tc>
          <w:tcPr>
            <w:tcW w:w="0" w:type="dxa"/>
            <w:vAlign w:val="bottom"/>
          </w:tcPr>
          <w:p>
            <w:pPr>
              <w:spacing w:after="0"/>
              <w:rPr>
                <w:sz w:val="1"/>
                <w:szCs w:val="1"/>
                <w:color w:val="auto"/>
              </w:rPr>
            </w:pPr>
          </w:p>
        </w:tc>
      </w:tr>
      <w:tr>
        <w:trPr>
          <w:trHeight w:val="135"/>
        </w:trPr>
        <w:tc>
          <w:tcPr>
            <w:tcW w:w="980" w:type="dxa"/>
            <w:vAlign w:val="bottom"/>
            <w:gridSpan w:val="2"/>
            <w:vMerge w:val="continue"/>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5"/>
              </w:rPr>
              <w:t>Non-Cumulative</w:t>
            </w:r>
          </w:p>
        </w:tc>
        <w:tc>
          <w:tcPr>
            <w:tcW w:w="112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 L</w:t>
            </w:r>
          </w:p>
        </w:tc>
        <w:tc>
          <w:tcPr>
            <w:tcW w:w="110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7"/>
              </w:rPr>
              <w:t>4.375%</w:t>
            </w:r>
          </w:p>
        </w:tc>
        <w:tc>
          <w:tcPr>
            <w:tcW w:w="80" w:type="dxa"/>
            <w:vAlign w:val="bottom"/>
          </w:tcPr>
          <w:p>
            <w:pPr>
              <w:spacing w:after="0"/>
              <w:rPr>
                <w:sz w:val="7"/>
                <w:szCs w:val="7"/>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auto"/>
                <w:w w:val="94"/>
              </w:rPr>
              <w:t>May 4, 2021</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color w:val="auto"/>
                <w:w w:val="95"/>
              </w:rPr>
              <w:t>September 1, 2026</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4.375</w:t>
            </w:r>
          </w:p>
        </w:tc>
        <w:tc>
          <w:tcPr>
            <w:tcW w:w="60" w:type="dxa"/>
            <w:vAlign w:val="bottom"/>
          </w:tcPr>
          <w:p>
            <w:pPr>
              <w:spacing w:after="0"/>
              <w:rPr>
                <w:sz w:val="7"/>
                <w:szCs w:val="7"/>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auto"/>
                <w:w w:val="99"/>
              </w:rPr>
              <w:t>Quarterly</w:t>
            </w:r>
          </w:p>
        </w:tc>
        <w:tc>
          <w:tcPr>
            <w:tcW w:w="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675,000</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652</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652</w:t>
            </w:r>
          </w:p>
        </w:tc>
        <w:tc>
          <w:tcPr>
            <w:tcW w:w="0" w:type="dxa"/>
            <w:vAlign w:val="bottom"/>
          </w:tcPr>
          <w:p>
            <w:pPr>
              <w:spacing w:after="0"/>
              <w:rPr>
                <w:sz w:val="1"/>
                <w:szCs w:val="1"/>
                <w:color w:val="auto"/>
              </w:rPr>
            </w:pPr>
          </w:p>
        </w:tc>
      </w:tr>
      <w:tr>
        <w:trPr>
          <w:trHeight w:val="129"/>
        </w:trPr>
        <w:tc>
          <w:tcPr>
            <w:tcW w:w="980" w:type="dxa"/>
            <w:vAlign w:val="bottom"/>
            <w:gridSpan w:val="2"/>
            <w:vMerge w:val="continue"/>
          </w:tcPr>
          <w:p>
            <w:pPr>
              <w:spacing w:after="0"/>
              <w:rPr>
                <w:sz w:val="11"/>
                <w:szCs w:val="1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5"/>
              </w:rPr>
              <w:t>Non-Cumulative</w:t>
            </w:r>
          </w:p>
        </w:tc>
        <w:tc>
          <w:tcPr>
            <w:tcW w:w="112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center"/>
              <w:ind w:right="60"/>
              <w:spacing w:after="0" w:line="96" w:lineRule="exact"/>
              <w:rPr>
                <w:sz w:val="20"/>
                <w:szCs w:val="20"/>
                <w:color w:val="auto"/>
              </w:rPr>
            </w:pPr>
            <w:r>
              <w:rPr>
                <w:rFonts w:ascii="Times New Roman" w:cs="Times New Roman" w:eastAsia="Times New Roman" w:hAnsi="Times New Roman"/>
                <w:sz w:val="10"/>
                <w:szCs w:val="10"/>
                <w:color w:val="auto"/>
                <w:w w:val="96"/>
              </w:rPr>
              <w:t>3.950% through 8/31/2026;</w:t>
            </w: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center"/>
              <w:ind w:right="60"/>
              <w:spacing w:after="0" w:line="94" w:lineRule="exact"/>
              <w:rPr>
                <w:sz w:val="20"/>
                <w:szCs w:val="20"/>
                <w:color w:val="auto"/>
              </w:rPr>
            </w:pPr>
            <w:r>
              <w:rPr>
                <w:rFonts w:ascii="Times New Roman" w:cs="Times New Roman" w:eastAsia="Times New Roman" w:hAnsi="Times New Roman"/>
                <w:sz w:val="10"/>
                <w:szCs w:val="10"/>
                <w:color w:val="auto"/>
                <w:w w:val="95"/>
              </w:rPr>
              <w:t>resets 9/1/2026 and every</w:t>
            </w: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5"/>
              </w:rPr>
              <w:t>subsequent 5 year anniversary</w:t>
            </w: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Series M</w:t>
            </w:r>
          </w:p>
        </w:tc>
        <w:tc>
          <w:tcPr>
            <w:tcW w:w="1180" w:type="dxa"/>
            <w:vAlign w:val="bottom"/>
            <w:gridSpan w:val="2"/>
            <w:shd w:val="clear" w:color="auto" w:fill="CCEEFF"/>
          </w:tcPr>
          <w:p>
            <w:pPr>
              <w:jc w:val="center"/>
              <w:ind w:right="100"/>
              <w:spacing w:after="0" w:line="96" w:lineRule="exact"/>
              <w:rPr>
                <w:sz w:val="20"/>
                <w:szCs w:val="20"/>
                <w:color w:val="auto"/>
              </w:rPr>
            </w:pPr>
            <w:r>
              <w:rPr>
                <w:rFonts w:ascii="Times New Roman" w:cs="Times New Roman" w:eastAsia="Times New Roman" w:hAnsi="Times New Roman"/>
                <w:sz w:val="10"/>
                <w:szCs w:val="10"/>
                <w:color w:val="auto"/>
                <w:w w:val="94"/>
              </w:rPr>
              <w:t>3.950% Fixed Rate Reset</w:t>
            </w:r>
          </w:p>
        </w:tc>
        <w:tc>
          <w:tcPr>
            <w:tcW w:w="11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6"/>
              </w:rPr>
              <w:t>June 10, 2021</w:t>
            </w:r>
          </w:p>
        </w:tc>
        <w:tc>
          <w:tcPr>
            <w:tcW w:w="11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5"/>
              </w:rPr>
              <w:t>September 1, 2026</w:t>
            </w:r>
          </w:p>
        </w:tc>
        <w:tc>
          <w:tcPr>
            <w:tcW w:w="1320" w:type="dxa"/>
            <w:vAlign w:val="bottom"/>
            <w:gridSpan w:val="2"/>
            <w:shd w:val="clear" w:color="auto" w:fill="CCEEFF"/>
          </w:tcPr>
          <w:p>
            <w:pPr>
              <w:jc w:val="center"/>
              <w:ind w:right="60"/>
              <w:spacing w:after="0" w:line="96" w:lineRule="exact"/>
              <w:rPr>
                <w:sz w:val="20"/>
                <w:szCs w:val="20"/>
                <w:color w:val="auto"/>
              </w:rPr>
            </w:pPr>
            <w:r>
              <w:rPr>
                <w:rFonts w:ascii="Times New Roman" w:cs="Times New Roman" w:eastAsia="Times New Roman" w:hAnsi="Times New Roman"/>
                <w:sz w:val="10"/>
                <w:szCs w:val="10"/>
                <w:color w:val="auto"/>
                <w:w w:val="93"/>
              </w:rPr>
              <w:t>at 5-Year Treasury Rate</w:t>
            </w:r>
          </w:p>
        </w:tc>
        <w:tc>
          <w:tcPr>
            <w:tcW w:w="10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Quarterly</w:t>
            </w:r>
          </w:p>
        </w:tc>
        <w:tc>
          <w:tcPr>
            <w:tcW w:w="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1,000,000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988</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988</w:t>
            </w:r>
          </w:p>
        </w:tc>
        <w:tc>
          <w:tcPr>
            <w:tcW w:w="0" w:type="dxa"/>
            <w:vAlign w:val="bottom"/>
          </w:tcPr>
          <w:p>
            <w:pPr>
              <w:spacing w:after="0"/>
              <w:rPr>
                <w:sz w:val="1"/>
                <w:szCs w:val="1"/>
                <w:color w:val="auto"/>
              </w:rPr>
            </w:pPr>
          </w:p>
        </w:tc>
      </w:tr>
      <w:tr>
        <w:trPr>
          <w:trHeight w:val="135"/>
        </w:trPr>
        <w:tc>
          <w:tcPr>
            <w:tcW w:w="980" w:type="dxa"/>
            <w:vAlign w:val="bottom"/>
            <w:gridSpan w:val="2"/>
            <w:vMerge w:val="continue"/>
            <w:shd w:val="clear" w:color="auto" w:fill="CCEEFF"/>
          </w:tcPr>
          <w:p>
            <w:pPr>
              <w:spacing w:after="0"/>
              <w:rPr>
                <w:sz w:val="11"/>
                <w:szCs w:val="11"/>
                <w:color w:val="auto"/>
              </w:rPr>
            </w:pP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5"/>
              </w:rPr>
              <w:t>Non-Cumulative</w:t>
            </w:r>
          </w:p>
        </w:tc>
        <w:tc>
          <w:tcPr>
            <w:tcW w:w="1120" w:type="dxa"/>
            <w:vAlign w:val="bottom"/>
            <w:gridSpan w:val="2"/>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3"/>
              </w:rPr>
              <w:t>+3.157%</w:t>
            </w:r>
          </w:p>
        </w:tc>
        <w:tc>
          <w:tcPr>
            <w:tcW w:w="6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 N</w:t>
            </w:r>
          </w:p>
        </w:tc>
        <w:tc>
          <w:tcPr>
            <w:tcW w:w="110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7"/>
              </w:rPr>
              <w:t>4.250%</w:t>
            </w:r>
          </w:p>
        </w:tc>
        <w:tc>
          <w:tcPr>
            <w:tcW w:w="80" w:type="dxa"/>
            <w:vAlign w:val="bottom"/>
          </w:tcPr>
          <w:p>
            <w:pPr>
              <w:spacing w:after="0"/>
              <w:rPr>
                <w:sz w:val="7"/>
                <w:szCs w:val="7"/>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auto"/>
                <w:w w:val="95"/>
              </w:rPr>
              <w:t>July 29, 2021</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color w:val="auto"/>
                <w:w w:val="95"/>
              </w:rPr>
              <w:t>September 1, 2026</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7"/>
              </w:rPr>
              <w:t>4.250%</w:t>
            </w:r>
          </w:p>
        </w:tc>
        <w:tc>
          <w:tcPr>
            <w:tcW w:w="60" w:type="dxa"/>
            <w:vAlign w:val="bottom"/>
          </w:tcPr>
          <w:p>
            <w:pPr>
              <w:spacing w:after="0"/>
              <w:rPr>
                <w:sz w:val="7"/>
                <w:szCs w:val="7"/>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auto"/>
                <w:w w:val="99"/>
              </w:rPr>
              <w:t>Quarterly</w:t>
            </w:r>
          </w:p>
        </w:tc>
        <w:tc>
          <w:tcPr>
            <w:tcW w:w="8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80" w:type="dxa"/>
            <w:vAlign w:val="bottom"/>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425,000</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412</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412</w:t>
            </w:r>
          </w:p>
        </w:tc>
        <w:tc>
          <w:tcPr>
            <w:tcW w:w="0" w:type="dxa"/>
            <w:vAlign w:val="bottom"/>
          </w:tcPr>
          <w:p>
            <w:pPr>
              <w:spacing w:after="0"/>
              <w:rPr>
                <w:sz w:val="1"/>
                <w:szCs w:val="1"/>
                <w:color w:val="auto"/>
              </w:rPr>
            </w:pPr>
          </w:p>
        </w:tc>
      </w:tr>
      <w:tr>
        <w:trPr>
          <w:trHeight w:val="129"/>
        </w:trPr>
        <w:tc>
          <w:tcPr>
            <w:tcW w:w="980" w:type="dxa"/>
            <w:vAlign w:val="bottom"/>
            <w:tcBorders>
              <w:bottom w:val="single" w:sz="8" w:color="CCEEFF"/>
            </w:tcBorders>
            <w:gridSpan w:val="2"/>
            <w:vMerge w:val="continue"/>
          </w:tcPr>
          <w:p>
            <w:pPr>
              <w:spacing w:after="0"/>
              <w:rPr>
                <w:sz w:val="11"/>
                <w:szCs w:val="11"/>
                <w:color w:val="auto"/>
              </w:rPr>
            </w:pPr>
          </w:p>
        </w:tc>
        <w:tc>
          <w:tcPr>
            <w:tcW w:w="11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5"/>
              </w:rPr>
              <w:t>Non-Cumulative</w:t>
            </w:r>
          </w:p>
        </w:tc>
        <w:tc>
          <w:tcPr>
            <w:tcW w:w="1120" w:type="dxa"/>
            <w:vAlign w:val="bottom"/>
            <w:tcBorders>
              <w:bottom w:val="single" w:sz="8" w:color="CCEEFF"/>
            </w:tcBorders>
            <w:gridSpan w:val="2"/>
            <w:vMerge w:val="continue"/>
          </w:tcPr>
          <w:p>
            <w:pPr>
              <w:spacing w:after="0"/>
              <w:rPr>
                <w:sz w:val="11"/>
                <w:szCs w:val="11"/>
                <w:color w:val="auto"/>
              </w:rPr>
            </w:pPr>
          </w:p>
        </w:tc>
        <w:tc>
          <w:tcPr>
            <w:tcW w:w="1140" w:type="dxa"/>
            <w:vAlign w:val="bottom"/>
            <w:tcBorders>
              <w:bottom w:val="single" w:sz="8" w:color="CCEEFF"/>
            </w:tcBorders>
            <w:gridSpan w:val="2"/>
            <w:vMerge w:val="continue"/>
          </w:tcPr>
          <w:p>
            <w:pPr>
              <w:spacing w:after="0"/>
              <w:rPr>
                <w:sz w:val="11"/>
                <w:szCs w:val="11"/>
                <w:color w:val="auto"/>
              </w:rPr>
            </w:pPr>
          </w:p>
        </w:tc>
        <w:tc>
          <w:tcPr>
            <w:tcW w:w="126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gridSpan w:val="2"/>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80" w:type="dxa"/>
            <w:vAlign w:val="bottom"/>
            <w:tcBorders>
              <w:bottom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4,845</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4,845</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tabs>
          <w:tab w:leader="none" w:pos="208" w:val="left"/>
        </w:tabs>
        <w:numPr>
          <w:ilvl w:val="0"/>
          <w:numId w:val="9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Except for Series M, ownership is held in the form of depositary shares, each representing a 1/40th interest in a share of fixed-rate non-cumulative perpetual preferred stock.</w:t>
      </w:r>
    </w:p>
    <w:p>
      <w:pPr>
        <w:spacing w:after="0" w:line="200" w:lineRule="exact"/>
        <w:rPr>
          <w:sz w:val="20"/>
          <w:szCs w:val="20"/>
          <w:color w:val="auto"/>
        </w:rPr>
      </w:pPr>
    </w:p>
    <w:p>
      <w:pPr>
        <w:spacing w:after="0" w:line="342" w:lineRule="exact"/>
        <w:rPr>
          <w:sz w:val="20"/>
          <w:szCs w:val="20"/>
          <w:color w:val="auto"/>
        </w:rPr>
      </w:pPr>
    </w:p>
    <w:p>
      <w:pPr>
        <w:jc w:val="both"/>
        <w:ind w:left="5568"/>
        <w:spacing w:after="0"/>
        <w:tabs>
          <w:tab w:leader="none" w:pos="9668" w:val="left"/>
        </w:tabs>
        <w:rPr>
          <w:sz w:val="20"/>
          <w:szCs w:val="20"/>
          <w:color w:val="auto"/>
        </w:rPr>
      </w:pPr>
      <w:r>
        <w:rPr>
          <w:rFonts w:ascii="Times New Roman" w:cs="Times New Roman" w:eastAsia="Times New Roman" w:hAnsi="Times New Roman"/>
          <w:sz w:val="10"/>
          <w:szCs w:val="10"/>
          <w:color w:val="auto"/>
        </w:rPr>
        <w:t>174</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128905</wp:posOffset>
            </wp:positionV>
            <wp:extent cx="720344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6" w:right="319" w:bottom="1440" w:gutter="0" w:footer="0" w:header="0"/>
        </w:sectPr>
      </w:pPr>
    </w:p>
    <w:bookmarkStart w:id="175" w:name="page176"/>
    <w:bookmarkEnd w:id="175"/>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Accumulated Other Comprehensive Income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AOCI primarily consists of accumulated net unrealized gains or losses associated with securities available for sale, changes in fair value of derivatives in hedging relationships and foreign currency translation adjustments.</w:t>
      </w:r>
    </w:p>
    <w:p>
      <w:pPr>
        <w:spacing w:after="0" w:line="1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the changes in AOCI by component for the years ended December 31, 2022, 2021 and 2020.</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10.2: AOCI</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Securities Available for</w:t>
            </w:r>
          </w:p>
        </w:tc>
        <w:tc>
          <w:tcPr>
            <w:tcW w:w="12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Hedging Relationships</w:t>
            </w:r>
            <w:r>
              <w:rPr>
                <w:rFonts w:ascii="Times New Roman" w:cs="Times New Roman" w:eastAsia="Times New Roman" w:hAnsi="Times New Roman"/>
                <w:sz w:val="12"/>
                <w:szCs w:val="12"/>
                <w:b w:val="1"/>
                <w:bCs w:val="1"/>
                <w:color w:val="auto"/>
                <w:vertAlign w:val="superscript"/>
              </w:rPr>
              <w:t>(1)</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Foreign Currency Translation</w:t>
            </w:r>
          </w:p>
        </w:tc>
        <w:tc>
          <w:tcPr>
            <w:tcW w:w="20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00" w:type="dxa"/>
            <w:vAlign w:val="bottom"/>
          </w:tcPr>
          <w:p>
            <w:pPr>
              <w:spacing w:after="0"/>
              <w:rPr>
                <w:sz w:val="10"/>
                <w:szCs w:val="10"/>
                <w:color w:val="auto"/>
              </w:rPr>
            </w:pPr>
          </w:p>
        </w:tc>
        <w:tc>
          <w:tcPr>
            <w:tcW w:w="720" w:type="dxa"/>
            <w:vAlign w:val="bottom"/>
            <w:vMerge w:val="restart"/>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5"/>
        </w:trPr>
        <w:tc>
          <w:tcPr>
            <w:tcW w:w="54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Sale</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0"/>
                <w:szCs w:val="10"/>
                <w:b w:val="1"/>
                <w:bCs w:val="1"/>
                <w:color w:val="auto"/>
              </w:rPr>
              <w:t xml:space="preserve">Adjustments </w:t>
            </w:r>
            <w:r>
              <w:rPr>
                <w:rFonts w:ascii="Times New Roman" w:cs="Times New Roman" w:eastAsia="Times New Roman" w:hAnsi="Times New Roman"/>
                <w:sz w:val="12"/>
                <w:szCs w:val="12"/>
                <w:b w:val="1"/>
                <w:bCs w:val="1"/>
                <w:color w:val="auto"/>
                <w:vertAlign w:val="superscript"/>
              </w:rPr>
              <w:t>(2)</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AOCI as of December 31, 2019</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w:t>
            </w:r>
          </w:p>
        </w:tc>
        <w:tc>
          <w:tcPr>
            <w:tcW w:w="0" w:type="dxa"/>
            <w:vAlign w:val="bottom"/>
          </w:tcPr>
          <w:p>
            <w:pPr>
              <w:spacing w:after="0"/>
              <w:rPr>
                <w:sz w:val="1"/>
                <w:szCs w:val="1"/>
                <w:color w:val="auto"/>
              </w:rPr>
            </w:pPr>
          </w:p>
        </w:tc>
      </w:tr>
      <w:tr>
        <w:trPr>
          <w:trHeight w:val="142"/>
        </w:trPr>
        <w:tc>
          <w:tcPr>
            <w:tcW w:w="5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Cumulative effects from the adoption of the CECL standard</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4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 before reclassifications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Amounts reclassified from AOCI into earnings</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0" w:type="dxa"/>
            <w:vAlign w:val="bottom"/>
          </w:tcPr>
          <w:p>
            <w:pPr>
              <w:spacing w:after="0"/>
              <w:rPr>
                <w:sz w:val="1"/>
                <w:szCs w:val="1"/>
                <w:color w:val="auto"/>
              </w:rPr>
            </w:pPr>
          </w:p>
        </w:tc>
      </w:tr>
      <w:tr>
        <w:trPr>
          <w:trHeight w:val="135"/>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2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1,259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0" w:type="dxa"/>
            <w:vAlign w:val="bottom"/>
          </w:tcPr>
          <w:p>
            <w:pPr>
              <w:spacing w:after="0"/>
              <w:rPr>
                <w:sz w:val="1"/>
                <w:szCs w:val="1"/>
                <w:color w:val="auto"/>
              </w:rPr>
            </w:pPr>
          </w:p>
        </w:tc>
      </w:tr>
      <w:tr>
        <w:trPr>
          <w:trHeight w:val="131"/>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AOCI as of December 31, 2020</w:t>
            </w: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2,186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3,494</w:t>
            </w:r>
          </w:p>
        </w:tc>
        <w:tc>
          <w:tcPr>
            <w:tcW w:w="0" w:type="dxa"/>
            <w:vAlign w:val="bottom"/>
          </w:tcPr>
          <w:p>
            <w:pPr>
              <w:spacing w:after="0"/>
              <w:rPr>
                <w:sz w:val="1"/>
                <w:szCs w:val="1"/>
                <w:color w:val="auto"/>
              </w:rPr>
            </w:pPr>
          </w:p>
        </w:tc>
      </w:tr>
      <w:tr>
        <w:trPr>
          <w:trHeight w:val="135"/>
        </w:trPr>
        <w:tc>
          <w:tcPr>
            <w:tcW w:w="54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(2,266)</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Amounts reclassified from AOCI into earnings</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0" w:type="dxa"/>
            <w:vAlign w:val="bottom"/>
          </w:tcPr>
          <w:p>
            <w:pPr>
              <w:spacing w:after="0"/>
              <w:rPr>
                <w:sz w:val="1"/>
                <w:szCs w:val="1"/>
                <w:color w:val="auto"/>
              </w:rPr>
            </w:pPr>
          </w:p>
        </w:tc>
      </w:tr>
      <w:tr>
        <w:trPr>
          <w:trHeight w:val="135"/>
        </w:trPr>
        <w:tc>
          <w:tcPr>
            <w:tcW w:w="54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 (loss), net of tax</w:t>
            </w:r>
          </w:p>
        </w:tc>
        <w:tc>
          <w:tcPr>
            <w:tcW w:w="2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(3,120)</w:t>
            </w:r>
          </w:p>
        </w:tc>
        <w:tc>
          <w:tcPr>
            <w:tcW w:w="0" w:type="dxa"/>
            <w:vAlign w:val="bottom"/>
          </w:tcPr>
          <w:p>
            <w:pPr>
              <w:spacing w:after="0"/>
              <w:rPr>
                <w:sz w:val="1"/>
                <w:szCs w:val="1"/>
                <w:color w:val="auto"/>
              </w:rPr>
            </w:pPr>
          </w:p>
        </w:tc>
      </w:tr>
      <w:tr>
        <w:trPr>
          <w:trHeight w:val="131"/>
        </w:trPr>
        <w:tc>
          <w:tcPr>
            <w:tcW w:w="540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AOCI as of December 31, 2021</w:t>
            </w: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0" w:type="dxa"/>
            <w:vAlign w:val="bottom"/>
          </w:tcPr>
          <w:p>
            <w:pPr>
              <w:spacing w:after="0"/>
              <w:rPr>
                <w:sz w:val="1"/>
                <w:szCs w:val="1"/>
                <w:color w:val="auto"/>
              </w:rPr>
            </w:pPr>
          </w:p>
        </w:tc>
      </w:tr>
      <w:tr>
        <w:trPr>
          <w:trHeight w:val="135"/>
        </w:trPr>
        <w:tc>
          <w:tcPr>
            <w:tcW w:w="54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(7,980)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(2,404)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(10,400)</w:t>
            </w:r>
          </w:p>
        </w:tc>
        <w:tc>
          <w:tcPr>
            <w:tcW w:w="0" w:type="dxa"/>
            <w:vAlign w:val="bottom"/>
          </w:tcPr>
          <w:p>
            <w:pPr>
              <w:spacing w:after="0"/>
              <w:rPr>
                <w:sz w:val="1"/>
                <w:szCs w:val="1"/>
                <w:color w:val="auto"/>
              </w:rPr>
            </w:pPr>
          </w:p>
        </w:tc>
      </w:tr>
      <w:tr>
        <w:trPr>
          <w:trHeight w:val="143"/>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Amounts reclassified from AOCI into earnings</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110</w:t>
            </w:r>
          </w:p>
        </w:tc>
        <w:tc>
          <w:tcPr>
            <w:tcW w:w="0" w:type="dxa"/>
            <w:vAlign w:val="bottom"/>
          </w:tcPr>
          <w:p>
            <w:pPr>
              <w:spacing w:after="0"/>
              <w:rPr>
                <w:sz w:val="1"/>
                <w:szCs w:val="1"/>
                <w:color w:val="auto"/>
              </w:rPr>
            </w:pPr>
          </w:p>
        </w:tc>
      </w:tr>
      <w:tr>
        <w:trPr>
          <w:trHeight w:val="134"/>
        </w:trPr>
        <w:tc>
          <w:tcPr>
            <w:tcW w:w="54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Other comprehensive income (loss), net of tax</w:t>
            </w:r>
          </w:p>
        </w:tc>
        <w:tc>
          <w:tcPr>
            <w:tcW w:w="2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(7,973)</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(2,300)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(10,290)</w:t>
            </w:r>
          </w:p>
        </w:tc>
        <w:tc>
          <w:tcPr>
            <w:tcW w:w="0" w:type="dxa"/>
            <w:vAlign w:val="bottom"/>
          </w:tcPr>
          <w:p>
            <w:pPr>
              <w:spacing w:after="0"/>
              <w:rPr>
                <w:sz w:val="1"/>
                <w:szCs w:val="1"/>
                <w:color w:val="auto"/>
              </w:rPr>
            </w:pPr>
          </w:p>
        </w:tc>
      </w:tr>
      <w:tr>
        <w:trPr>
          <w:trHeight w:val="132"/>
        </w:trPr>
        <w:tc>
          <w:tcPr>
            <w:tcW w:w="5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AOCI as of December 31, 2022</w:t>
            </w:r>
          </w:p>
        </w:tc>
        <w:tc>
          <w:tcPr>
            <w:tcW w:w="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(7,676)</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(2,182)</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(9,916)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9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amounts related to cash flow hedges as well as the excluded component of cross-currency swaps designated as fair value hedges.</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36" w:lineRule="auto"/>
        <w:tabs>
          <w:tab w:leader="none" w:pos="208" w:val="left"/>
        </w:tabs>
        <w:numPr>
          <w:ilvl w:val="0"/>
          <w:numId w:val="9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other comprehensive gains of $305 million and $22 million, and loss of $65 million for the years ended December 31, 2022, 2021 and 2020, respectively, from hedging instruments designated as net investment hedges.</w:t>
      </w:r>
    </w:p>
    <w:p>
      <w:pPr>
        <w:spacing w:after="0" w:line="200" w:lineRule="exact"/>
        <w:rPr>
          <w:sz w:val="20"/>
          <w:szCs w:val="20"/>
          <w:color w:val="auto"/>
        </w:rPr>
      </w:pPr>
    </w:p>
    <w:p>
      <w:pPr>
        <w:spacing w:after="0" w:line="334" w:lineRule="exact"/>
        <w:rPr>
          <w:sz w:val="20"/>
          <w:szCs w:val="20"/>
          <w:color w:val="auto"/>
        </w:rPr>
      </w:pPr>
    </w:p>
    <w:p>
      <w:pPr>
        <w:jc w:val="both"/>
        <w:ind w:left="5568"/>
        <w:spacing w:after="0"/>
        <w:tabs>
          <w:tab w:leader="none" w:pos="9668" w:val="left"/>
        </w:tabs>
        <w:rPr>
          <w:sz w:val="20"/>
          <w:szCs w:val="20"/>
          <w:color w:val="auto"/>
        </w:rPr>
      </w:pPr>
      <w:r>
        <w:rPr>
          <w:rFonts w:ascii="Times New Roman" w:cs="Times New Roman" w:eastAsia="Times New Roman" w:hAnsi="Times New Roman"/>
          <w:sz w:val="10"/>
          <w:szCs w:val="10"/>
          <w:color w:val="auto"/>
        </w:rPr>
        <w:t>175</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128905</wp:posOffset>
            </wp:positionV>
            <wp:extent cx="720344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6" w:right="319" w:bottom="1440" w:gutter="0" w:footer="0" w:header="0"/>
        </w:sectPr>
      </w:pPr>
    </w:p>
    <w:bookmarkStart w:id="176" w:name="page177"/>
    <w:bookmarkEnd w:id="176"/>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amounts reclassified from each component of AOCI to our consolidated statements of income for the years ended December 31, 2022, 2021 and 2020.</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10.3: Reclassifications from AOCI</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8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28"/>
        </w:trPr>
        <w:tc>
          <w:tcPr>
            <w:tcW w:w="27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0"/>
                <w:szCs w:val="10"/>
                <w:b w:val="1"/>
                <w:bCs w:val="1"/>
                <w:color w:val="auto"/>
              </w:rPr>
              <w:t>AOCI Components</w:t>
            </w:r>
          </w:p>
        </w:tc>
        <w:tc>
          <w:tcPr>
            <w:tcW w:w="80" w:type="dxa"/>
            <w:vAlign w:val="bottom"/>
            <w:tcBorders>
              <w:bottom w:val="single" w:sz="8" w:color="CCEEFF"/>
            </w:tcBorders>
          </w:tcPr>
          <w:p>
            <w:pPr>
              <w:spacing w:after="0"/>
              <w:rPr>
                <w:sz w:val="11"/>
                <w:szCs w:val="11"/>
                <w:color w:val="auto"/>
              </w:rPr>
            </w:pPr>
          </w:p>
        </w:tc>
        <w:tc>
          <w:tcPr>
            <w:tcW w:w="466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0"/>
                <w:szCs w:val="10"/>
                <w:b w:val="1"/>
                <w:bCs w:val="1"/>
                <w:color w:val="auto"/>
              </w:rPr>
              <w:t>Affected Income Statement Line Item</w:t>
            </w:r>
          </w:p>
        </w:tc>
        <w:tc>
          <w:tcPr>
            <w:tcW w:w="8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38"/>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Securities available for sale:</w:t>
            </w:r>
          </w:p>
        </w:tc>
        <w:tc>
          <w:tcPr>
            <w:tcW w:w="80" w:type="dxa"/>
            <w:vAlign w:val="bottom"/>
            <w:shd w:val="clear" w:color="auto" w:fill="CCEEFF"/>
          </w:tcPr>
          <w:p>
            <w:pPr>
              <w:spacing w:after="0"/>
              <w:rPr>
                <w:sz w:val="11"/>
                <w:szCs w:val="11"/>
                <w:color w:val="auto"/>
              </w:rPr>
            </w:pPr>
          </w:p>
        </w:tc>
        <w:tc>
          <w:tcPr>
            <w:tcW w:w="4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3"/>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Non-interest income (loss)</w:t>
            </w: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Pr>
          <w:p>
            <w:pPr>
              <w:spacing w:after="0"/>
              <w:rPr>
                <w:sz w:val="12"/>
                <w:szCs w:val="12"/>
                <w:color w:val="auto"/>
              </w:rPr>
            </w:pPr>
          </w:p>
        </w:tc>
        <w:tc>
          <w:tcPr>
            <w:tcW w:w="300" w:type="dxa"/>
            <w:vAlign w:val="bottom"/>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45"/>
        </w:trPr>
        <w:tc>
          <w:tcPr>
            <w:tcW w:w="2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provision (benefit)</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32"/>
        </w:trPr>
        <w:tc>
          <w:tcPr>
            <w:tcW w:w="27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740" w:type="dxa"/>
            <w:vAlign w:val="bottom"/>
            <w:tcBorders>
              <w:bottom w:val="single" w:sz="8" w:color="CCEEFF"/>
            </w:tcBorders>
            <w:gridSpan w:val="2"/>
          </w:tcPr>
          <w:p>
            <w:pPr>
              <w:ind w:left="20"/>
              <w:spacing w:after="0" w:line="121" w:lineRule="exact"/>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25"/>
        </w:trPr>
        <w:tc>
          <w:tcPr>
            <w:tcW w:w="282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Hedging relationships:</w:t>
            </w:r>
          </w:p>
        </w:tc>
        <w:tc>
          <w:tcPr>
            <w:tcW w:w="4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3"/>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Interest rate contracts:</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Interest income (loss)</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w:t>
            </w:r>
          </w:p>
        </w:tc>
      </w:tr>
      <w:tr>
        <w:trPr>
          <w:trHeight w:val="145"/>
        </w:trPr>
        <w:tc>
          <w:tcPr>
            <w:tcW w:w="2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Foreign exchange contracts:</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43"/>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45"/>
        </w:trPr>
        <w:tc>
          <w:tcPr>
            <w:tcW w:w="2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Non-interest income (loss)</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32"/>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1"/>
                <w:szCs w:val="11"/>
                <w:color w:val="auto"/>
              </w:rPr>
              <w:t>Income (loss) from continuing operations before income taxes</w:t>
            </w:r>
          </w:p>
        </w:tc>
        <w:tc>
          <w:tcPr>
            <w:tcW w:w="3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1,118</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w:t>
            </w:r>
          </w:p>
        </w:tc>
      </w:tr>
      <w:tr>
        <w:trPr>
          <w:trHeight w:val="145"/>
        </w:trPr>
        <w:tc>
          <w:tcPr>
            <w:tcW w:w="2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provision (benefit)</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r>
      <w:tr>
        <w:trPr>
          <w:trHeight w:val="132"/>
        </w:trPr>
        <w:tc>
          <w:tcPr>
            <w:tcW w:w="27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740" w:type="dxa"/>
            <w:vAlign w:val="bottom"/>
            <w:tcBorders>
              <w:bottom w:val="single" w:sz="8" w:color="CCEEFF"/>
            </w:tcBorders>
            <w:gridSpan w:val="2"/>
          </w:tcPr>
          <w:p>
            <w:pPr>
              <w:ind w:left="20"/>
              <w:spacing w:after="0" w:line="121" w:lineRule="exact"/>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848</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w:t>
            </w:r>
          </w:p>
        </w:tc>
      </w:tr>
      <w:tr>
        <w:trPr>
          <w:trHeight w:val="125"/>
        </w:trPr>
        <w:tc>
          <w:tcPr>
            <w:tcW w:w="282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Other:</w:t>
            </w:r>
          </w:p>
        </w:tc>
        <w:tc>
          <w:tcPr>
            <w:tcW w:w="4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3"/>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Non-interest income and non-interest expense</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45"/>
        </w:trPr>
        <w:tc>
          <w:tcPr>
            <w:tcW w:w="2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provision (benefit)</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32"/>
        </w:trPr>
        <w:tc>
          <w:tcPr>
            <w:tcW w:w="27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740" w:type="dxa"/>
            <w:vAlign w:val="bottom"/>
            <w:tcBorders>
              <w:bottom w:val="single" w:sz="8" w:color="CCEEFF"/>
            </w:tcBorders>
            <w:gridSpan w:val="2"/>
          </w:tcPr>
          <w:p>
            <w:pPr>
              <w:ind w:left="20"/>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0"/>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reclassifications</w:t>
            </w:r>
          </w:p>
        </w:tc>
        <w:tc>
          <w:tcPr>
            <w:tcW w:w="4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854</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w:t>
            </w:r>
          </w:p>
        </w:tc>
      </w:tr>
    </w:tbl>
    <w:p>
      <w:pPr>
        <w:spacing w:after="0" w:line="16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table below summarizes other comprehensive income (loss) activity and the related tax impact for the years ended December 31, 2022 and 2021 and 2020.</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10.4: Other Comprehensive Income (Loss)</w:t>
      </w:r>
    </w:p>
    <w:p>
      <w:pPr>
        <w:spacing w:after="0" w:line="21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7"/>
                <w:szCs w:val="7"/>
                <w:color w:val="auto"/>
              </w:rPr>
            </w:pPr>
          </w:p>
        </w:tc>
        <w:tc>
          <w:tcPr>
            <w:tcW w:w="780" w:type="dxa"/>
            <w:vAlign w:val="bottom"/>
            <w:gridSpan w:val="2"/>
          </w:tcPr>
          <w:p>
            <w:pPr>
              <w:jc w:val="center"/>
              <w:ind w:right="260"/>
              <w:spacing w:after="0" w:line="86" w:lineRule="exact"/>
              <w:rPr>
                <w:sz w:val="20"/>
                <w:szCs w:val="20"/>
                <w:color w:val="auto"/>
              </w:rPr>
            </w:pPr>
            <w:r>
              <w:rPr>
                <w:rFonts w:ascii="Times New Roman" w:cs="Times New Roman" w:eastAsia="Times New Roman" w:hAnsi="Times New Roman"/>
                <w:sz w:val="8"/>
                <w:szCs w:val="8"/>
                <w:b w:val="1"/>
                <w:bCs w:val="1"/>
                <w:color w:val="auto"/>
              </w:rPr>
              <w:t>Before</w:t>
            </w:r>
          </w:p>
        </w:tc>
        <w:tc>
          <w:tcPr>
            <w:tcW w:w="160" w:type="dxa"/>
            <w:vAlign w:val="bottom"/>
          </w:tcPr>
          <w:p>
            <w:pPr>
              <w:spacing w:after="0"/>
              <w:rPr>
                <w:sz w:val="7"/>
                <w:szCs w:val="7"/>
                <w:color w:val="auto"/>
              </w:rPr>
            </w:pPr>
          </w:p>
        </w:tc>
        <w:tc>
          <w:tcPr>
            <w:tcW w:w="800" w:type="dxa"/>
            <w:vAlign w:val="bottom"/>
            <w:gridSpan w:val="2"/>
          </w:tcPr>
          <w:p>
            <w:pPr>
              <w:jc w:val="center"/>
              <w:ind w:right="260"/>
              <w:spacing w:after="0" w:line="86" w:lineRule="exact"/>
              <w:rPr>
                <w:sz w:val="20"/>
                <w:szCs w:val="20"/>
                <w:color w:val="auto"/>
              </w:rPr>
            </w:pPr>
            <w:r>
              <w:rPr>
                <w:rFonts w:ascii="Times New Roman" w:cs="Times New Roman" w:eastAsia="Times New Roman" w:hAnsi="Times New Roman"/>
                <w:sz w:val="8"/>
                <w:szCs w:val="8"/>
                <w:b w:val="1"/>
                <w:bCs w:val="1"/>
                <w:color w:val="auto"/>
              </w:rPr>
              <w:t>Provision</w:t>
            </w:r>
          </w:p>
        </w:tc>
        <w:tc>
          <w:tcPr>
            <w:tcW w:w="180" w:type="dxa"/>
            <w:vAlign w:val="bottom"/>
          </w:tcPr>
          <w:p>
            <w:pPr>
              <w:spacing w:after="0"/>
              <w:rPr>
                <w:sz w:val="7"/>
                <w:szCs w:val="7"/>
                <w:color w:val="auto"/>
              </w:rPr>
            </w:pPr>
          </w:p>
        </w:tc>
        <w:tc>
          <w:tcPr>
            <w:tcW w:w="640" w:type="dxa"/>
            <w:vAlign w:val="bottom"/>
          </w:tcPr>
          <w:p>
            <w:pPr>
              <w:jc w:val="center"/>
              <w:ind w:right="129"/>
              <w:spacing w:after="0" w:line="86" w:lineRule="exact"/>
              <w:rPr>
                <w:sz w:val="20"/>
                <w:szCs w:val="20"/>
                <w:color w:val="auto"/>
              </w:rPr>
            </w:pPr>
            <w:r>
              <w:rPr>
                <w:rFonts w:ascii="Times New Roman" w:cs="Times New Roman" w:eastAsia="Times New Roman" w:hAnsi="Times New Roman"/>
                <w:sz w:val="8"/>
                <w:szCs w:val="8"/>
                <w:b w:val="1"/>
                <w:bCs w:val="1"/>
                <w:color w:val="auto"/>
              </w:rPr>
              <w:t>After</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2"/>
          </w:tcPr>
          <w:p>
            <w:pPr>
              <w:jc w:val="center"/>
              <w:ind w:right="240"/>
              <w:spacing w:after="0" w:line="86" w:lineRule="exact"/>
              <w:rPr>
                <w:sz w:val="20"/>
                <w:szCs w:val="20"/>
                <w:color w:val="auto"/>
              </w:rPr>
            </w:pPr>
            <w:r>
              <w:rPr>
                <w:rFonts w:ascii="Times New Roman" w:cs="Times New Roman" w:eastAsia="Times New Roman" w:hAnsi="Times New Roman"/>
                <w:sz w:val="8"/>
                <w:szCs w:val="8"/>
                <w:b w:val="1"/>
                <w:bCs w:val="1"/>
                <w:color w:val="auto"/>
              </w:rPr>
              <w:t>Before</w:t>
            </w:r>
          </w:p>
        </w:tc>
        <w:tc>
          <w:tcPr>
            <w:tcW w:w="160" w:type="dxa"/>
            <w:vAlign w:val="bottom"/>
          </w:tcPr>
          <w:p>
            <w:pPr>
              <w:spacing w:after="0"/>
              <w:rPr>
                <w:sz w:val="7"/>
                <w:szCs w:val="7"/>
                <w:color w:val="auto"/>
              </w:rPr>
            </w:pPr>
          </w:p>
        </w:tc>
        <w:tc>
          <w:tcPr>
            <w:tcW w:w="780" w:type="dxa"/>
            <w:vAlign w:val="bottom"/>
            <w:gridSpan w:val="2"/>
          </w:tcPr>
          <w:p>
            <w:pPr>
              <w:jc w:val="center"/>
              <w:ind w:right="240"/>
              <w:spacing w:after="0" w:line="86" w:lineRule="exact"/>
              <w:rPr>
                <w:sz w:val="20"/>
                <w:szCs w:val="20"/>
                <w:color w:val="auto"/>
              </w:rPr>
            </w:pPr>
            <w:r>
              <w:rPr>
                <w:rFonts w:ascii="Times New Roman" w:cs="Times New Roman" w:eastAsia="Times New Roman" w:hAnsi="Times New Roman"/>
                <w:sz w:val="8"/>
                <w:szCs w:val="8"/>
                <w:b w:val="1"/>
                <w:bCs w:val="1"/>
                <w:color w:val="auto"/>
              </w:rPr>
              <w:t>Provision</w:t>
            </w:r>
          </w:p>
        </w:tc>
        <w:tc>
          <w:tcPr>
            <w:tcW w:w="180" w:type="dxa"/>
            <w:vAlign w:val="bottom"/>
          </w:tcPr>
          <w:p>
            <w:pPr>
              <w:spacing w:after="0"/>
              <w:rPr>
                <w:sz w:val="7"/>
                <w:szCs w:val="7"/>
                <w:color w:val="auto"/>
              </w:rPr>
            </w:pPr>
          </w:p>
        </w:tc>
        <w:tc>
          <w:tcPr>
            <w:tcW w:w="600" w:type="dxa"/>
            <w:vAlign w:val="bottom"/>
          </w:tcPr>
          <w:p>
            <w:pPr>
              <w:jc w:val="center"/>
              <w:ind w:right="129"/>
              <w:spacing w:after="0" w:line="86" w:lineRule="exact"/>
              <w:rPr>
                <w:sz w:val="20"/>
                <w:szCs w:val="20"/>
                <w:color w:val="auto"/>
              </w:rPr>
            </w:pPr>
            <w:r>
              <w:rPr>
                <w:rFonts w:ascii="Times New Roman" w:cs="Times New Roman" w:eastAsia="Times New Roman" w:hAnsi="Times New Roman"/>
                <w:sz w:val="8"/>
                <w:szCs w:val="8"/>
                <w:b w:val="1"/>
                <w:bCs w:val="1"/>
                <w:color w:val="auto"/>
              </w:rPr>
              <w:t>After</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2"/>
          </w:tcPr>
          <w:p>
            <w:pPr>
              <w:jc w:val="center"/>
              <w:ind w:right="260"/>
              <w:spacing w:after="0" w:line="86" w:lineRule="exact"/>
              <w:rPr>
                <w:sz w:val="20"/>
                <w:szCs w:val="20"/>
                <w:color w:val="auto"/>
              </w:rPr>
            </w:pPr>
            <w:r>
              <w:rPr>
                <w:rFonts w:ascii="Times New Roman" w:cs="Times New Roman" w:eastAsia="Times New Roman" w:hAnsi="Times New Roman"/>
                <w:sz w:val="8"/>
                <w:szCs w:val="8"/>
                <w:b w:val="1"/>
                <w:bCs w:val="1"/>
                <w:color w:val="auto"/>
              </w:rPr>
              <w:t>Before</w:t>
            </w:r>
          </w:p>
        </w:tc>
        <w:tc>
          <w:tcPr>
            <w:tcW w:w="140" w:type="dxa"/>
            <w:vAlign w:val="bottom"/>
          </w:tcPr>
          <w:p>
            <w:pPr>
              <w:spacing w:after="0"/>
              <w:rPr>
                <w:sz w:val="7"/>
                <w:szCs w:val="7"/>
                <w:color w:val="auto"/>
              </w:rPr>
            </w:pPr>
          </w:p>
        </w:tc>
        <w:tc>
          <w:tcPr>
            <w:tcW w:w="800" w:type="dxa"/>
            <w:vAlign w:val="bottom"/>
            <w:gridSpan w:val="2"/>
          </w:tcPr>
          <w:p>
            <w:pPr>
              <w:jc w:val="center"/>
              <w:ind w:right="220"/>
              <w:spacing w:after="0" w:line="86" w:lineRule="exact"/>
              <w:rPr>
                <w:sz w:val="20"/>
                <w:szCs w:val="20"/>
                <w:color w:val="auto"/>
              </w:rPr>
            </w:pPr>
            <w:r>
              <w:rPr>
                <w:rFonts w:ascii="Times New Roman" w:cs="Times New Roman" w:eastAsia="Times New Roman" w:hAnsi="Times New Roman"/>
                <w:sz w:val="8"/>
                <w:szCs w:val="8"/>
                <w:b w:val="1"/>
                <w:bCs w:val="1"/>
                <w:color w:val="auto"/>
              </w:rPr>
              <w:t>Provision</w:t>
            </w:r>
          </w:p>
        </w:tc>
        <w:tc>
          <w:tcPr>
            <w:tcW w:w="180" w:type="dxa"/>
            <w:vAlign w:val="bottom"/>
          </w:tcPr>
          <w:p>
            <w:pPr>
              <w:spacing w:after="0"/>
              <w:rPr>
                <w:sz w:val="7"/>
                <w:szCs w:val="7"/>
                <w:color w:val="auto"/>
              </w:rPr>
            </w:pPr>
          </w:p>
        </w:tc>
        <w:tc>
          <w:tcPr>
            <w:tcW w:w="600" w:type="dxa"/>
            <w:vAlign w:val="bottom"/>
          </w:tcPr>
          <w:p>
            <w:pPr>
              <w:jc w:val="right"/>
              <w:ind w:right="229"/>
              <w:spacing w:after="0" w:line="86" w:lineRule="exact"/>
              <w:rPr>
                <w:sz w:val="20"/>
                <w:szCs w:val="20"/>
                <w:color w:val="auto"/>
              </w:rPr>
            </w:pPr>
            <w:r>
              <w:rPr>
                <w:rFonts w:ascii="Times New Roman" w:cs="Times New Roman" w:eastAsia="Times New Roman" w:hAnsi="Times New Roman"/>
                <w:sz w:val="8"/>
                <w:szCs w:val="8"/>
                <w:b w:val="1"/>
                <w:bCs w:val="1"/>
                <w:color w:val="auto"/>
              </w:rPr>
              <w:t>After</w:t>
            </w:r>
          </w:p>
        </w:tc>
        <w:tc>
          <w:tcPr>
            <w:tcW w:w="0" w:type="dxa"/>
            <w:vAlign w:val="bottom"/>
          </w:tcPr>
          <w:p>
            <w:pPr>
              <w:spacing w:after="0"/>
              <w:rPr>
                <w:sz w:val="1"/>
                <w:szCs w:val="1"/>
                <w:color w:val="auto"/>
              </w:rPr>
            </w:pPr>
          </w:p>
        </w:tc>
      </w:tr>
      <w:tr>
        <w:trPr>
          <w:trHeight w:val="129"/>
        </w:trPr>
        <w:tc>
          <w:tcPr>
            <w:tcW w:w="3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6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(Benefit)</w:t>
            </w:r>
          </w:p>
        </w:tc>
        <w:tc>
          <w:tcPr>
            <w:tcW w:w="180" w:type="dxa"/>
            <w:vAlign w:val="bottom"/>
          </w:tcPr>
          <w:p>
            <w:pPr>
              <w:spacing w:after="0"/>
              <w:rPr>
                <w:sz w:val="11"/>
                <w:szCs w:val="11"/>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83"/>
              </w:rPr>
              <w:t>Tax</w:t>
            </w:r>
          </w:p>
        </w:tc>
        <w:tc>
          <w:tcPr>
            <w:tcW w:w="160" w:type="dxa"/>
            <w:vAlign w:val="bottom"/>
          </w:tcPr>
          <w:p>
            <w:pPr>
              <w:spacing w:after="0"/>
              <w:rPr>
                <w:sz w:val="11"/>
                <w:szCs w:val="11"/>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83"/>
              </w:rPr>
              <w:t>Tax</w:t>
            </w:r>
          </w:p>
        </w:tc>
        <w:tc>
          <w:tcPr>
            <w:tcW w:w="160" w:type="dxa"/>
            <w:vAlign w:val="bottom"/>
          </w:tcPr>
          <w:p>
            <w:pPr>
              <w:spacing w:after="0"/>
              <w:rPr>
                <w:sz w:val="11"/>
                <w:szCs w:val="11"/>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1"/>
              </w:rPr>
              <w:t>(Benefit)</w:t>
            </w:r>
          </w:p>
        </w:tc>
        <w:tc>
          <w:tcPr>
            <w:tcW w:w="18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6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Tax</w:t>
            </w:r>
          </w:p>
        </w:tc>
        <w:tc>
          <w:tcPr>
            <w:tcW w:w="14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(Benefit)</w:t>
            </w:r>
          </w:p>
        </w:tc>
        <w:tc>
          <w:tcPr>
            <w:tcW w:w="180" w:type="dxa"/>
            <w:vAlign w:val="bottom"/>
          </w:tcPr>
          <w:p>
            <w:pPr>
              <w:spacing w:after="0"/>
              <w:rPr>
                <w:sz w:val="11"/>
                <w:szCs w:val="11"/>
                <w:color w:val="auto"/>
              </w:rPr>
            </w:pPr>
          </w:p>
        </w:tc>
        <w:tc>
          <w:tcPr>
            <w:tcW w:w="600" w:type="dxa"/>
            <w:vAlign w:val="bottom"/>
          </w:tcPr>
          <w:p>
            <w:pPr>
              <w:jc w:val="right"/>
              <w:ind w:right="269"/>
              <w:spacing w:after="0"/>
              <w:rPr>
                <w:sz w:val="20"/>
                <w:szCs w:val="20"/>
                <w:color w:val="auto"/>
              </w:rPr>
            </w:pPr>
            <w:r>
              <w:rPr>
                <w:rFonts w:ascii="Times New Roman" w:cs="Times New Roman" w:eastAsia="Times New Roman" w:hAnsi="Times New Roman"/>
                <w:sz w:val="10"/>
                <w:szCs w:val="10"/>
                <w:b w:val="1"/>
                <w:bCs w:val="1"/>
                <w:color w:val="auto"/>
              </w:rPr>
              <w:t>Tax</w:t>
            </w:r>
          </w:p>
        </w:tc>
        <w:tc>
          <w:tcPr>
            <w:tcW w:w="0" w:type="dxa"/>
            <w:vAlign w:val="bottom"/>
          </w:tcPr>
          <w:p>
            <w:pPr>
              <w:spacing w:after="0"/>
              <w:rPr>
                <w:sz w:val="1"/>
                <w:szCs w:val="1"/>
                <w:color w:val="auto"/>
              </w:rPr>
            </w:pPr>
          </w:p>
        </w:tc>
      </w:tr>
      <w:tr>
        <w:trPr>
          <w:trHeight w:val="137"/>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unrealized gains (losses) on securities available for sale</w:t>
            </w: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(10,516)</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(2,543)</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(7,973)</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(2,486)</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8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(1,889)</w:t>
            </w:r>
          </w:p>
        </w:tc>
        <w:tc>
          <w:tcPr>
            <w:tcW w:w="1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1,659</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400</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w:t>
            </w:r>
          </w:p>
        </w:tc>
        <w:tc>
          <w:tcPr>
            <w:tcW w:w="0" w:type="dxa"/>
            <w:vAlign w:val="bottom"/>
          </w:tcPr>
          <w:p>
            <w:pPr>
              <w:spacing w:after="0"/>
              <w:rPr>
                <w:sz w:val="1"/>
                <w:szCs w:val="1"/>
                <w:color w:val="auto"/>
              </w:rPr>
            </w:pPr>
          </w:p>
        </w:tc>
      </w:tr>
      <w:tr>
        <w:trPr>
          <w:trHeight w:val="145"/>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unrealized gains (losses) on hedging relationships</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(732)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1,008</w:t>
            </w:r>
          </w:p>
        </w:tc>
        <w:tc>
          <w:tcPr>
            <w:tcW w:w="0" w:type="dxa"/>
            <w:vAlign w:val="bottom"/>
          </w:tcPr>
          <w:p>
            <w:pPr>
              <w:spacing w:after="0"/>
              <w:rPr>
                <w:sz w:val="1"/>
                <w:szCs w:val="1"/>
                <w:color w:val="auto"/>
              </w:rPr>
            </w:pPr>
          </w:p>
        </w:tc>
      </w:tr>
      <w:tr>
        <w:trPr>
          <w:trHeight w:val="144"/>
        </w:trPr>
        <w:tc>
          <w:tcPr>
            <w:tcW w:w="320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Foreign currency translation adjustments</w:t>
            </w:r>
            <w:r>
              <w:rPr>
                <w:rFonts w:ascii="Times New Roman" w:cs="Times New Roman" w:eastAsia="Times New Roman" w:hAnsi="Times New Roman"/>
                <w:sz w:val="14"/>
                <w:szCs w:val="14"/>
                <w:color w:val="auto"/>
                <w:vertAlign w:val="superscript"/>
              </w:rPr>
              <w:t>(1)</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32"/>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(13,474)</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(3,184)</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(10,290)</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(4,105)</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(985)</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(3,120)</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3,048</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rPr>
              <w:t>702</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9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the impact of hedging instruments designated as net investment hedges.</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176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11—REGULATORY AND CAPITAL ADEQUACY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Regulation and Capital Adequacy</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and the Bank are subject to regulatory capital requirements established by the Board of Governors of the Federal Reserve System (“Federal Reserve”) and the Office of the Comptroller of the Currency (“OCC”), respectively (“Basel III Capital Rules”). The Basel III Capital Rules implement certain capital requirements published by the Basel Committee on Banking Supervision (“Basel Committee”), along with certain provisions of the Dodd-Frank Wall Street Reform and Consumer Production Act of 2010 (“Dodd-Frank Act”) and other capital provisions.</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a bank holding company (“BHC”) with total consolidated assets of at least $250 billion but less than $700 billion and not exceeding any of the applicable risk-based thresholds, the Company is a Category III institution under the Basel III Capital Rules.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Bank, as a subsidiary of a Category III institution, is a Category III bank. Moreover, the Bank, as an insured depository institution, is subject to prompt corrective action (“PCA”) capital regulations.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Under the Basel III Capital Rules, we must maintain a minimum common equity Tier 1 (“CET1”) capital ratio of 4.5%, a Tier 1 capital ratio of 6.0% and a total capital ratio of 8.0%, in each case in relation to risk-weighted assets. In addition, we must maintain a minimum leverage ratio of 4.0% and a minimum supplementary leverage ratio of 3.0%. We are also subject to the standardized approach capital conservation buffer requirement, which includes the stress capital buffer requirement, any global systematically important banks (“G-SIB”) surcharge (which is not applicable to us) and the countercyclical capital buffer requirement (which is currently set at 0%). Our stress capital buffer requirement for the period beginning on October 1, 2022 through September 30, 2023 is 3.1%. Our capital and leverage ratios are calculated based on the Basel III standardized approach framework.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elected to exclude certain elements of AOCI from our regulatory capital as permitted for a Category III institution.</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Federal Reserve, OCC, and the Federal Deposit Insurance Corporation (collectively, “Federal Banking Agencies”) adopted a final rule (“CECL Transition Rule”) that provides banking institutions an optional five-year transition period to phase in the impact of the CECL standard on their regulatory capital(the “CECL Transition Election”). We adopted the CECL standard (for accounting purposes) as of January 1, 2020, and made the CECL Transition Election (for regulatory capital purposes) in the first quarter of 2020. Therefore, the applicable amounts presented in this Report reflect such election.</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Pursuant to the CECL Transition Rule, a banking institution could elect to delay the estimated impact of adopting CECL on its regulatory capital through December 31, 2021 and then phase in the estimated cumulative impact from January 1, 2022 through December 31, 2024. For the “day 2” ongoing impact of CECL during the initial two years, the Federal Banking Agencies used a uniform “scaling factor” of 25% as an approximation of the increase in the allowance under the CECL standard compared to the prior incurred loss methodology. Accordingly, from January 1, 2020 through December 31, 2021, electing banking institutions were permitted to add back to their regulatory capital an amount equal to the sum of the after-tax “day 1” CECL adoption impact and 25% of the increase in the allowance since the adoption of the CECL standard. From January 1, 2022 through December 31, 2024, the after-tax “day 1” CECL adoption impact and the cumulative “day 2” ongoing impact are being phased in to regulatory capital at 25% per year. The following table summarizes the capital impact delay and phase in period on our regulatory capital from years 2020 to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center"/>
              <w:ind w:right="666"/>
              <w:spacing w:after="0"/>
              <w:rPr>
                <w:sz w:val="20"/>
                <w:szCs w:val="20"/>
                <w:color w:val="auto"/>
              </w:rPr>
            </w:pPr>
            <w:r>
              <w:rPr>
                <w:rFonts w:ascii="Times New Roman" w:cs="Times New Roman" w:eastAsia="Times New Roman" w:hAnsi="Times New Roman"/>
                <w:sz w:val="11"/>
                <w:szCs w:val="11"/>
                <w:b w:val="1"/>
                <w:bCs w:val="1"/>
                <w:color w:val="auto"/>
                <w:w w:val="98"/>
              </w:rPr>
              <w:t>Capital Impact Delayed</w:t>
            </w:r>
          </w:p>
        </w:tc>
        <w:tc>
          <w:tcPr>
            <w:tcW w:w="10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1"/>
                <w:szCs w:val="11"/>
                <w:b w:val="1"/>
                <w:bCs w:val="1"/>
                <w:color w:val="auto"/>
              </w:rPr>
              <w:t>Phase In Period</w:t>
            </w:r>
          </w:p>
        </w:tc>
        <w:tc>
          <w:tcPr>
            <w:tcW w:w="12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2020</w:t>
            </w:r>
          </w:p>
        </w:tc>
        <w:tc>
          <w:tcPr>
            <w:tcW w:w="18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12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12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12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12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93"/>
        </w:trPr>
        <w:tc>
          <w:tcPr>
            <w:tcW w:w="3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“Day 1” CECL adoption impact</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Capital impact delayed to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9"/>
              </w:rPr>
              <w:t>25% Phased In</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w w:val="96"/>
              </w:rPr>
              <w:t>50% Phased In</w:t>
            </w: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w w:val="96"/>
              </w:rPr>
              <w:t>75% Phased In</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Fully Phased In</w:t>
            </w:r>
          </w:p>
        </w:tc>
        <w:tc>
          <w:tcPr>
            <w:tcW w:w="0" w:type="dxa"/>
            <w:vAlign w:val="bottom"/>
          </w:tcPr>
          <w:p>
            <w:pPr>
              <w:spacing w:after="0"/>
              <w:rPr>
                <w:sz w:val="1"/>
                <w:szCs w:val="1"/>
                <w:color w:val="auto"/>
              </w:rPr>
            </w:pPr>
          </w:p>
        </w:tc>
      </w:tr>
      <w:tr>
        <w:trPr>
          <w:trHeight w:val="102"/>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Cumulative “day 2” ongoing impact</w:t>
            </w:r>
          </w:p>
        </w:tc>
        <w:tc>
          <w:tcPr>
            <w:tcW w:w="2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25% scaling factor as an approximation of the increase in</w:t>
            </w:r>
          </w:p>
        </w:tc>
        <w:tc>
          <w:tcPr>
            <w:tcW w:w="10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340" w:type="dxa"/>
            <w:vAlign w:val="bottom"/>
            <w:gridSpan w:val="2"/>
            <w:vMerge w:val="continue"/>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3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820" w:type="dxa"/>
            <w:vAlign w:val="bottom"/>
            <w:vMerge w:val="restart"/>
          </w:tcPr>
          <w:p>
            <w:pPr>
              <w:jc w:val="center"/>
              <w:ind w:right="666"/>
              <w:spacing w:after="0"/>
              <w:rPr>
                <w:sz w:val="20"/>
                <w:szCs w:val="20"/>
                <w:color w:val="auto"/>
              </w:rPr>
            </w:pPr>
            <w:r>
              <w:rPr>
                <w:rFonts w:ascii="Times New Roman" w:cs="Times New Roman" w:eastAsia="Times New Roman" w:hAnsi="Times New Roman"/>
                <w:sz w:val="11"/>
                <w:szCs w:val="11"/>
                <w:color w:val="auto"/>
                <w:w w:val="98"/>
              </w:rPr>
              <w:t>allowance under CECL</w:t>
            </w: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3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-433705</wp:posOffset>
            </wp:positionV>
            <wp:extent cx="5715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3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As of December 31, 2021, we added back an aggregate amount of $2.4 billion to our regulatory capital pursuant to the CECL Transition Rule. Consistent with the rule, we phased in 25% of this amount, or $599 million, on January 1, 2022, leaving</w:t>
      </w:r>
    </w:p>
    <w:p>
      <w:pPr>
        <w:spacing w:after="0" w:line="200" w:lineRule="exact"/>
        <w:rPr>
          <w:sz w:val="20"/>
          <w:szCs w:val="20"/>
          <w:color w:val="auto"/>
        </w:rPr>
      </w:pPr>
    </w:p>
    <w:p>
      <w:pPr>
        <w:spacing w:after="0" w:line="376"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177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720344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8" w:name="page179"/>
    <w:bookmarkEnd w:id="178"/>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$1.8 billion to be phased in over 2023-2025. As of December 31, 2022, the Company’s CET1 capital ratio, reflecting the CECL Transition Rule, was 12.5% and would have been 12.0% excluding the impact of the CECL Transition Rule (or “on a fully phased-in basis”).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additional information about the capital adequacy guidelines to which we are subject, see “Part I—Item 1. Business—Supervision and Regulation.”</w:t>
      </w:r>
    </w:p>
    <w:p>
      <w:pPr>
        <w:spacing w:after="0" w:line="11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following table provides a comparison of our regulatory capital amounts and ratios under the Basel III standardized approach subject to the applicable transition provisions, the regulatory minimum capital adequacy ratios and the applicable well-capitalized standard for each ratio as of December 31, 2022 and 2021.</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11.1: Capital Ratios Under Basel III</w:t>
      </w:r>
      <w:r>
        <w:rPr>
          <w:rFonts w:ascii="Times New Roman" w:cs="Times New Roman" w:eastAsia="Times New Roman" w:hAnsi="Times New Roman"/>
          <w:sz w:val="14"/>
          <w:szCs w:val="14"/>
          <w:b w:val="1"/>
          <w:bCs w:val="1"/>
          <w:color w:val="auto"/>
          <w:vertAlign w:val="superscript"/>
        </w:rPr>
        <w:t>(1)</w:t>
      </w:r>
    </w:p>
    <w:p>
      <w:pPr>
        <w:spacing w:after="0" w:line="5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100"/>
              <w:spacing w:after="0" w:line="89" w:lineRule="exact"/>
              <w:rPr>
                <w:sz w:val="20"/>
                <w:szCs w:val="20"/>
                <w:color w:val="auto"/>
              </w:rPr>
            </w:pPr>
            <w:r>
              <w:rPr>
                <w:rFonts w:ascii="Times New Roman" w:cs="Times New Roman" w:eastAsia="Times New Roman" w:hAnsi="Times New Roman"/>
                <w:sz w:val="10"/>
                <w:szCs w:val="10"/>
                <w:b w:val="1"/>
                <w:bCs w:val="1"/>
                <w:color w:val="auto"/>
                <w:w w:val="93"/>
              </w:rPr>
              <w:t>Minimum</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Well-</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20" w:type="dxa"/>
            <w:vAlign w:val="bottom"/>
            <w:gridSpan w:val="2"/>
          </w:tcPr>
          <w:p>
            <w:pPr>
              <w:jc w:val="center"/>
              <w:ind w:right="100"/>
              <w:spacing w:after="0" w:line="89" w:lineRule="exact"/>
              <w:rPr>
                <w:sz w:val="20"/>
                <w:szCs w:val="20"/>
                <w:color w:val="auto"/>
              </w:rPr>
            </w:pPr>
            <w:r>
              <w:rPr>
                <w:rFonts w:ascii="Times New Roman" w:cs="Times New Roman" w:eastAsia="Times New Roman" w:hAnsi="Times New Roman"/>
                <w:sz w:val="10"/>
                <w:szCs w:val="10"/>
                <w:b w:val="1"/>
                <w:bCs w:val="1"/>
                <w:color w:val="auto"/>
                <w:w w:val="93"/>
              </w:rPr>
              <w:t>Minimum</w:t>
            </w:r>
          </w:p>
        </w:tc>
        <w:tc>
          <w:tcPr>
            <w:tcW w:w="1040" w:type="dxa"/>
            <w:vAlign w:val="bottom"/>
            <w:vMerge w:val="restart"/>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Well-</w:t>
            </w:r>
          </w:p>
        </w:tc>
        <w:tc>
          <w:tcPr>
            <w:tcW w:w="0" w:type="dxa"/>
            <w:vAlign w:val="bottom"/>
          </w:tcPr>
          <w:p>
            <w:pPr>
              <w:spacing w:after="0"/>
              <w:rPr>
                <w:sz w:val="1"/>
                <w:szCs w:val="1"/>
                <w:color w:val="auto"/>
              </w:rPr>
            </w:pPr>
          </w:p>
        </w:tc>
      </w:tr>
      <w:tr>
        <w:trPr>
          <w:trHeight w:val="97"/>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80" w:type="dxa"/>
            <w:vAlign w:val="bottom"/>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Capital Amount</w:t>
            </w:r>
          </w:p>
        </w:tc>
        <w:tc>
          <w:tcPr>
            <w:tcW w:w="8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100"/>
              <w:spacing w:after="0" w:line="98"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Capital Amount</w:t>
            </w:r>
          </w:p>
        </w:tc>
        <w:tc>
          <w:tcPr>
            <w:tcW w:w="1000" w:type="dxa"/>
            <w:vAlign w:val="bottom"/>
            <w:gridSpan w:val="2"/>
            <w:vMerge w:val="continue"/>
          </w:tcPr>
          <w:p>
            <w:pPr>
              <w:spacing w:after="0"/>
              <w:rPr>
                <w:sz w:val="8"/>
                <w:szCs w:val="8"/>
                <w:color w:val="auto"/>
              </w:rPr>
            </w:pPr>
          </w:p>
        </w:tc>
        <w:tc>
          <w:tcPr>
            <w:tcW w:w="1020" w:type="dxa"/>
            <w:vAlign w:val="bottom"/>
            <w:gridSpan w:val="2"/>
          </w:tcPr>
          <w:p>
            <w:pPr>
              <w:jc w:val="center"/>
              <w:ind w:right="80"/>
              <w:spacing w:after="0" w:line="98"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rPr>
              <w:t>Ratio</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Adequacy</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Capitalized</w:t>
            </w: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Ratio</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Adequacy</w:t>
            </w:r>
          </w:p>
        </w:tc>
        <w:tc>
          <w:tcPr>
            <w:tcW w:w="1040" w:type="dxa"/>
            <w:vAlign w:val="bottom"/>
          </w:tcPr>
          <w:p>
            <w:pPr>
              <w:jc w:val="right"/>
              <w:ind w:right="227"/>
              <w:spacing w:after="0"/>
              <w:rPr>
                <w:sz w:val="20"/>
                <w:szCs w:val="20"/>
                <w:color w:val="auto"/>
              </w:rPr>
            </w:pPr>
            <w:r>
              <w:rPr>
                <w:rFonts w:ascii="Times New Roman" w:cs="Times New Roman" w:eastAsia="Times New Roman" w:hAnsi="Times New Roman"/>
                <w:sz w:val="10"/>
                <w:szCs w:val="10"/>
                <w:b w:val="1"/>
                <w:bCs w:val="1"/>
                <w:color w:val="auto"/>
              </w:rPr>
              <w:t>Capitalized</w:t>
            </w:r>
          </w:p>
        </w:tc>
        <w:tc>
          <w:tcPr>
            <w:tcW w:w="0" w:type="dxa"/>
            <w:vAlign w:val="bottom"/>
          </w:tcPr>
          <w:p>
            <w:pPr>
              <w:spacing w:after="0"/>
              <w:rPr>
                <w:sz w:val="1"/>
                <w:szCs w:val="1"/>
                <w:color w:val="auto"/>
              </w:rPr>
            </w:pPr>
          </w:p>
        </w:tc>
      </w:tr>
      <w:tr>
        <w:trPr>
          <w:trHeight w:val="137"/>
        </w:trPr>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Capital One Financial Corp:</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Common equity Tier 1 capital</w:t>
            </w:r>
            <w:r>
              <w:rPr>
                <w:rFonts w:ascii="Times New Roman" w:cs="Times New Roman" w:eastAsia="Times New Roman" w:hAnsi="Times New Roman"/>
                <w:sz w:val="14"/>
                <w:szCs w:val="14"/>
                <w:color w:val="auto"/>
                <w:vertAlign w:val="superscript"/>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44,731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12.5%</w:t>
            </w:r>
          </w:p>
        </w:tc>
        <w:tc>
          <w:tcPr>
            <w:tcW w:w="100" w:type="dxa"/>
            <w:vAlign w:val="bottom"/>
          </w:tcPr>
          <w:p>
            <w:pPr>
              <w:spacing w:after="0"/>
              <w:rPr>
                <w:sz w:val="12"/>
                <w:szCs w:val="12"/>
                <w:color w:val="auto"/>
              </w:rPr>
            </w:pPr>
          </w:p>
        </w:tc>
        <w:tc>
          <w:tcPr>
            <w:tcW w:w="92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4.5%</w:t>
            </w:r>
          </w:p>
        </w:tc>
        <w:tc>
          <w:tcPr>
            <w:tcW w:w="10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43,501</w:t>
            </w:r>
          </w:p>
        </w:tc>
        <w:tc>
          <w:tcPr>
            <w:tcW w:w="80" w:type="dxa"/>
            <w:vAlign w:val="bottom"/>
          </w:tcPr>
          <w:p>
            <w:pPr>
              <w:spacing w:after="0"/>
              <w:rPr>
                <w:sz w:val="12"/>
                <w:szCs w:val="12"/>
                <w:color w:val="auto"/>
              </w:rPr>
            </w:pP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13.1%</w:t>
            </w:r>
          </w:p>
        </w:tc>
        <w:tc>
          <w:tcPr>
            <w:tcW w:w="160" w:type="dxa"/>
            <w:vAlign w:val="bottom"/>
          </w:tcPr>
          <w:p>
            <w:pPr>
              <w:spacing w:after="0"/>
              <w:rPr>
                <w:sz w:val="12"/>
                <w:szCs w:val="12"/>
                <w:color w:val="auto"/>
              </w:rPr>
            </w:pPr>
          </w:p>
        </w:tc>
        <w:tc>
          <w:tcPr>
            <w:tcW w:w="9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2"/>
                <w:szCs w:val="12"/>
                <w:color w:val="auto"/>
              </w:rPr>
            </w:pP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4"/>
        </w:trPr>
        <w:tc>
          <w:tcPr>
            <w:tcW w:w="28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capital</w:t>
            </w:r>
            <w:r>
              <w:rPr>
                <w:rFonts w:ascii="Times New Roman" w:cs="Times New Roman" w:eastAsia="Times New Roman" w:hAnsi="Times New Roman"/>
                <w:sz w:val="14"/>
                <w:szCs w:val="14"/>
                <w:color w:val="auto"/>
                <w:vertAlign w:val="superscript"/>
              </w:rPr>
              <w:t>(3)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49,576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13.9</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6.0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48,346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14.5</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44"/>
        </w:trPr>
        <w:tc>
          <w:tcPr>
            <w:tcW w:w="28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Total capital</w:t>
            </w:r>
            <w:r>
              <w:rPr>
                <w:rFonts w:ascii="Times New Roman" w:cs="Times New Roman" w:eastAsia="Times New Roman" w:hAnsi="Times New Roman"/>
                <w:sz w:val="14"/>
                <w:szCs w:val="14"/>
                <w:color w:val="auto"/>
                <w:vertAlign w:val="superscript"/>
              </w:rPr>
              <w:t>(4)</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56,714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15.8</w:t>
            </w:r>
          </w:p>
        </w:tc>
        <w:tc>
          <w:tcPr>
            <w:tcW w:w="100" w:type="dxa"/>
            <w:vAlign w:val="bottom"/>
          </w:tcPr>
          <w:p>
            <w:pPr>
              <w:spacing w:after="0"/>
              <w:rPr>
                <w:sz w:val="12"/>
                <w:szCs w:val="12"/>
                <w:color w:val="auto"/>
              </w:rPr>
            </w:pPr>
          </w:p>
        </w:tc>
        <w:tc>
          <w:tcPr>
            <w:tcW w:w="92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8.0</w:t>
            </w:r>
          </w:p>
        </w:tc>
        <w:tc>
          <w:tcPr>
            <w:tcW w:w="100" w:type="dxa"/>
            <w:vAlign w:val="bottom"/>
          </w:tcPr>
          <w:p>
            <w:pPr>
              <w:spacing w:after="0"/>
              <w:rPr>
                <w:sz w:val="12"/>
                <w:szCs w:val="12"/>
                <w:color w:val="auto"/>
              </w:rPr>
            </w:pPr>
          </w:p>
        </w:tc>
        <w:tc>
          <w:tcPr>
            <w:tcW w:w="104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56,089</w:t>
            </w:r>
          </w:p>
        </w:tc>
        <w:tc>
          <w:tcPr>
            <w:tcW w:w="80" w:type="dxa"/>
            <w:vAlign w:val="bottom"/>
          </w:tcPr>
          <w:p>
            <w:pPr>
              <w:spacing w:after="0"/>
              <w:rPr>
                <w:sz w:val="12"/>
                <w:szCs w:val="12"/>
                <w:color w:val="auto"/>
              </w:rPr>
            </w:pP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16.9</w:t>
            </w:r>
          </w:p>
        </w:tc>
        <w:tc>
          <w:tcPr>
            <w:tcW w:w="160" w:type="dxa"/>
            <w:vAlign w:val="bottom"/>
          </w:tcPr>
          <w:p>
            <w:pPr>
              <w:spacing w:after="0"/>
              <w:rPr>
                <w:sz w:val="12"/>
                <w:szCs w:val="12"/>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2"/>
                <w:szCs w:val="12"/>
                <w:color w:val="auto"/>
              </w:rPr>
            </w:pPr>
          </w:p>
        </w:tc>
        <w:tc>
          <w:tcPr>
            <w:tcW w:w="104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4"/>
        </w:trPr>
        <w:tc>
          <w:tcPr>
            <w:tcW w:w="28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leverage</w:t>
            </w:r>
            <w:r>
              <w:rPr>
                <w:rFonts w:ascii="Times New Roman" w:cs="Times New Roman" w:eastAsia="Times New Roman" w:hAnsi="Times New Roman"/>
                <w:sz w:val="14"/>
                <w:szCs w:val="14"/>
                <w:color w:val="auto"/>
                <w:vertAlign w:val="superscript"/>
              </w:rPr>
              <w:t>(5)</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49,576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11.1</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4.0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N/A</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48,346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11.6</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4"/>
        </w:trPr>
        <w:tc>
          <w:tcPr>
            <w:tcW w:w="28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Supplementary leverage</w:t>
            </w:r>
            <w:r>
              <w:rPr>
                <w:rFonts w:ascii="Times New Roman" w:cs="Times New Roman" w:eastAsia="Times New Roman" w:hAnsi="Times New Roman"/>
                <w:sz w:val="14"/>
                <w:szCs w:val="14"/>
                <w:color w:val="auto"/>
                <w:vertAlign w:val="superscript"/>
              </w:rPr>
              <w:t>(6)</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49,576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9.5</w:t>
            </w:r>
          </w:p>
        </w:tc>
        <w:tc>
          <w:tcPr>
            <w:tcW w:w="100" w:type="dxa"/>
            <w:vAlign w:val="bottom"/>
          </w:tcPr>
          <w:p>
            <w:pPr>
              <w:spacing w:after="0"/>
              <w:rPr>
                <w:sz w:val="12"/>
                <w:szCs w:val="12"/>
                <w:color w:val="auto"/>
              </w:rPr>
            </w:pPr>
          </w:p>
        </w:tc>
        <w:tc>
          <w:tcPr>
            <w:tcW w:w="92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3.0</w:t>
            </w:r>
          </w:p>
        </w:tc>
        <w:tc>
          <w:tcPr>
            <w:tcW w:w="10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N/A</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48,346</w:t>
            </w:r>
          </w:p>
        </w:tc>
        <w:tc>
          <w:tcPr>
            <w:tcW w:w="80" w:type="dxa"/>
            <w:vAlign w:val="bottom"/>
          </w:tcPr>
          <w:p>
            <w:pPr>
              <w:spacing w:after="0"/>
              <w:rPr>
                <w:sz w:val="12"/>
                <w:szCs w:val="12"/>
                <w:color w:val="auto"/>
              </w:rPr>
            </w:pP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9.9</w:t>
            </w:r>
          </w:p>
        </w:tc>
        <w:tc>
          <w:tcPr>
            <w:tcW w:w="160" w:type="dxa"/>
            <w:vAlign w:val="bottom"/>
          </w:tcPr>
          <w:p>
            <w:pPr>
              <w:spacing w:after="0"/>
              <w:rPr>
                <w:sz w:val="12"/>
                <w:szCs w:val="12"/>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2"/>
                <w:szCs w:val="12"/>
                <w:color w:val="auto"/>
              </w:rPr>
            </w:pP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44"/>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CONA:</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Common equity Tier 1 capital</w:t>
            </w:r>
            <w:r>
              <w:rPr>
                <w:rFonts w:ascii="Times New Roman" w:cs="Times New Roman" w:eastAsia="Times New Roman" w:hAnsi="Times New Roman"/>
                <w:sz w:val="14"/>
                <w:szCs w:val="14"/>
                <w:color w:val="auto"/>
                <w:vertAlign w:val="superscript"/>
              </w:rPr>
              <w:t>(2)</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46,630</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13.1</w:t>
            </w:r>
          </w:p>
        </w:tc>
        <w:tc>
          <w:tcPr>
            <w:tcW w:w="100" w:type="dxa"/>
            <w:vAlign w:val="bottom"/>
          </w:tcPr>
          <w:p>
            <w:pPr>
              <w:spacing w:after="0"/>
              <w:rPr>
                <w:sz w:val="12"/>
                <w:szCs w:val="12"/>
                <w:color w:val="auto"/>
              </w:rPr>
            </w:pPr>
          </w:p>
        </w:tc>
        <w:tc>
          <w:tcPr>
            <w:tcW w:w="92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4.5</w:t>
            </w:r>
          </w:p>
        </w:tc>
        <w:tc>
          <w:tcPr>
            <w:tcW w:w="100" w:type="dxa"/>
            <w:vAlign w:val="bottom"/>
          </w:tcPr>
          <w:p>
            <w:pPr>
              <w:spacing w:after="0"/>
              <w:rPr>
                <w:sz w:val="12"/>
                <w:szCs w:val="12"/>
                <w:color w:val="auto"/>
              </w:rPr>
            </w:pPr>
          </w:p>
        </w:tc>
        <w:tc>
          <w:tcPr>
            <w:tcW w:w="104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26,699</w:t>
            </w:r>
          </w:p>
        </w:tc>
        <w:tc>
          <w:tcPr>
            <w:tcW w:w="80" w:type="dxa"/>
            <w:vAlign w:val="bottom"/>
          </w:tcPr>
          <w:p>
            <w:pPr>
              <w:spacing w:after="0"/>
              <w:rPr>
                <w:sz w:val="12"/>
                <w:szCs w:val="12"/>
                <w:color w:val="auto"/>
              </w:rPr>
            </w:pP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11.1</w:t>
            </w:r>
          </w:p>
        </w:tc>
        <w:tc>
          <w:tcPr>
            <w:tcW w:w="160" w:type="dxa"/>
            <w:vAlign w:val="bottom"/>
          </w:tcPr>
          <w:p>
            <w:pPr>
              <w:spacing w:after="0"/>
              <w:rPr>
                <w:sz w:val="12"/>
                <w:szCs w:val="12"/>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2"/>
                <w:szCs w:val="12"/>
                <w:color w:val="auto"/>
              </w:rPr>
            </w:pPr>
          </w:p>
        </w:tc>
        <w:tc>
          <w:tcPr>
            <w:tcW w:w="104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44"/>
        </w:trPr>
        <w:tc>
          <w:tcPr>
            <w:tcW w:w="28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capital</w:t>
            </w:r>
            <w:r>
              <w:rPr>
                <w:rFonts w:ascii="Times New Roman" w:cs="Times New Roman" w:eastAsia="Times New Roman" w:hAnsi="Times New Roman"/>
                <w:sz w:val="14"/>
                <w:szCs w:val="14"/>
                <w:color w:val="auto"/>
                <w:vertAlign w:val="superscript"/>
              </w:rPr>
              <w:t>(3)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46,630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13.1</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6.0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26,699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11.1</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rPr>
              <w:t>8.0</w:t>
            </w:r>
          </w:p>
        </w:tc>
        <w:tc>
          <w:tcPr>
            <w:tcW w:w="0" w:type="dxa"/>
            <w:vAlign w:val="bottom"/>
          </w:tcPr>
          <w:p>
            <w:pPr>
              <w:spacing w:after="0"/>
              <w:rPr>
                <w:sz w:val="1"/>
                <w:szCs w:val="1"/>
                <w:color w:val="auto"/>
              </w:rPr>
            </w:pPr>
          </w:p>
        </w:tc>
      </w:tr>
      <w:tr>
        <w:trPr>
          <w:trHeight w:val="144"/>
        </w:trPr>
        <w:tc>
          <w:tcPr>
            <w:tcW w:w="28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Total capital</w:t>
            </w:r>
            <w:r>
              <w:rPr>
                <w:rFonts w:ascii="Times New Roman" w:cs="Times New Roman" w:eastAsia="Times New Roman" w:hAnsi="Times New Roman"/>
                <w:sz w:val="14"/>
                <w:szCs w:val="14"/>
                <w:color w:val="auto"/>
                <w:vertAlign w:val="superscript"/>
              </w:rPr>
              <w:t>(4)</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51,165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14.4</w:t>
            </w:r>
          </w:p>
        </w:tc>
        <w:tc>
          <w:tcPr>
            <w:tcW w:w="100" w:type="dxa"/>
            <w:vAlign w:val="bottom"/>
          </w:tcPr>
          <w:p>
            <w:pPr>
              <w:spacing w:after="0"/>
              <w:rPr>
                <w:sz w:val="12"/>
                <w:szCs w:val="12"/>
                <w:color w:val="auto"/>
              </w:rPr>
            </w:pPr>
          </w:p>
        </w:tc>
        <w:tc>
          <w:tcPr>
            <w:tcW w:w="92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8.0</w:t>
            </w:r>
          </w:p>
        </w:tc>
        <w:tc>
          <w:tcPr>
            <w:tcW w:w="100" w:type="dxa"/>
            <w:vAlign w:val="bottom"/>
          </w:tcPr>
          <w:p>
            <w:pPr>
              <w:spacing w:after="0"/>
              <w:rPr>
                <w:sz w:val="12"/>
                <w:szCs w:val="12"/>
                <w:color w:val="auto"/>
              </w:rPr>
            </w:pPr>
          </w:p>
        </w:tc>
        <w:tc>
          <w:tcPr>
            <w:tcW w:w="104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10.0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29,449</w:t>
            </w:r>
          </w:p>
        </w:tc>
        <w:tc>
          <w:tcPr>
            <w:tcW w:w="80" w:type="dxa"/>
            <w:vAlign w:val="bottom"/>
          </w:tcPr>
          <w:p>
            <w:pPr>
              <w:spacing w:after="0"/>
              <w:rPr>
                <w:sz w:val="12"/>
                <w:szCs w:val="12"/>
                <w:color w:val="auto"/>
              </w:rPr>
            </w:pP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12.2</w:t>
            </w:r>
          </w:p>
        </w:tc>
        <w:tc>
          <w:tcPr>
            <w:tcW w:w="160" w:type="dxa"/>
            <w:vAlign w:val="bottom"/>
          </w:tcPr>
          <w:p>
            <w:pPr>
              <w:spacing w:after="0"/>
              <w:rPr>
                <w:sz w:val="12"/>
                <w:szCs w:val="12"/>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2"/>
                <w:szCs w:val="12"/>
                <w:color w:val="auto"/>
              </w:rPr>
            </w:pPr>
          </w:p>
        </w:tc>
        <w:tc>
          <w:tcPr>
            <w:tcW w:w="104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4"/>
        </w:trPr>
        <w:tc>
          <w:tcPr>
            <w:tcW w:w="284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Tier 1 leverage</w:t>
            </w:r>
            <w:r>
              <w:rPr>
                <w:rFonts w:ascii="Times New Roman" w:cs="Times New Roman" w:eastAsia="Times New Roman" w:hAnsi="Times New Roman"/>
                <w:sz w:val="14"/>
                <w:szCs w:val="14"/>
                <w:color w:val="auto"/>
                <w:vertAlign w:val="superscript"/>
              </w:rPr>
              <w:t>(5)</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46,630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10.5</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4.0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26,699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7.4</w:t>
            </w: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86"/>
        </w:trPr>
        <w:tc>
          <w:tcPr>
            <w:tcW w:w="2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Supplementary leverage</w:t>
            </w:r>
            <w:r>
              <w:rPr>
                <w:rFonts w:ascii="Times New Roman" w:cs="Times New Roman" w:eastAsia="Times New Roman" w:hAnsi="Times New Roman"/>
                <w:sz w:val="14"/>
                <w:szCs w:val="14"/>
                <w:color w:val="auto"/>
                <w:vertAlign w:val="superscript"/>
              </w:rPr>
              <w:t>(6)</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46,630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9.0</w:t>
            </w:r>
          </w:p>
        </w:tc>
        <w:tc>
          <w:tcPr>
            <w:tcW w:w="100" w:type="dxa"/>
            <w:vAlign w:val="bottom"/>
          </w:tcPr>
          <w:p>
            <w:pPr>
              <w:spacing w:after="0"/>
              <w:rPr>
                <w:sz w:val="16"/>
                <w:szCs w:val="16"/>
                <w:color w:val="auto"/>
              </w:rPr>
            </w:pPr>
          </w:p>
        </w:tc>
        <w:tc>
          <w:tcPr>
            <w:tcW w:w="92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3.0</w:t>
            </w:r>
          </w:p>
        </w:tc>
        <w:tc>
          <w:tcPr>
            <w:tcW w:w="1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N/A</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26,699</w:t>
            </w:r>
          </w:p>
        </w:tc>
        <w:tc>
          <w:tcPr>
            <w:tcW w:w="80" w:type="dxa"/>
            <w:vAlign w:val="bottom"/>
          </w:tcPr>
          <w:p>
            <w:pPr>
              <w:spacing w:after="0"/>
              <w:rPr>
                <w:sz w:val="16"/>
                <w:szCs w:val="16"/>
                <w:color w:val="auto"/>
              </w:rPr>
            </w:pP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6.6</w:t>
            </w:r>
          </w:p>
        </w:tc>
        <w:tc>
          <w:tcPr>
            <w:tcW w:w="160" w:type="dxa"/>
            <w:vAlign w:val="bottom"/>
          </w:tcPr>
          <w:p>
            <w:pPr>
              <w:spacing w:after="0"/>
              <w:rPr>
                <w:sz w:val="16"/>
                <w:szCs w:val="16"/>
                <w:color w:val="auto"/>
              </w:rPr>
            </w:pPr>
          </w:p>
        </w:tc>
        <w:tc>
          <w:tcPr>
            <w:tcW w:w="9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6"/>
                <w:szCs w:val="16"/>
                <w:color w:val="auto"/>
              </w:rPr>
            </w:pPr>
          </w:p>
        </w:tc>
        <w:tc>
          <w:tcPr>
            <w:tcW w:w="104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9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Capital requirements that are not applicable are denoted by “N/A.”</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9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Common equity Tier 1 capital ratio is a regulatory capital measure calculated based on common equity Tier 1 capital divided by risk-weighted assets.</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36" w:lineRule="auto"/>
        <w:tabs>
          <w:tab w:leader="none" w:pos="208" w:val="left"/>
        </w:tabs>
        <w:numPr>
          <w:ilvl w:val="0"/>
          <w:numId w:val="9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Tier 1 capital ratio is a regulatory capital measure calculated based on Tier 1 capital divided by risk-weighted assets.</w:t>
      </w:r>
    </w:p>
    <w:p>
      <w:pPr>
        <w:spacing w:after="0" w:line="15"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9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Total capital ratio is a regulatory capital measure calculated based on total capital divided by risk-weighted assets.</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9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Tier 1 leverage ratio is a regulatory capital measure calculated based on Tier 1 capital divided by adjusted average assets.</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9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Supplementary leverage ratio is a regulatory capital measure calculated based on Tier 1 capital divided by total leverage exposure.</w:t>
      </w:r>
    </w:p>
    <w:p>
      <w:pPr>
        <w:spacing w:after="0" w:line="13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October 1, 2022, COBNA merged with and into CONA, with CONA as the surviving entity. The capital ratios of COBNA immediately prior to the Bank Merger were higher than those of CONA, therefore increasing the capital ratios of CONA immediately after the Bank Merger and as of December 31, 2022. We exceeded the minimum capital requirements and the Bank exceeded the minimum regulatory requirements and was well-capitalized under PCA requirements as of both December 31, 2022 and 2021.</w:t>
      </w:r>
    </w:p>
    <w:p>
      <w:pPr>
        <w:spacing w:after="0" w:line="8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Regulatory restrictions exist that limit the ability of CONA to transfer funds to our BHC. As of December 31, 2022, funds available for dividend payments from the Bank were $3.2 billion. Applicable provisions that may be contained in our borrowing agreements or the borrowing agreements of our subsidiaries may limit our subsidiaries’ ability to pay dividends to us or our ability to pay dividends to our stockholders. There can be no assurance that we will declare and pay any dividends to stockholders.</w:t>
      </w:r>
    </w:p>
    <w:p>
      <w:pPr>
        <w:spacing w:after="0" w:line="200" w:lineRule="exact"/>
        <w:rPr>
          <w:sz w:val="20"/>
          <w:szCs w:val="20"/>
          <w:color w:val="auto"/>
        </w:rPr>
      </w:pPr>
    </w:p>
    <w:p>
      <w:pPr>
        <w:spacing w:after="0" w:line="383"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178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79" w:name="page180"/>
    <w:bookmarkEnd w:id="17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178040" cy="1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12—EARNINGS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78040" cy="114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computation of basic and diluted earnings per common share for the years ended December 31, 2022, 2021 and 2020. Dividends and undistributed earnings allocated to participating securities represent the application of the “two-class” method as described in “Note 1—Summary of Significant Accounting Policies.”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12.1: Computation of Basic and Diluted Earnings per Common Share</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7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30"/>
        </w:trPr>
        <w:tc>
          <w:tcPr>
            <w:tcW w:w="78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and shares in millions, except per share data)</w:t>
            </w:r>
          </w:p>
        </w:tc>
        <w:tc>
          <w:tcPr>
            <w:tcW w:w="260" w:type="dxa"/>
            <w:vAlign w:val="bottom"/>
          </w:tcPr>
          <w:p>
            <w:pPr>
              <w:spacing w:after="0"/>
              <w:rPr>
                <w:sz w:val="11"/>
                <w:szCs w:val="11"/>
                <w:color w:val="auto"/>
              </w:rPr>
            </w:pPr>
          </w:p>
        </w:tc>
        <w:tc>
          <w:tcPr>
            <w:tcW w:w="860" w:type="dxa"/>
            <w:vAlign w:val="bottom"/>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386"/>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66"/>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38"/>
        </w:trPr>
        <w:tc>
          <w:tcPr>
            <w:tcW w:w="7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from continuing operations, net of tax</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7,360</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12,394</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2,717</w:t>
            </w:r>
          </w:p>
        </w:tc>
      </w:tr>
      <w:tr>
        <w:trPr>
          <w:trHeight w:val="143"/>
        </w:trPr>
        <w:tc>
          <w:tcPr>
            <w:tcW w:w="7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(loss) from discontinued operations, net of tax</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34"/>
        </w:trPr>
        <w:tc>
          <w:tcPr>
            <w:tcW w:w="788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7,360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12,390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2,714</w:t>
            </w:r>
          </w:p>
        </w:tc>
      </w:tr>
      <w:tr>
        <w:trPr>
          <w:trHeight w:val="143"/>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Dividends and undistributed earnings allocated to participating securities</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45"/>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Preferred stock dividends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r>
      <w:tr>
        <w:trPr>
          <w:trHeight w:val="143"/>
        </w:trPr>
        <w:tc>
          <w:tcPr>
            <w:tcW w:w="7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Issuance cost for redeemed preferred stock</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50"/>
        </w:trPr>
        <w:tc>
          <w:tcPr>
            <w:tcW w:w="7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available to common stockholders</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7,044</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11,965</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2,375</w:t>
            </w:r>
          </w:p>
        </w:tc>
      </w:tr>
      <w:tr>
        <w:trPr>
          <w:trHeight w:val="126"/>
        </w:trPr>
        <w:tc>
          <w:tcPr>
            <w:tcW w:w="7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4"/>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weighted-average basic common shares outstanding</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391.8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457.8</w:t>
            </w:r>
          </w:p>
        </w:tc>
      </w:tr>
      <w:tr>
        <w:trPr>
          <w:trHeight w:val="144"/>
        </w:trPr>
        <w:tc>
          <w:tcPr>
            <w:tcW w:w="788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Effect of dilutive securities:</w:t>
            </w:r>
            <w:r>
              <w:rPr>
                <w:rFonts w:ascii="Times New Roman" w:cs="Times New Roman" w:eastAsia="Times New Roman" w:hAnsi="Times New Roman"/>
                <w:sz w:val="14"/>
                <w:szCs w:val="14"/>
                <w:color w:val="auto"/>
                <w:vertAlign w:val="superscript"/>
              </w:rPr>
              <w:t>(1)</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7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options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43"/>
        </w:trPr>
        <w:tc>
          <w:tcPr>
            <w:tcW w:w="78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Other contingently issuable shares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34"/>
        </w:trPr>
        <w:tc>
          <w:tcPr>
            <w:tcW w:w="788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effect of dilutive securities</w:t>
            </w: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1.4</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49"/>
        </w:trPr>
        <w:tc>
          <w:tcPr>
            <w:tcW w:w="7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weighted-average diluted common shares outstanding</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393.2</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444.2</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458.9</w:t>
            </w:r>
          </w:p>
        </w:tc>
      </w:tr>
      <w:tr>
        <w:trPr>
          <w:trHeight w:val="126"/>
        </w:trPr>
        <w:tc>
          <w:tcPr>
            <w:tcW w:w="78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Basic earnings per common share:</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43"/>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from continuing operations</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17.98</w:t>
            </w:r>
          </w:p>
        </w:tc>
        <w:tc>
          <w:tcPr>
            <w:tcW w:w="3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27.05</w:t>
            </w:r>
          </w:p>
        </w:tc>
        <w:tc>
          <w:tcPr>
            <w:tcW w:w="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w:t>
            </w:r>
          </w:p>
        </w:tc>
      </w:tr>
      <w:tr>
        <w:trPr>
          <w:trHeight w:val="145"/>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from discontinued operations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49"/>
        </w:trPr>
        <w:tc>
          <w:tcPr>
            <w:tcW w:w="7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Net income per basic common share</w:t>
            </w: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17.98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27.04</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w:t>
            </w:r>
          </w:p>
        </w:tc>
      </w:tr>
      <w:tr>
        <w:trPr>
          <w:trHeight w:val="126"/>
        </w:trPr>
        <w:tc>
          <w:tcPr>
            <w:tcW w:w="7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1"/>
                <w:szCs w:val="11"/>
                <w:b w:val="1"/>
                <w:bCs w:val="1"/>
                <w:color w:val="auto"/>
              </w:rPr>
              <w:t>Diluted earnings per common share:</w:t>
            </w:r>
            <w:r>
              <w:rPr>
                <w:rFonts w:ascii="Times New Roman" w:cs="Times New Roman" w:eastAsia="Times New Roman" w:hAnsi="Times New Roman"/>
                <w:sz w:val="14"/>
                <w:szCs w:val="14"/>
                <w:b w:val="1"/>
                <w:bCs w:val="1"/>
                <w:color w:val="auto"/>
                <w:vertAlign w:val="superscript"/>
              </w:rPr>
              <w:t>(1)</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43"/>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from continuing operations</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17.91</w:t>
            </w:r>
          </w:p>
        </w:tc>
        <w:tc>
          <w:tcPr>
            <w:tcW w:w="3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26.95</w:t>
            </w:r>
          </w:p>
        </w:tc>
        <w:tc>
          <w:tcPr>
            <w:tcW w:w="8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w:t>
            </w:r>
          </w:p>
        </w:tc>
      </w:tr>
      <w:tr>
        <w:trPr>
          <w:trHeight w:val="145"/>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from discontinued operations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32"/>
        </w:trPr>
        <w:tc>
          <w:tcPr>
            <w:tcW w:w="7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per diluted common share</w:t>
            </w: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17.91</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26.94</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5.18</w:t>
            </w:r>
          </w:p>
        </w:tc>
      </w:tr>
      <w:tr>
        <w:trPr>
          <w:trHeight w:val="20"/>
        </w:trPr>
        <w:tc>
          <w:tcPr>
            <w:tcW w:w="7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65" w:lineRule="exact"/>
        <w:rPr>
          <w:sz w:val="20"/>
          <w:szCs w:val="20"/>
          <w:color w:val="auto"/>
        </w:rPr>
      </w:pPr>
    </w:p>
    <w:p>
      <w:pPr>
        <w:ind w:left="208" w:hanging="208"/>
        <w:spacing w:after="0" w:line="228" w:lineRule="auto"/>
        <w:tabs>
          <w:tab w:leader="none" w:pos="200" w:val="left"/>
        </w:tabs>
        <w:numPr>
          <w:ilvl w:val="0"/>
          <w:numId w:val="9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Excluded from the computation of diluted earnings per share were awards of 24 thousand shares and awards of 26 thousand shares for the years ended December 31, 2022 and 2021, respectively, awards of 6 thousand shares and options of 523 thousand with an exercise price ranging from $63.73 to $86.34 for the year ended December 31, 2020, because their inclusion would be anti-dilutive. There were no anti-dilutive stock options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179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13—STOCK-BASED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Plans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have one active stock-based compensation plan available for the issuance of shares to employees and directors. As of December 31, 2022, under the Amended and Restated 2004 Stock Incentive plan (“2004 Plan”), we are authorized to issue 67 million common shares in various forms, primarily share-settled RSUs, performance share units (“PSUs”), and non-qualified stock options. Of this amount, approximately 13 million shares remain available for future issuance as of December 31, 2022. The 2004 Plan permits the use of newly issued shares or treasury shares upon the settlement of options and stock-based incentive awards, and we generally settle by issuing new shares.</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also issue cash-settled restricted stock units. These cash-settled units are not counted against the common shares authorized for issuance or available for issuance under the 2004 Plan. Cash-settled units vesting during 2022, 2021 and 2020 resulted in cash payments to associates of $8 million, $7 million and $12 million, respectively. There was no unrecognized compensation cost for unvested cash-settled units as of December 31, 2022.</w:t>
      </w:r>
    </w:p>
    <w:p>
      <w:pPr>
        <w:spacing w:after="0" w:line="7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Total stock-based compensation expense recognized during 2022, 2021 and 2020 was $314 million, $331 million and $203 million, respectively. The total income tax benefit for stock-based compensation recognized during 2022, 2021 and 2020 was $75 million, $62 million and $43 million, respectively.</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we maintain an Associate Stock Purchase Plan (“Purchase Plan”), which is a compensatory plan under the accounting guidance for stock-based compensation. Related to the Purchase Plan, we recognized compensation expense of $36 million, $33 million and $30 million for 2022, 2021 and 2020, respectively. We also maintain a Dividend Reinvestment and Stock Purchase Plan, which allows participating stockholders to purchase additional shares of our common stock through automatic reinvestment of dividends or optional cash investments.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Units and Performance Share Units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RSUs represent share-settled awards that do not contain performance conditions and are granted to certain employees at no cost to the recipient. RSUs generally vest over three years from the date of grant; however, some RSUs cliff vest on or shortly after the first or third anniversary of the grant date. RSUs are subject to forfeiture until certain restrictions have lapsed, including continued employment for a specified period of time.</w:t>
      </w:r>
    </w:p>
    <w:p>
      <w:pPr>
        <w:spacing w:after="0" w:line="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PSUs represent share-settled awards that contain performance conditions and are granted to certain employees at no cost to the recipient. PSUs generally vest over three years from the date of grant; however, some PSUs cliff vest on or shortly after the third anniversary of the grant date. The number of PSUs that step vest over three years can be reduced by 50% or 100% depending on whether specific performance goals are met during the vesting period. The number of three-year cliff vesting PSUs that will ultimately vest is contingent upon meeting specific performance goals over a three-year period. These PSUs also include an opportunity to receive from 0% to 150% of the target number of common shares.</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recipient of an RSU or PSU is entitled to receive a share of common stock after the applicable restrictions lapse and is generally entitled to receive cash payments or additional shares of common stock equivalent to any dividends paid on the underlying common stock during the period the RSU or PSU is outstanding, but is not entitled to voting rights. Generally, the value of RSUs and PSUs will equal the fair value of our common stock on the date of grant and the expense is recognized over the vesting period. Certain PSUs have discretionary vesting conditions and are remeasured at fair value each reporting period.</w:t>
      </w:r>
    </w:p>
    <w:p>
      <w:pPr>
        <w:spacing w:after="0" w:line="200" w:lineRule="exact"/>
        <w:rPr>
          <w:sz w:val="20"/>
          <w:szCs w:val="20"/>
          <w:color w:val="auto"/>
        </w:rPr>
      </w:pPr>
    </w:p>
    <w:p>
      <w:pPr>
        <w:spacing w:after="0" w:line="37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180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1" w:name="page182"/>
    <w:bookmarkEnd w:id="181"/>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a summary of 2022 activity for RSUs and PSUs.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13.1: Summary of Restricted Stock Units and Performance Share Units</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w w:val="94"/>
              </w:rPr>
              <w:t>Restricted Stock Units</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589"/>
              <w:spacing w:after="0"/>
              <w:rPr>
                <w:sz w:val="20"/>
                <w:szCs w:val="20"/>
                <w:color w:val="auto"/>
              </w:rPr>
            </w:pPr>
            <w:r>
              <w:rPr>
                <w:rFonts w:ascii="Times New Roman" w:cs="Times New Roman" w:eastAsia="Times New Roman" w:hAnsi="Times New Roman"/>
                <w:sz w:val="10"/>
                <w:szCs w:val="10"/>
                <w:b w:val="1"/>
                <w:bCs w:val="1"/>
                <w:color w:val="auto"/>
              </w:rPr>
              <w:t>Performance Share Units</w:t>
            </w:r>
            <w:r>
              <w:rPr>
                <w:rFonts w:ascii="Times New Roman" w:cs="Times New Roman" w:eastAsia="Times New Roman" w:hAnsi="Times New Roman"/>
                <w:sz w:val="12"/>
                <w:szCs w:val="12"/>
                <w:b w:val="1"/>
                <w:bCs w:val="1"/>
                <w:color w:val="auto"/>
                <w:vertAlign w:val="superscript"/>
              </w:rPr>
              <w:t>(1)</w:t>
            </w:r>
          </w:p>
        </w:tc>
        <w:tc>
          <w:tcPr>
            <w:tcW w:w="0" w:type="dxa"/>
            <w:vAlign w:val="bottom"/>
          </w:tcPr>
          <w:p>
            <w:pPr>
              <w:spacing w:after="0"/>
              <w:rPr>
                <w:sz w:val="1"/>
                <w:szCs w:val="1"/>
                <w:color w:val="auto"/>
              </w:rPr>
            </w:pPr>
          </w:p>
        </w:tc>
      </w:tr>
      <w:tr>
        <w:trPr>
          <w:trHeight w:val="81"/>
        </w:trPr>
        <w:tc>
          <w:tcPr>
            <w:tcW w:w="6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jc w:val="center"/>
              <w:ind w:left="331"/>
              <w:spacing w:after="0" w:line="81" w:lineRule="exact"/>
              <w:rPr>
                <w:sz w:val="20"/>
                <w:szCs w:val="20"/>
                <w:color w:val="auto"/>
              </w:rPr>
            </w:pPr>
            <w:r>
              <w:rPr>
                <w:rFonts w:ascii="Times New Roman" w:cs="Times New Roman" w:eastAsia="Times New Roman" w:hAnsi="Times New Roman"/>
                <w:sz w:val="8"/>
                <w:szCs w:val="8"/>
                <w:b w:val="1"/>
                <w:bCs w:val="1"/>
                <w:color w:val="auto"/>
              </w:rPr>
              <w:t>Weighted-Average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jc w:val="center"/>
              <w:ind w:right="189"/>
              <w:spacing w:after="0" w:line="81" w:lineRule="exact"/>
              <w:rPr>
                <w:sz w:val="20"/>
                <w:szCs w:val="20"/>
                <w:color w:val="auto"/>
              </w:rPr>
            </w:pPr>
            <w:r>
              <w:rPr>
                <w:rFonts w:ascii="Times New Roman" w:cs="Times New Roman" w:eastAsia="Times New Roman" w:hAnsi="Times New Roman"/>
                <w:sz w:val="8"/>
                <w:szCs w:val="8"/>
                <w:b w:val="1"/>
                <w:bCs w:val="1"/>
                <w:color w:val="auto"/>
              </w:rPr>
              <w:t>Weighted-Average</w:t>
            </w:r>
          </w:p>
        </w:tc>
        <w:tc>
          <w:tcPr>
            <w:tcW w:w="0" w:type="dxa"/>
            <w:vAlign w:val="bottom"/>
          </w:tcPr>
          <w:p>
            <w:pPr>
              <w:spacing w:after="0"/>
              <w:rPr>
                <w:sz w:val="1"/>
                <w:szCs w:val="1"/>
                <w:color w:val="auto"/>
              </w:rPr>
            </w:pPr>
          </w:p>
        </w:tc>
      </w:tr>
      <w:tr>
        <w:trPr>
          <w:trHeight w:val="97"/>
        </w:trPr>
        <w:tc>
          <w:tcPr>
            <w:tcW w:w="6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jc w:val="center"/>
              <w:ind w:left="311"/>
              <w:spacing w:after="0" w:line="98" w:lineRule="exact"/>
              <w:rPr>
                <w:sz w:val="20"/>
                <w:szCs w:val="20"/>
                <w:color w:val="auto"/>
              </w:rPr>
            </w:pPr>
            <w:r>
              <w:rPr>
                <w:rFonts w:ascii="Times New Roman" w:cs="Times New Roman" w:eastAsia="Times New Roman" w:hAnsi="Times New Roman"/>
                <w:sz w:val="10"/>
                <w:szCs w:val="10"/>
                <w:b w:val="1"/>
                <w:bCs w:val="1"/>
                <w:color w:val="auto"/>
                <w:w w:val="94"/>
              </w:rPr>
              <w:t>Grant Date</w:t>
            </w: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center"/>
              <w:ind w:right="169"/>
              <w:spacing w:after="0" w:line="98" w:lineRule="exact"/>
              <w:rPr>
                <w:sz w:val="20"/>
                <w:szCs w:val="20"/>
                <w:color w:val="auto"/>
              </w:rPr>
            </w:pPr>
            <w:r>
              <w:rPr>
                <w:rFonts w:ascii="Times New Roman" w:cs="Times New Roman" w:eastAsia="Times New Roman" w:hAnsi="Times New Roman"/>
                <w:sz w:val="10"/>
                <w:szCs w:val="10"/>
                <w:b w:val="1"/>
                <w:bCs w:val="1"/>
                <w:color w:val="auto"/>
                <w:w w:val="94"/>
              </w:rPr>
              <w:t>Grant Date</w:t>
            </w:r>
          </w:p>
        </w:tc>
        <w:tc>
          <w:tcPr>
            <w:tcW w:w="0" w:type="dxa"/>
            <w:vAlign w:val="bottom"/>
          </w:tcPr>
          <w:p>
            <w:pPr>
              <w:spacing w:after="0"/>
              <w:rPr>
                <w:sz w:val="1"/>
                <w:szCs w:val="1"/>
                <w:color w:val="auto"/>
              </w:rPr>
            </w:pPr>
          </w:p>
        </w:tc>
      </w:tr>
      <w:tr>
        <w:trPr>
          <w:trHeight w:val="92"/>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(Shares/units in thousands)</w:t>
            </w:r>
          </w:p>
        </w:tc>
        <w:tc>
          <w:tcPr>
            <w:tcW w:w="720" w:type="dxa"/>
            <w:vAlign w:val="bottom"/>
            <w:vMerge w:val="restart"/>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Units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jc w:val="center"/>
              <w:ind w:left="311"/>
              <w:spacing w:after="0" w:line="92" w:lineRule="exact"/>
              <w:rPr>
                <w:sz w:val="20"/>
                <w:szCs w:val="20"/>
                <w:color w:val="auto"/>
              </w:rPr>
            </w:pPr>
            <w:r>
              <w:rPr>
                <w:rFonts w:ascii="Times New Roman" w:cs="Times New Roman" w:eastAsia="Times New Roman" w:hAnsi="Times New Roman"/>
                <w:sz w:val="10"/>
                <w:szCs w:val="10"/>
                <w:b w:val="1"/>
                <w:bCs w:val="1"/>
                <w:color w:val="auto"/>
                <w:w w:val="91"/>
              </w:rPr>
              <w:t>Fair Value</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220" w:type="dxa"/>
            <w:vAlign w:val="bottom"/>
          </w:tcPr>
          <w:p>
            <w:pPr>
              <w:spacing w:after="0"/>
              <w:rPr>
                <w:sz w:val="7"/>
                <w:szCs w:val="7"/>
                <w:color w:val="auto"/>
              </w:rPr>
            </w:pPr>
          </w:p>
        </w:tc>
        <w:tc>
          <w:tcPr>
            <w:tcW w:w="1320" w:type="dxa"/>
            <w:vAlign w:val="bottom"/>
          </w:tcPr>
          <w:p>
            <w:pPr>
              <w:jc w:val="center"/>
              <w:ind w:right="169"/>
              <w:spacing w:after="0" w:line="92" w:lineRule="exact"/>
              <w:rPr>
                <w:sz w:val="20"/>
                <w:szCs w:val="20"/>
                <w:color w:val="auto"/>
              </w:rPr>
            </w:pPr>
            <w:r>
              <w:rPr>
                <w:rFonts w:ascii="Times New Roman" w:cs="Times New Roman" w:eastAsia="Times New Roman" w:hAnsi="Times New Roman"/>
                <w:sz w:val="10"/>
                <w:szCs w:val="10"/>
                <w:b w:val="1"/>
                <w:bCs w:val="1"/>
                <w:color w:val="auto"/>
                <w:w w:val="91"/>
              </w:rPr>
              <w:t>Fair Value</w:t>
            </w:r>
          </w:p>
        </w:tc>
        <w:tc>
          <w:tcPr>
            <w:tcW w:w="0" w:type="dxa"/>
            <w:vAlign w:val="bottom"/>
          </w:tcPr>
          <w:p>
            <w:pPr>
              <w:spacing w:after="0"/>
              <w:rPr>
                <w:sz w:val="1"/>
                <w:szCs w:val="1"/>
                <w:color w:val="auto"/>
              </w:rPr>
            </w:pPr>
          </w:p>
        </w:tc>
      </w:tr>
      <w:tr>
        <w:trPr>
          <w:trHeight w:val="134"/>
        </w:trPr>
        <w:tc>
          <w:tcPr>
            <w:tcW w:w="64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left="311"/>
              <w:spacing w:after="0"/>
              <w:rPr>
                <w:sz w:val="20"/>
                <w:szCs w:val="20"/>
                <w:color w:val="auto"/>
              </w:rPr>
            </w:pPr>
            <w:r>
              <w:rPr>
                <w:rFonts w:ascii="Times New Roman" w:cs="Times New Roman" w:eastAsia="Times New Roman" w:hAnsi="Times New Roman"/>
                <w:sz w:val="10"/>
                <w:szCs w:val="10"/>
                <w:b w:val="1"/>
                <w:bCs w:val="1"/>
                <w:color w:val="auto"/>
                <w:w w:val="94"/>
              </w:rPr>
              <w:t>per Unit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w w:val="94"/>
              </w:rPr>
              <w:t>per Unit</w:t>
            </w:r>
          </w:p>
        </w:tc>
        <w:tc>
          <w:tcPr>
            <w:tcW w:w="0" w:type="dxa"/>
            <w:vAlign w:val="bottom"/>
          </w:tcPr>
          <w:p>
            <w:pPr>
              <w:spacing w:after="0"/>
              <w:rPr>
                <w:sz w:val="1"/>
                <w:szCs w:val="1"/>
                <w:color w:val="auto"/>
              </w:rPr>
            </w:pPr>
          </w:p>
        </w:tc>
      </w:tr>
      <w:tr>
        <w:trPr>
          <w:trHeight w:val="141"/>
        </w:trPr>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Unvested as of January 1, 2022</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4,110</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ind w:right="1051"/>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104.50</w:t>
            </w: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102.84</w:t>
            </w:r>
          </w:p>
        </w:tc>
        <w:tc>
          <w:tcPr>
            <w:tcW w:w="0" w:type="dxa"/>
            <w:vAlign w:val="bottom"/>
          </w:tcPr>
          <w:p>
            <w:pPr>
              <w:spacing w:after="0"/>
              <w:rPr>
                <w:sz w:val="1"/>
                <w:szCs w:val="1"/>
                <w:color w:val="auto"/>
              </w:rPr>
            </w:pPr>
          </w:p>
        </w:tc>
      </w:tr>
      <w:tr>
        <w:trPr>
          <w:trHeight w:val="144"/>
        </w:trPr>
        <w:tc>
          <w:tcPr>
            <w:tcW w:w="648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Granted</w:t>
            </w:r>
            <w:r>
              <w:rPr>
                <w:rFonts w:ascii="Times New Roman" w:cs="Times New Roman" w:eastAsia="Times New Roman" w:hAnsi="Times New Roman"/>
                <w:sz w:val="14"/>
                <w:szCs w:val="14"/>
                <w:color w:val="auto"/>
                <w:vertAlign w:val="superscript"/>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2,987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141.71</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870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139.00</w:t>
            </w:r>
          </w:p>
        </w:tc>
        <w:tc>
          <w:tcPr>
            <w:tcW w:w="0" w:type="dxa"/>
            <w:vAlign w:val="bottom"/>
          </w:tcPr>
          <w:p>
            <w:pPr>
              <w:spacing w:after="0"/>
              <w:rPr>
                <w:sz w:val="1"/>
                <w:szCs w:val="1"/>
                <w:color w:val="auto"/>
              </w:rPr>
            </w:pPr>
          </w:p>
        </w:tc>
      </w:tr>
      <w:tr>
        <w:trPr>
          <w:trHeight w:val="144"/>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(1,696)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103.43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93.37</w:t>
            </w:r>
          </w:p>
        </w:tc>
        <w:tc>
          <w:tcPr>
            <w:tcW w:w="0" w:type="dxa"/>
            <w:vAlign w:val="bottom"/>
          </w:tcPr>
          <w:p>
            <w:pPr>
              <w:spacing w:after="0"/>
              <w:rPr>
                <w:sz w:val="1"/>
                <w:szCs w:val="1"/>
                <w:color w:val="auto"/>
              </w:rPr>
            </w:pPr>
          </w:p>
        </w:tc>
      </w:tr>
      <w:tr>
        <w:trPr>
          <w:trHeight w:val="143"/>
        </w:trPr>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Forfeited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(345)</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132.68</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129.28</w:t>
            </w:r>
          </w:p>
        </w:tc>
        <w:tc>
          <w:tcPr>
            <w:tcW w:w="0" w:type="dxa"/>
            <w:vAlign w:val="bottom"/>
          </w:tcPr>
          <w:p>
            <w:pPr>
              <w:spacing w:after="0"/>
              <w:rPr>
                <w:sz w:val="1"/>
                <w:szCs w:val="1"/>
                <w:color w:val="auto"/>
              </w:rPr>
            </w:pPr>
          </w:p>
        </w:tc>
      </w:tr>
      <w:tr>
        <w:trPr>
          <w:trHeight w:val="150"/>
        </w:trPr>
        <w:tc>
          <w:tcPr>
            <w:tcW w:w="6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Unvested as of December 31, 2022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5,056</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1051"/>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124.92</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1,703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125.55</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w:t>
      </w:r>
    </w:p>
    <w:p>
      <w:pPr>
        <w:spacing w:after="0" w:line="24" w:lineRule="exact"/>
        <w:rPr>
          <w:sz w:val="20"/>
          <w:szCs w:val="20"/>
          <w:color w:val="auto"/>
        </w:rPr>
      </w:pPr>
    </w:p>
    <w:p>
      <w:pPr>
        <w:ind w:left="208" w:hanging="208"/>
        <w:spacing w:after="0"/>
        <w:tabs>
          <w:tab w:leader="none" w:pos="208" w:val="left"/>
        </w:tabs>
        <w:numPr>
          <w:ilvl w:val="0"/>
          <w:numId w:val="9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Granted and vested include adjustments for achievement of specific performance goals for performance share units granted in prior periods.</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9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weighted-average grant date fair value of RSUs was $127.37 and $92.04 in 2021 and 2020, respectively. The weighted-average grant date fair value of PSUs was $112.51 and $100.04 in 2021 and 2020, respectively.</w:t>
      </w:r>
    </w:p>
    <w:p>
      <w:pPr>
        <w:spacing w:after="0" w:line="13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total fair value of RSUs that vested during 2022, 2021 and 2020 was $248 million, $202 million and $140 million, respectively. The total fair value of PSUs that vested was $127 million, $94 million and $82 million in 2022, 2021 and 2020, respectively. As of December 31, 2022, the unrecognized compensation expense related to unvested RSUs is $372 million, which is expected to be amortized over a weighted-average period of approximately 1.9 years; and the unrecognized compensation related to unvested PSUs was $31 million, which is expected to be amortized over a weighted-average period of approximately one year.</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p>
    <w:p>
      <w:pPr>
        <w:spacing w:after="0" w:line="11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Stock options have a maximum contractual term of 10 years. Generally, the exercise price of stock options will equal the fair market value of our common stock on the date of grant. Option vesting is determined at the time of grant and may be subject to the achievement of any applicable performance conditions. Options generally become exercisable over three years beginning on the first anniversary of the date of grant; however, some option grants cliff vest on or shortly after the first or third anniversary of the grant date.</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a summary of 2022 activity for stock options and the balance of stock options exercisable as of December 31, 2022.</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13.2: Summary of Stock Options Activity</w:t>
      </w:r>
    </w:p>
    <w:p>
      <w:pPr>
        <w:spacing w:after="0" w:line="6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center"/>
              <w:ind w:left="31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restart"/>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3"/>
          </w:tcPr>
          <w:p>
            <w:pPr>
              <w:jc w:val="center"/>
              <w:ind w:right="300"/>
              <w:spacing w:after="0" w:line="98"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000" w:type="dxa"/>
            <w:vAlign w:val="bottom"/>
            <w:vMerge w:val="restart"/>
          </w:tcPr>
          <w:p>
            <w:pPr>
              <w:jc w:val="center"/>
              <w:ind w:right="171"/>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0" w:type="dxa"/>
            <w:vAlign w:val="bottom"/>
          </w:tcPr>
          <w:p>
            <w:pPr>
              <w:spacing w:after="0"/>
              <w:rPr>
                <w:sz w:val="1"/>
                <w:szCs w:val="1"/>
                <w:color w:val="auto"/>
              </w:rPr>
            </w:pPr>
          </w:p>
        </w:tc>
      </w:tr>
      <w:tr>
        <w:trPr>
          <w:trHeight w:val="99"/>
        </w:trPr>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center"/>
              <w:ind w:left="31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3"/>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8"/>
              </w:rPr>
              <w:t>Remaining</w:t>
            </w: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(Shares in thousands, and intrinsic value in millions)</w:t>
            </w:r>
          </w:p>
        </w:tc>
        <w:tc>
          <w:tcPr>
            <w:tcW w:w="880" w:type="dxa"/>
            <w:vAlign w:val="bottom"/>
          </w:tcPr>
          <w:p>
            <w:pPr>
              <w:jc w:val="center"/>
              <w:ind w:left="252"/>
              <w:spacing w:after="0" w:line="90" w:lineRule="exact"/>
              <w:rPr>
                <w:sz w:val="20"/>
                <w:szCs w:val="20"/>
                <w:color w:val="auto"/>
              </w:rPr>
            </w:pPr>
            <w:r>
              <w:rPr>
                <w:rFonts w:ascii="Times New Roman" w:cs="Times New Roman" w:eastAsia="Times New Roman" w:hAnsi="Times New Roman"/>
                <w:sz w:val="10"/>
                <w:szCs w:val="10"/>
                <w:b w:val="1"/>
                <w:bCs w:val="1"/>
                <w:color w:val="auto"/>
                <w:w w:val="97"/>
              </w:rPr>
              <w:t>Subject to</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jc w:val="center"/>
              <w:ind w:left="310"/>
              <w:spacing w:after="0" w:line="90"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tcPr>
          <w:p>
            <w:pPr>
              <w:jc w:val="center"/>
              <w:ind w:right="300"/>
              <w:spacing w:after="0" w:line="90"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1000" w:type="dxa"/>
            <w:vAlign w:val="bottom"/>
          </w:tcPr>
          <w:p>
            <w:pPr>
              <w:jc w:val="center"/>
              <w:ind w:right="171"/>
              <w:spacing w:after="0" w:line="90" w:lineRule="exact"/>
              <w:rPr>
                <w:sz w:val="20"/>
                <w:szCs w:val="20"/>
                <w:color w:val="auto"/>
              </w:rPr>
            </w:pPr>
            <w:r>
              <w:rPr>
                <w:rFonts w:ascii="Times New Roman" w:cs="Times New Roman" w:eastAsia="Times New Roman" w:hAnsi="Times New Roman"/>
                <w:sz w:val="10"/>
                <w:szCs w:val="10"/>
                <w:b w:val="1"/>
                <w:bCs w:val="1"/>
                <w:color w:val="auto"/>
                <w:w w:val="92"/>
              </w:rPr>
              <w:t>Intrinsic</w:t>
            </w:r>
          </w:p>
        </w:tc>
        <w:tc>
          <w:tcPr>
            <w:tcW w:w="0" w:type="dxa"/>
            <w:vAlign w:val="bottom"/>
          </w:tcPr>
          <w:p>
            <w:pPr>
              <w:spacing w:after="0"/>
              <w:rPr>
                <w:sz w:val="1"/>
                <w:szCs w:val="1"/>
                <w:color w:val="auto"/>
              </w:rPr>
            </w:pPr>
          </w:p>
        </w:tc>
      </w:tr>
      <w:tr>
        <w:trPr>
          <w:trHeight w:val="131"/>
        </w:trPr>
        <w:tc>
          <w:tcPr>
            <w:tcW w:w="6040" w:type="dxa"/>
            <w:vAlign w:val="bottom"/>
            <w:gridSpan w:val="2"/>
            <w:vMerge w:val="continue"/>
          </w:tcPr>
          <w:p>
            <w:pPr>
              <w:spacing w:after="0"/>
              <w:rPr>
                <w:sz w:val="11"/>
                <w:szCs w:val="11"/>
                <w:color w:val="auto"/>
              </w:rPr>
            </w:pPr>
          </w:p>
        </w:tc>
        <w:tc>
          <w:tcPr>
            <w:tcW w:w="88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4"/>
              </w:rPr>
              <w:t>Options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left="310"/>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1"/>
              </w:rPr>
              <w:t>Term</w:t>
            </w:r>
          </w:p>
        </w:tc>
        <w:tc>
          <w:tcPr>
            <w:tcW w:w="1000" w:type="dxa"/>
            <w:vAlign w:val="bottom"/>
          </w:tcPr>
          <w:p>
            <w:pPr>
              <w:jc w:val="center"/>
              <w:ind w:right="171"/>
              <w:spacing w:after="0"/>
              <w:rPr>
                <w:sz w:val="20"/>
                <w:szCs w:val="20"/>
                <w:color w:val="auto"/>
              </w:rPr>
            </w:pPr>
            <w:r>
              <w:rPr>
                <w:rFonts w:ascii="Times New Roman" w:cs="Times New Roman" w:eastAsia="Times New Roman" w:hAnsi="Times New Roman"/>
                <w:sz w:val="10"/>
                <w:szCs w:val="10"/>
                <w:b w:val="1"/>
                <w:bCs w:val="1"/>
                <w:color w:val="auto"/>
                <w:w w:val="87"/>
              </w:rPr>
              <w:t>Value</w:t>
            </w:r>
          </w:p>
        </w:tc>
        <w:tc>
          <w:tcPr>
            <w:tcW w:w="0" w:type="dxa"/>
            <w:vAlign w:val="bottom"/>
          </w:tcPr>
          <w:p>
            <w:pPr>
              <w:spacing w:after="0"/>
              <w:rPr>
                <w:sz w:val="1"/>
                <w:szCs w:val="1"/>
                <w:color w:val="auto"/>
              </w:rPr>
            </w:pPr>
          </w:p>
        </w:tc>
      </w:tr>
      <w:tr>
        <w:trPr>
          <w:trHeight w:val="137"/>
        </w:trPr>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Outstanding as of January 1, 2022</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875</w:t>
            </w:r>
          </w:p>
        </w:tc>
        <w:tc>
          <w:tcPr>
            <w:tcW w:w="8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67.92</w:t>
            </w:r>
          </w:p>
        </w:tc>
        <w:tc>
          <w:tcPr>
            <w:tcW w:w="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Granted</w:t>
            </w:r>
          </w:p>
        </w:tc>
        <w:tc>
          <w:tcPr>
            <w:tcW w:w="8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Exercised</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(334)</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56.26</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Forfeited</w:t>
            </w:r>
          </w:p>
        </w:tc>
        <w:tc>
          <w:tcPr>
            <w:tcW w:w="8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Expired</w:t>
            </w:r>
          </w:p>
        </w:tc>
        <w:tc>
          <w:tcPr>
            <w:tcW w:w="8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0.00</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04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Outstanding and Exercisable as of December 31, 2022</w:t>
            </w:r>
          </w:p>
        </w:tc>
        <w:tc>
          <w:tcPr>
            <w:tcW w:w="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541</w:t>
            </w: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75.12</w:t>
            </w:r>
          </w:p>
        </w:tc>
        <w:tc>
          <w:tcPr>
            <w:tcW w:w="80" w:type="dxa"/>
            <w:vAlign w:val="bottom"/>
          </w:tcPr>
          <w:p>
            <w:pPr>
              <w:spacing w:after="0"/>
              <w:rPr>
                <w:sz w:val="11"/>
                <w:szCs w:val="11"/>
                <w:color w:val="auto"/>
              </w:rPr>
            </w:pPr>
          </w:p>
        </w:tc>
        <w:tc>
          <w:tcPr>
            <w:tcW w:w="156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2.80 years  $</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There were no stock options granted in 2022, 2021 and 2020. The total intrinsic value of stock options exercised during 2022, 2021 and 2020 was $18 million, $80 million and $65 million,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181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Defined Contribution Plan</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sponsor a contributory Associate Savings Plan (the “Plan”) in which all full-time and part-time associates over the age of 18 are eligible to participate. We make non-elective contributions to each eligible associate’s account and match a portion of associate contributions. We also sponsor a voluntary non-qualified deferred compensation plan in which select groups of employees are eligible to participate. We make contributions to this plan based on participants’ deferral of salary, bonuses and other eligible pay. In addition, we match participants’ excess compensation (compensation over the Internal Revenue Service (“IRS”) compensation limit) less deferrals. We contributed a total of $444 million, $378 million and $350 million to these plans during the years ended December 31, 2022, 2021 and 2020,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Defined Benefit Pension and Other Postretirement Benefit Plans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sponsor several frozen plans, including a qualified defined benefit pension plan, several non-qualified defined benefit pension plans, and a plan that provides other postretirement benefits, including medical and life insurance coverage. Our pension plans and the other postretirement benefit plan are valued using December 31 as the measurement date each year. Our policy is to amortize prior service amounts on a straight-line basis over the average remaining years of service to full eligibility for benefits of active plan participants.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on an aggregated basis, changes in the benefit obligation and plan assets, the funded status and how the funded status is recognized on our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14.1: Changes in Benefit Obligation and Plan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jc w:val="center"/>
              <w:ind w:left="268"/>
              <w:spacing w:after="0"/>
              <w:rPr>
                <w:sz w:val="20"/>
                <w:szCs w:val="20"/>
                <w:color w:val="auto"/>
              </w:rPr>
            </w:pPr>
            <w:r>
              <w:rPr>
                <w:rFonts w:ascii="Times New Roman" w:cs="Times New Roman" w:eastAsia="Times New Roman" w:hAnsi="Times New Roman"/>
                <w:sz w:val="10"/>
                <w:szCs w:val="10"/>
                <w:b w:val="1"/>
                <w:bCs w:val="1"/>
                <w:color w:val="auto"/>
                <w:w w:val="95"/>
              </w:rPr>
              <w:t>Defined Pension</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4"/>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5"/>
              </w:rPr>
              <w:t>Other Postretirement</w:t>
            </w:r>
          </w:p>
        </w:tc>
      </w:tr>
      <w:tr>
        <w:trPr>
          <w:trHeight w:val="125"/>
        </w:trPr>
        <w:tc>
          <w:tcPr>
            <w:tcW w:w="39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0"/>
                <w:szCs w:val="10"/>
                <w:b w:val="1"/>
                <w:bCs w:val="1"/>
                <w:color w:val="auto"/>
                <w:w w:val="92"/>
              </w:rPr>
              <w:t>Benefits</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620" w:type="dxa"/>
            <w:vAlign w:val="bottom"/>
            <w:tcBorders>
              <w:bottom w:val="single" w:sz="8" w:color="auto"/>
            </w:tcBorders>
          </w:tcPr>
          <w:p>
            <w:pPr>
              <w:spacing w:after="0"/>
              <w:rPr>
                <w:sz w:val="10"/>
                <w:szCs w:val="10"/>
                <w:color w:val="auto"/>
              </w:rPr>
            </w:pPr>
          </w:p>
        </w:tc>
      </w:tr>
      <w:tr>
        <w:trPr>
          <w:trHeight w:val="129"/>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3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Change in benefit obligation:</w:t>
            </w:r>
          </w:p>
        </w:tc>
        <w:tc>
          <w:tcPr>
            <w:tcW w:w="3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3"/>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Accumulated benefit obligation as of January 1,</w:t>
            </w:r>
          </w:p>
        </w:tc>
        <w:tc>
          <w:tcPr>
            <w:tcW w:w="39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163</w:t>
            </w:r>
          </w:p>
        </w:tc>
        <w:tc>
          <w:tcPr>
            <w:tcW w:w="8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4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Service cost</w:t>
            </w:r>
          </w:p>
        </w:tc>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3"/>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Interest cost</w:t>
            </w: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Benefits paid</w:t>
            </w:r>
          </w:p>
        </w:tc>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43"/>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Actuarial loss (gain)</w:t>
            </w:r>
          </w:p>
        </w:tc>
        <w:tc>
          <w:tcPr>
            <w:tcW w:w="3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5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benefit obligation as of December 31,</w:t>
            </w:r>
          </w:p>
        </w:tc>
        <w:tc>
          <w:tcPr>
            <w:tcW w:w="3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128</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22"/>
        </w:trPr>
        <w:tc>
          <w:tcPr>
            <w:tcW w:w="390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Change in plan assets:</w:t>
            </w: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Fair value of plan assets as of January 1,</w:t>
            </w:r>
          </w:p>
        </w:tc>
        <w:tc>
          <w:tcPr>
            <w:tcW w:w="3980" w:type="dxa"/>
            <w:vAlign w:val="bottom"/>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43"/>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Actual return on plan assets</w:t>
            </w: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Employer contributions</w:t>
            </w:r>
          </w:p>
        </w:tc>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3"/>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Benefits paid</w:t>
            </w:r>
          </w:p>
        </w:tc>
        <w:tc>
          <w:tcPr>
            <w:tcW w:w="3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Fair value of plan assets as of December 31,</w:t>
            </w:r>
          </w:p>
        </w:tc>
        <w:tc>
          <w:tcPr>
            <w:tcW w:w="3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222</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40"/>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Over (under) funded status as of December 31,</w:t>
            </w: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20"/>
        </w:trPr>
        <w:tc>
          <w:tcPr>
            <w:tcW w:w="3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r>
      <w:tr>
        <w:trPr>
          <w:trHeight w:val="410"/>
        </w:trPr>
        <w:tc>
          <w:tcPr>
            <w:tcW w:w="39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left="268"/>
              <w:spacing w:after="0"/>
              <w:rPr>
                <w:sz w:val="20"/>
                <w:szCs w:val="20"/>
                <w:color w:val="auto"/>
              </w:rPr>
            </w:pPr>
            <w:r>
              <w:rPr>
                <w:rFonts w:ascii="Times New Roman" w:cs="Times New Roman" w:eastAsia="Times New Roman" w:hAnsi="Times New Roman"/>
                <w:sz w:val="10"/>
                <w:szCs w:val="10"/>
                <w:b w:val="1"/>
                <w:bCs w:val="1"/>
                <w:color w:val="auto"/>
                <w:w w:val="95"/>
              </w:rPr>
              <w:t>Defined Pension</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5"/>
              </w:rPr>
              <w:t>Other Postretirement</w:t>
            </w:r>
          </w:p>
        </w:tc>
      </w:tr>
      <w:tr>
        <w:trPr>
          <w:trHeight w:val="125"/>
        </w:trPr>
        <w:tc>
          <w:tcPr>
            <w:tcW w:w="39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0"/>
                <w:szCs w:val="10"/>
                <w:b w:val="1"/>
                <w:bCs w:val="1"/>
                <w:color w:val="auto"/>
                <w:w w:val="92"/>
              </w:rPr>
              <w:t>Benefits</w:t>
            </w: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center"/>
              <w:ind w:left="448"/>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620" w:type="dxa"/>
            <w:vAlign w:val="bottom"/>
            <w:tcBorders>
              <w:bottom w:val="single" w:sz="8" w:color="auto"/>
            </w:tcBorders>
          </w:tcPr>
          <w:p>
            <w:pPr>
              <w:spacing w:after="0"/>
              <w:rPr>
                <w:sz w:val="10"/>
                <w:szCs w:val="10"/>
                <w:color w:val="auto"/>
              </w:rPr>
            </w:pPr>
          </w:p>
        </w:tc>
      </w:tr>
      <w:tr>
        <w:trPr>
          <w:trHeight w:val="127"/>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36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sheet presentation as of December 31,</w:t>
            </w:r>
          </w:p>
        </w:tc>
        <w:tc>
          <w:tcPr>
            <w:tcW w:w="3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3"/>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39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102</w:t>
            </w:r>
          </w:p>
        </w:tc>
        <w:tc>
          <w:tcPr>
            <w:tcW w:w="8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3900" w:type="dxa"/>
            <w:vAlign w:val="bottom"/>
          </w:tcPr>
          <w:p>
            <w:pPr>
              <w:spacing w:after="0"/>
              <w:rPr>
                <w:sz w:val="20"/>
                <w:szCs w:val="20"/>
                <w:color w:val="auto"/>
              </w:rPr>
            </w:pPr>
            <w:r>
              <w:rPr>
                <w:rFonts w:ascii="Times New Roman" w:cs="Times New Roman" w:eastAsia="Times New Roman" w:hAnsi="Times New Roman"/>
                <w:sz w:val="11"/>
                <w:szCs w:val="11"/>
                <w:color w:val="auto"/>
              </w:rPr>
              <w:t>Net amount recognized as of December 31,</w:t>
            </w:r>
          </w:p>
        </w:tc>
        <w:tc>
          <w:tcPr>
            <w:tcW w:w="3780" w:type="dxa"/>
            <w:vAlign w:val="bottom"/>
            <w:gridSpan w:val="2"/>
          </w:tcPr>
          <w:p>
            <w:pPr>
              <w:spacing w:after="0"/>
              <w:rPr>
                <w:sz w:val="11"/>
                <w:szCs w:val="11"/>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w:t>
            </w:r>
          </w:p>
        </w:tc>
        <w:tc>
          <w:tcPr>
            <w:tcW w:w="80" w:type="dxa"/>
            <w:vAlign w:val="bottom"/>
          </w:tcPr>
          <w:p>
            <w:pPr>
              <w:spacing w:after="0"/>
              <w:rPr>
                <w:sz w:val="11"/>
                <w:szCs w:val="11"/>
                <w:color w:val="auto"/>
              </w:rPr>
            </w:pPr>
          </w:p>
        </w:tc>
        <w:tc>
          <w:tcPr>
            <w:tcW w:w="3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20"/>
        </w:trPr>
        <w:tc>
          <w:tcPr>
            <w:tcW w:w="3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r>
      <w:tr>
        <w:trPr>
          <w:trHeight w:val="752"/>
        </w:trPr>
        <w:tc>
          <w:tcPr>
            <w:tcW w:w="3900" w:type="dxa"/>
            <w:vAlign w:val="bottom"/>
          </w:tcPr>
          <w:p>
            <w:pPr>
              <w:spacing w:after="0"/>
              <w:rPr>
                <w:sz w:val="24"/>
                <w:szCs w:val="24"/>
                <w:color w:val="auto"/>
              </w:rPr>
            </w:pPr>
          </w:p>
        </w:tc>
        <w:tc>
          <w:tcPr>
            <w:tcW w:w="3680" w:type="dxa"/>
            <w:vAlign w:val="bottom"/>
          </w:tcPr>
          <w:p>
            <w:pPr>
              <w:jc w:val="right"/>
              <w:ind w:right="1828"/>
              <w:spacing w:after="0"/>
              <w:rPr>
                <w:sz w:val="20"/>
                <w:szCs w:val="20"/>
                <w:color w:val="auto"/>
              </w:rPr>
            </w:pPr>
            <w:r>
              <w:rPr>
                <w:rFonts w:ascii="Times New Roman" w:cs="Times New Roman" w:eastAsia="Times New Roman" w:hAnsi="Times New Roman"/>
                <w:sz w:val="10"/>
                <w:szCs w:val="10"/>
                <w:color w:val="auto"/>
              </w:rPr>
              <w:t>182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w w:val="96"/>
              </w:rPr>
              <w:t>Capital One Financial Corporation (COF)</w:t>
            </w:r>
          </w:p>
        </w:tc>
      </w:tr>
      <w:tr>
        <w:trPr>
          <w:trHeight w:val="224"/>
        </w:trPr>
        <w:tc>
          <w:tcPr>
            <w:tcW w:w="3900" w:type="dxa"/>
            <w:vAlign w:val="bottom"/>
            <w:tcBorders>
              <w:bottom w:val="single" w:sz="8" w:color="9A9A9A"/>
            </w:tcBorders>
          </w:tcPr>
          <w:p>
            <w:pPr>
              <w:spacing w:after="0"/>
              <w:rPr>
                <w:sz w:val="19"/>
                <w:szCs w:val="19"/>
                <w:color w:val="auto"/>
              </w:rPr>
            </w:pPr>
          </w:p>
        </w:tc>
        <w:tc>
          <w:tcPr>
            <w:tcW w:w="36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Net periodic benefit gain for our defined benefit pension plans and other postretirement benefit plan totaled $8 million, $12 million, and $8 million in 2022, 2021 and 2020, respectively. We recognized a pre-tax loss of $24 million in 2022 and pre-tax gains of $4 million in other comprehensive income for our defined benefit pension plans and other postretirement benefit plan in both 2021 and 2020.</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Pre-tax amounts recognized in AOCI that have not yet been recognized as a component of net periodic benefit cost consist of net actuarial losses of $57 million and $33 million for our defined benefit pension plans as of December 31, 2022 and 2021, respectively, and net actuarial gains of $3 million for our other postretirement benefit plan as of both December 31, 2022 and 2021. There was no meaningful prior service cost recognized in AOCI.</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Plan Assets and Fair Value Measurement</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Plan assets are invested using a total return investment approach whereby a mix of equity securities and debt securities are used to preserve asset values, diversify risk and enhance our ability to achieve our benchmark for long-term investment return. Investment strategies and asset allocations are based on careful consideration of plan liabilities, the plan’s funded status and our financial condition. Investment performance and asset allocation are measured and monitored on a daily basis.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December 31, 2022 and 2021, our plan assets totaled $227 million and $279 million, respectively. We invested substantially all our plan assets in common collective trusts, which primarily consist of domestic and international equity securities, government securities and corporate and municipal bonds. Our plan assets were classified as Level 2 in the fair value hierarchy as of December 31, 2022 and 2021. For information on fair value measurements, including descriptions of Level 1, 2 and 3 of the fair value hierarchy, see “Note 16—Fair Value Measurement.”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Expected Future Benefit 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As of December 31, 2022, the benefits expected to be paid in the next ten years totaled </w:t>
      </w:r>
      <w:r>
        <w:rPr>
          <w:rFonts w:ascii="Times New Roman" w:cs="Times New Roman" w:eastAsia="Times New Roman" w:hAnsi="Times New Roman"/>
          <w:sz w:val="12"/>
          <w:szCs w:val="12"/>
          <w:color w:val="242424"/>
        </w:rPr>
        <w:t>$108 million</w:t>
      </w:r>
      <w:r>
        <w:rPr>
          <w:rFonts w:ascii="Times New Roman" w:cs="Times New Roman" w:eastAsia="Times New Roman" w:hAnsi="Times New Roman"/>
          <w:sz w:val="12"/>
          <w:szCs w:val="12"/>
          <w:color w:val="auto"/>
        </w:rPr>
        <w:t xml:space="preserve"> for our defined pension benefit plans and </w:t>
      </w:r>
      <w:r>
        <w:rPr>
          <w:rFonts w:ascii="Times New Roman" w:cs="Times New Roman" w:eastAsia="Times New Roman" w:hAnsi="Times New Roman"/>
          <w:sz w:val="12"/>
          <w:szCs w:val="12"/>
          <w:color w:val="242424"/>
        </w:rPr>
        <w:t>$11 million</w:t>
      </w:r>
      <w:r>
        <w:rPr>
          <w:rFonts w:ascii="Times New Roman" w:cs="Times New Roman" w:eastAsia="Times New Roman" w:hAnsi="Times New Roman"/>
          <w:sz w:val="12"/>
          <w:szCs w:val="12"/>
          <w:color w:val="auto"/>
        </w:rPr>
        <w:t xml:space="preserve"> for our other postretirement benefit plan,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183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recognize the current and deferred tax consequences of all transactions that have been recognized in the financial statements using the provisions of the enacted tax laws. Current income tax expense represents our estimated taxes to be paid or refunded for the current period and includes income tax expense related to our uncertain tax positions, as well as tax-related interest and penalties. Deferred tax assets and liabilities are determined based on differences between the financial reporting and tax basis of assets and liabilities and are measured using the enacted tax rates and laws that will be in effect when the differences are expected to reverse. We record valuation allowances to reduce deferred tax assets to the amount that is more likely than not to be realized. We record the effect of remeasuring deferred tax assets and liabilities due to a change in tax rates or laws as a component of income tax expense related to continuing operations for the period in which the change is enacted. We subsequently release income tax effects stranded in AOCI using a portfolio approach. Income tax benefits are recognized when, based on their technical merits, they are more likely than not to be sustained upon examination. The amount recognized is the largest amount of benefit that is more likely than not to be realized upon settlement.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significant components of the provision for income taxes attributable to continuing operations for the years ended December 31, 2022, 2021 and 2020.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15.1: Significant Components of the Provision for Income Taxes Attributable to Continuing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30"/>
        </w:trPr>
        <w:tc>
          <w:tcPr>
            <w:tcW w:w="76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80" w:type="dxa"/>
            <w:vAlign w:val="bottom"/>
          </w:tcPr>
          <w:p>
            <w:pPr>
              <w:spacing w:after="0"/>
              <w:rPr>
                <w:sz w:val="11"/>
                <w:szCs w:val="11"/>
                <w:color w:val="auto"/>
              </w:rPr>
            </w:pPr>
          </w:p>
        </w:tc>
        <w:tc>
          <w:tcPr>
            <w:tcW w:w="880" w:type="dxa"/>
            <w:vAlign w:val="bottom"/>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447"/>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38"/>
        </w:trPr>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Current income tax provision:</w:t>
            </w: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r>
      <w:tr>
        <w:trPr>
          <w:trHeight w:val="143"/>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Federal taxes</w:t>
            </w: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2,125</w:t>
            </w:r>
          </w:p>
        </w:tc>
        <w:tc>
          <w:tcPr>
            <w:tcW w:w="80" w:type="dxa"/>
            <w:vAlign w:val="bottom"/>
          </w:tcPr>
          <w:p>
            <w:pPr>
              <w:spacing w:after="0"/>
              <w:rPr>
                <w:sz w:val="12"/>
                <w:szCs w:val="12"/>
                <w:color w:val="auto"/>
              </w:rPr>
            </w:pPr>
          </w:p>
        </w:tc>
        <w:tc>
          <w:tcPr>
            <w:tcW w:w="2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2,173</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r>
      <w:tr>
        <w:trPr>
          <w:trHeight w:val="145"/>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State taxes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w:t>
            </w:r>
          </w:p>
        </w:tc>
      </w:tr>
      <w:tr>
        <w:trPr>
          <w:trHeight w:val="143"/>
        </w:trPr>
        <w:tc>
          <w:tcPr>
            <w:tcW w:w="7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International taxes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w:t>
            </w:r>
          </w:p>
        </w:tc>
      </w:tr>
      <w:tr>
        <w:trPr>
          <w:trHeight w:val="153"/>
        </w:trPr>
        <w:tc>
          <w:tcPr>
            <w:tcW w:w="7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current provision</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2,652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2,810</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2,113</w:t>
            </w:r>
          </w:p>
        </w:tc>
      </w:tr>
      <w:tr>
        <w:trPr>
          <w:trHeight w:val="122"/>
        </w:trPr>
        <w:tc>
          <w:tcPr>
            <w:tcW w:w="76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Deferred income tax provision (benefit):</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5"/>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Federal taxes</w:t>
            </w: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w:t>
            </w:r>
          </w:p>
        </w:tc>
      </w:tr>
      <w:tr>
        <w:trPr>
          <w:trHeight w:val="143"/>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State taxes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r>
      <w:tr>
        <w:trPr>
          <w:trHeight w:val="145"/>
        </w:trPr>
        <w:tc>
          <w:tcPr>
            <w:tcW w:w="7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International taxes</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32"/>
        </w:trPr>
        <w:tc>
          <w:tcPr>
            <w:tcW w:w="762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deferred provision (benefit)</w:t>
            </w: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(772)</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(1,627)</w:t>
            </w:r>
          </w:p>
        </w:tc>
      </w:tr>
      <w:tr>
        <w:trPr>
          <w:trHeight w:val="150"/>
        </w:trPr>
        <w:tc>
          <w:tcPr>
            <w:tcW w:w="7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income tax provision</w:t>
            </w: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1,880</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3,415</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international income tax provision is related to pre-tax earnings from foreign operations of approximately $462 million, $677 million and $293 million in 2022, 2021 and 2020, respectively.</w:t>
      </w:r>
    </w:p>
    <w:p>
      <w:pPr>
        <w:spacing w:after="0" w:line="1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Total income tax provision does not reflect the tax effects of items that are included in AOCI, which include a tax benefit of $3.2 billion and $985 million in 2022 and 2021, respectively, and tax provision of $702 million in 2020. See “Note 10—Stockholders’ Equity” for additional information.</w:t>
      </w:r>
    </w:p>
    <w:p>
      <w:pPr>
        <w:spacing w:after="0" w:line="200" w:lineRule="exact"/>
        <w:rPr>
          <w:sz w:val="20"/>
          <w:szCs w:val="20"/>
          <w:color w:val="auto"/>
        </w:rPr>
      </w:pPr>
    </w:p>
    <w:p>
      <w:pPr>
        <w:spacing w:after="0" w:line="36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184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reconciliation of the U.S. federal statutory income tax rate to the effective income tax rate applicable to income from continuing operations for the years ended December 31, 2022, 2021 and 2020.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15.2: Effective Income Tax Rate</w:t>
      </w:r>
    </w:p>
    <w:p>
      <w:pPr>
        <w:spacing w:after="0" w:line="84"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100" w:type="dxa"/>
            <w:vAlign w:val="bottom"/>
            <w:gridSpan w:val="2"/>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11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2021</w:t>
            </w:r>
          </w:p>
        </w:tc>
        <w:tc>
          <w:tcPr>
            <w:tcW w:w="3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2020</w:t>
            </w:r>
          </w:p>
        </w:tc>
      </w:tr>
      <w:tr>
        <w:trPr>
          <w:trHeight w:val="138"/>
        </w:trPr>
        <w:tc>
          <w:tcPr>
            <w:tcW w:w="8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at U.S. federal statutory tax rate</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21.0 %</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8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r>
      <w:tr>
        <w:trPr>
          <w:trHeight w:val="143"/>
        </w:trPr>
        <w:tc>
          <w:tcPr>
            <w:tcW w:w="8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State taxes, net of federal benefit</w:t>
            </w:r>
          </w:p>
        </w:tc>
        <w:tc>
          <w:tcPr>
            <w:tcW w:w="36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3.1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2"/>
                <w:szCs w:val="12"/>
                <w:color w:val="auto"/>
              </w:rPr>
            </w:pP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3.5</w:t>
            </w:r>
          </w:p>
        </w:tc>
      </w:tr>
      <w:tr>
        <w:trPr>
          <w:trHeight w:val="145"/>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Non-deductible expenses</w:t>
            </w:r>
          </w:p>
        </w:tc>
        <w:tc>
          <w:tcPr>
            <w:tcW w:w="3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0.6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3.2</w:t>
            </w:r>
          </w:p>
        </w:tc>
      </w:tr>
      <w:tr>
        <w:trPr>
          <w:trHeight w:val="143"/>
        </w:trPr>
        <w:tc>
          <w:tcPr>
            <w:tcW w:w="8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Affordable housing, new markets and other tax credits</w:t>
            </w:r>
          </w:p>
        </w:tc>
        <w:tc>
          <w:tcPr>
            <w:tcW w:w="360" w:type="dxa"/>
            <w:vAlign w:val="bottom"/>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(4.2)</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2"/>
                <w:szCs w:val="12"/>
                <w:color w:val="auto"/>
              </w:rPr>
            </w:pPr>
          </w:p>
        </w:tc>
        <w:tc>
          <w:tcPr>
            <w:tcW w:w="102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(11.4)</w:t>
            </w:r>
          </w:p>
        </w:tc>
      </w:tr>
      <w:tr>
        <w:trPr>
          <w:trHeight w:val="145"/>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Tax-exempt interest and other nontaxable income</w:t>
            </w:r>
          </w:p>
        </w:tc>
        <w:tc>
          <w:tcPr>
            <w:tcW w:w="3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(0.4)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(1.7)</w:t>
            </w:r>
          </w:p>
        </w:tc>
      </w:tr>
      <w:tr>
        <w:trPr>
          <w:trHeight w:val="143"/>
        </w:trPr>
        <w:tc>
          <w:tcPr>
            <w:tcW w:w="8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Changes in valuation allowance</w:t>
            </w:r>
          </w:p>
        </w:tc>
        <w:tc>
          <w:tcPr>
            <w:tcW w:w="36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1.0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2"/>
                <w:szCs w:val="12"/>
                <w:color w:val="auto"/>
              </w:rPr>
            </w:pPr>
          </w:p>
        </w:tc>
        <w:tc>
          <w:tcPr>
            <w:tcW w:w="10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2.3</w:t>
            </w:r>
          </w:p>
        </w:tc>
      </w:tr>
      <w:tr>
        <w:trPr>
          <w:trHeight w:val="145"/>
        </w:trPr>
        <w:tc>
          <w:tcPr>
            <w:tcW w:w="8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net</w:t>
            </w:r>
          </w:p>
        </w:tc>
        <w:tc>
          <w:tcPr>
            <w:tcW w:w="3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(0.8)</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(1.7)</w:t>
            </w:r>
          </w:p>
        </w:tc>
      </w:tr>
      <w:tr>
        <w:trPr>
          <w:trHeight w:val="132"/>
        </w:trPr>
        <w:tc>
          <w:tcPr>
            <w:tcW w:w="8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Effective income tax rate</w:t>
            </w:r>
          </w:p>
        </w:tc>
        <w:tc>
          <w:tcPr>
            <w:tcW w:w="64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20.3 %</w:t>
            </w: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21.6 %</w:t>
            </w:r>
          </w:p>
        </w:tc>
        <w:tc>
          <w:tcPr>
            <w:tcW w:w="8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15.2 %</w:t>
            </w:r>
          </w:p>
        </w:tc>
      </w:tr>
      <w:tr>
        <w:trPr>
          <w:trHeight w:val="20"/>
        </w:trPr>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following table presents significant components of our deferred tax assets and liabilities as of December 31, 2022 and 2021. The valuation allowance below represents the adjustment of our foreign tax credit carryforward, certain state deferred tax assets and net operating loss carryforwards to the amount we have determined is more likely than not to be realized.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15.3: Significant Components of Deferred Tax Assets and Liabilities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7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4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60" w:type="dxa"/>
            <w:vAlign w:val="bottom"/>
          </w:tcPr>
          <w:p>
            <w:pPr>
              <w:spacing w:after="0"/>
              <w:rPr>
                <w:sz w:val="11"/>
                <w:szCs w:val="11"/>
                <w:color w:val="auto"/>
              </w:rPr>
            </w:pPr>
          </w:p>
        </w:tc>
        <w:tc>
          <w:tcPr>
            <w:tcW w:w="1080" w:type="dxa"/>
            <w:vAlign w:val="bottom"/>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41"/>
        </w:trPr>
        <w:tc>
          <w:tcPr>
            <w:tcW w:w="8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Deferred tax assets:</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r>
      <w:tr>
        <w:trPr>
          <w:trHeight w:val="14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3,025</w:t>
            </w: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2,657</w:t>
            </w:r>
          </w:p>
        </w:tc>
      </w:tr>
      <w:tr>
        <w:trPr>
          <w:trHeight w:val="145"/>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Security and loan valuations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2,497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Rewards programs</w:t>
            </w:r>
          </w:p>
        </w:tc>
        <w:tc>
          <w:tcPr>
            <w:tcW w:w="1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w:t>
            </w:r>
          </w:p>
        </w:tc>
      </w:tr>
      <w:tr>
        <w:trPr>
          <w:trHeight w:val="145"/>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unrealized loss on derivatives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689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Net operating loss and tax credit carryforwards</w:t>
            </w:r>
          </w:p>
        </w:tc>
        <w:tc>
          <w:tcPr>
            <w:tcW w:w="1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437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w:t>
            </w:r>
          </w:p>
        </w:tc>
      </w:tr>
      <w:tr>
        <w:trPr>
          <w:trHeight w:val="145"/>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Compensation and employee benefits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411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r>
      <w:tr>
        <w:trPr>
          <w:trHeight w:val="14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Lease liabilities</w:t>
            </w:r>
          </w:p>
        </w:tc>
        <w:tc>
          <w:tcPr>
            <w:tcW w:w="1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w:t>
            </w:r>
          </w:p>
        </w:tc>
      </w:tr>
      <w:tr>
        <w:trPr>
          <w:trHeight w:val="145"/>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Partnership investments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253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r>
      <w:tr>
        <w:trPr>
          <w:trHeight w:val="143"/>
        </w:trPr>
        <w:tc>
          <w:tcPr>
            <w:tcW w:w="87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507</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w:t>
            </w:r>
          </w:p>
        </w:tc>
      </w:tr>
      <w:tr>
        <w:trPr>
          <w:trHeight w:val="134"/>
        </w:trPr>
        <w:tc>
          <w:tcPr>
            <w:tcW w:w="8740" w:type="dxa"/>
            <w:vAlign w:val="bottom"/>
            <w:gridSpan w:val="2"/>
            <w:shd w:val="clear" w:color="auto" w:fill="CCEEFF"/>
          </w:tcPr>
          <w:p>
            <w:pPr>
              <w:ind w:left="300"/>
              <w:spacing w:after="0" w:line="121" w:lineRule="exact"/>
              <w:rPr>
                <w:sz w:val="20"/>
                <w:szCs w:val="20"/>
                <w:color w:val="auto"/>
              </w:rPr>
            </w:pPr>
            <w:r>
              <w:rPr>
                <w:rFonts w:ascii="Times New Roman" w:cs="Times New Roman" w:eastAsia="Times New Roman" w:hAnsi="Times New Roman"/>
                <w:sz w:val="11"/>
                <w:szCs w:val="11"/>
                <w:color w:val="auto"/>
              </w:rPr>
              <w:t>Subtotal</w:t>
            </w: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8,955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5,128</w:t>
            </w:r>
          </w:p>
        </w:tc>
      </w:tr>
      <w:tr>
        <w:trPr>
          <w:trHeight w:val="143"/>
        </w:trPr>
        <w:tc>
          <w:tcPr>
            <w:tcW w:w="8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Valuation allowance</w:t>
            </w: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(446)</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w:t>
            </w:r>
          </w:p>
        </w:tc>
      </w:tr>
      <w:tr>
        <w:trPr>
          <w:trHeight w:val="134"/>
        </w:trPr>
        <w:tc>
          <w:tcPr>
            <w:tcW w:w="874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deferred tax assets</w:t>
            </w:r>
          </w:p>
        </w:tc>
        <w:tc>
          <w:tcPr>
            <w:tcW w:w="1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8,509</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4,773</w:t>
            </w:r>
          </w:p>
        </w:tc>
      </w:tr>
      <w:tr>
        <w:trPr>
          <w:trHeight w:val="123"/>
        </w:trPr>
        <w:tc>
          <w:tcPr>
            <w:tcW w:w="87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Deferred tax liabilities:</w:t>
            </w: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5"/>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Right-of-use assets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284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r>
      <w:tr>
        <w:trPr>
          <w:trHeight w:val="14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Original issue discount</w:t>
            </w:r>
          </w:p>
        </w:tc>
        <w:tc>
          <w:tcPr>
            <w:tcW w:w="1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241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r>
      <w:tr>
        <w:trPr>
          <w:trHeight w:val="145"/>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Partnership investments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r>
      <w:tr>
        <w:trPr>
          <w:trHeight w:val="14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Mortgage servicing rights</w:t>
            </w:r>
          </w:p>
        </w:tc>
        <w:tc>
          <w:tcPr>
            <w:tcW w:w="1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45"/>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Security and loan valuations</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43"/>
        </w:trPr>
        <w:tc>
          <w:tcPr>
            <w:tcW w:w="8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Net unrealized gains on derivatives</w:t>
            </w:r>
          </w:p>
        </w:tc>
        <w:tc>
          <w:tcPr>
            <w:tcW w:w="140" w:type="dxa"/>
            <w:vAlign w:val="bottom"/>
          </w:tcPr>
          <w:p>
            <w:pPr>
              <w:spacing w:after="0"/>
              <w:rPr>
                <w:sz w:val="12"/>
                <w:szCs w:val="12"/>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45"/>
        </w:trPr>
        <w:tc>
          <w:tcPr>
            <w:tcW w:w="8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liabilities</w:t>
            </w:r>
          </w:p>
        </w:tc>
        <w:tc>
          <w:tcPr>
            <w:tcW w:w="1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111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r>
      <w:tr>
        <w:trPr>
          <w:trHeight w:val="132"/>
        </w:trPr>
        <w:tc>
          <w:tcPr>
            <w:tcW w:w="874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deferred tax liabilities</w:t>
            </w: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850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1,065</w:t>
            </w:r>
          </w:p>
        </w:tc>
      </w:tr>
      <w:tr>
        <w:trPr>
          <w:trHeight w:val="153"/>
        </w:trPr>
        <w:tc>
          <w:tcPr>
            <w:tcW w:w="8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deferred tax assets</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7,659</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3,708</w:t>
            </w:r>
          </w:p>
        </w:tc>
      </w:tr>
      <w:tr>
        <w:trPr>
          <w:trHeight w:val="204"/>
        </w:trPr>
        <w:tc>
          <w:tcPr>
            <w:tcW w:w="8640" w:type="dxa"/>
            <w:vAlign w:val="bottom"/>
          </w:tcPr>
          <w:p>
            <w:pPr>
              <w:spacing w:after="0"/>
              <w:rPr>
                <w:sz w:val="20"/>
                <w:szCs w:val="20"/>
                <w:color w:val="auto"/>
              </w:rPr>
            </w:pPr>
            <w:r>
              <w:rPr>
                <w:rFonts w:ascii="Times New Roman" w:cs="Times New Roman" w:eastAsia="Times New Roman" w:hAnsi="Times New Roman"/>
                <w:sz w:val="12"/>
                <w:szCs w:val="12"/>
                <w:color w:val="auto"/>
              </w:rPr>
              <w:t>_________</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93"/>
        </w:trPr>
        <w:tc>
          <w:tcPr>
            <w:tcW w:w="8640" w:type="dxa"/>
            <w:vAlign w:val="bottom"/>
          </w:tcPr>
          <w:p>
            <w:pPr>
              <w:ind w:left="5560"/>
              <w:spacing w:after="0"/>
              <w:rPr>
                <w:sz w:val="20"/>
                <w:szCs w:val="20"/>
                <w:color w:val="auto"/>
              </w:rPr>
            </w:pPr>
            <w:r>
              <w:rPr>
                <w:rFonts w:ascii="Times New Roman" w:cs="Times New Roman" w:eastAsia="Times New Roman" w:hAnsi="Times New Roman"/>
                <w:sz w:val="10"/>
                <w:szCs w:val="10"/>
                <w:color w:val="auto"/>
              </w:rPr>
              <w:t>185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Capital One Financial Corporation (COF)</w:t>
            </w:r>
          </w:p>
        </w:tc>
      </w:tr>
      <w:tr>
        <w:trPr>
          <w:trHeight w:val="224"/>
        </w:trPr>
        <w:tc>
          <w:tcPr>
            <w:tcW w:w="8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3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Our gross federal net operating loss carryforwards were $13 million and $25 million as of December 31, 2022 and 2021, respectively. These operating loss carryforwards were attributable to acquisitions, and none of the $13 million of operating loss carryforwards are subject to expiration. Under IRS rules, our ability to utilize these losses against future income is limited. The net tax values of our state net operating loss carryforwards were $267 million and $258 million as of December 31, 2022 and 2021, respectively, and they will expire from 2023 to 2041. Our foreign tax credit carryforwards were $166 million and $91 million as of December 31, 2022 and 2021, respectively, and they will expire from 2028 to 2032.</w:t>
      </w:r>
    </w:p>
    <w:p>
      <w:pPr>
        <w:spacing w:after="0" w:line="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valuation allowance increased by $91 million to $446 million as of December 31, 2022 compared to $355 million as of December 31, 2021. Of the total increase, $75 million is related to the current year increase in our foreign tax credit carryforwards that will not be realized prior to expiration and $15 million is related to reducing state net operating losses and interest carryforwards to the amount we have determined is more likely than not to be realized.</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recognize accrued interest and penalties related to income taxes as a component of income tax expense. We recognized a $1 million and $30 million tax benefit in 2022 and 2021, respectively, and $16 million of such expense in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accrued balance of tax, interest and penalties related to unrecognized tax benefits.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15.4: Reconciliation of the Change in Unrecognized Tax Benefits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left="229"/>
              <w:spacing w:after="0"/>
              <w:rPr>
                <w:sz w:val="20"/>
                <w:szCs w:val="20"/>
                <w:color w:val="auto"/>
              </w:rPr>
            </w:pPr>
            <w:r>
              <w:rPr>
                <w:rFonts w:ascii="Times New Roman" w:cs="Times New Roman" w:eastAsia="Times New Roman" w:hAnsi="Times New Roman"/>
                <w:sz w:val="10"/>
                <w:szCs w:val="10"/>
                <w:b w:val="1"/>
                <w:bCs w:val="1"/>
                <w:color w:val="auto"/>
                <w:w w:val="99"/>
              </w:rPr>
              <w:t>Accrued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jc w:val="center"/>
              <w:ind w:right="167"/>
              <w:spacing w:after="0"/>
              <w:rPr>
                <w:sz w:val="20"/>
                <w:szCs w:val="20"/>
                <w:color w:val="auto"/>
              </w:rPr>
            </w:pPr>
            <w:r>
              <w:rPr>
                <w:rFonts w:ascii="Times New Roman" w:cs="Times New Roman" w:eastAsia="Times New Roman" w:hAnsi="Times New Roman"/>
                <w:sz w:val="10"/>
                <w:szCs w:val="10"/>
                <w:b w:val="1"/>
                <w:bCs w:val="1"/>
                <w:color w:val="auto"/>
                <w:w w:val="94"/>
              </w:rPr>
              <w:t>Gross Tax,</w:t>
            </w:r>
          </w:p>
        </w:tc>
        <w:tc>
          <w:tcPr>
            <w:tcW w:w="0" w:type="dxa"/>
            <w:vAlign w:val="bottom"/>
          </w:tcPr>
          <w:p>
            <w:pPr>
              <w:spacing w:after="0"/>
              <w:rPr>
                <w:sz w:val="1"/>
                <w:szCs w:val="1"/>
                <w:color w:val="auto"/>
              </w:rPr>
            </w:pPr>
          </w:p>
        </w:tc>
      </w:tr>
      <w:tr>
        <w:trPr>
          <w:trHeight w:val="97"/>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940" w:type="dxa"/>
            <w:vAlign w:val="bottom"/>
          </w:tcPr>
          <w:p>
            <w:pPr>
              <w:jc w:val="center"/>
              <w:ind w:left="249"/>
              <w:spacing w:after="0" w:line="98" w:lineRule="exact"/>
              <w:rPr>
                <w:sz w:val="20"/>
                <w:szCs w:val="20"/>
                <w:color w:val="auto"/>
              </w:rPr>
            </w:pPr>
            <w:r>
              <w:rPr>
                <w:rFonts w:ascii="Times New Roman" w:cs="Times New Roman" w:eastAsia="Times New Roman" w:hAnsi="Times New Roman"/>
                <w:sz w:val="10"/>
                <w:szCs w:val="10"/>
                <w:b w:val="1"/>
                <w:bCs w:val="1"/>
                <w:color w:val="auto"/>
                <w:w w:val="95"/>
              </w:rPr>
              <w:t>Unrecognized</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jc w:val="center"/>
              <w:ind w:left="229"/>
              <w:spacing w:after="0" w:line="98" w:lineRule="exact"/>
              <w:rPr>
                <w:sz w:val="20"/>
                <w:szCs w:val="20"/>
                <w:color w:val="auto"/>
              </w:rPr>
            </w:pPr>
            <w:r>
              <w:rPr>
                <w:rFonts w:ascii="Times New Roman" w:cs="Times New Roman" w:eastAsia="Times New Roman" w:hAnsi="Times New Roman"/>
                <w:sz w:val="10"/>
                <w:szCs w:val="10"/>
                <w:b w:val="1"/>
                <w:bCs w:val="1"/>
                <w:color w:val="auto"/>
                <w:w w:val="92"/>
              </w:rPr>
              <w:t>Interest and</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167"/>
              <w:spacing w:after="0" w:line="98" w:lineRule="exact"/>
              <w:rPr>
                <w:sz w:val="20"/>
                <w:szCs w:val="20"/>
                <w:color w:val="auto"/>
              </w:rPr>
            </w:pPr>
            <w:r>
              <w:rPr>
                <w:rFonts w:ascii="Times New Roman" w:cs="Times New Roman" w:eastAsia="Times New Roman" w:hAnsi="Times New Roman"/>
                <w:sz w:val="10"/>
                <w:szCs w:val="10"/>
                <w:b w:val="1"/>
                <w:bCs w:val="1"/>
                <w:color w:val="auto"/>
                <w:w w:val="92"/>
              </w:rPr>
              <w:t>Interest and</w:t>
            </w:r>
          </w:p>
        </w:tc>
        <w:tc>
          <w:tcPr>
            <w:tcW w:w="0" w:type="dxa"/>
            <w:vAlign w:val="bottom"/>
          </w:tcPr>
          <w:p>
            <w:pPr>
              <w:spacing w:after="0"/>
              <w:rPr>
                <w:sz w:val="1"/>
                <w:szCs w:val="1"/>
                <w:color w:val="auto"/>
              </w:rPr>
            </w:pPr>
          </w:p>
        </w:tc>
      </w:tr>
      <w:tr>
        <w:trPr>
          <w:trHeight w:val="130"/>
        </w:trPr>
        <w:tc>
          <w:tcPr>
            <w:tcW w:w="7280" w:type="dxa"/>
            <w:vAlign w:val="bottom"/>
            <w:gridSpan w:val="2"/>
            <w:vMerge w:val="continue"/>
          </w:tcPr>
          <w:p>
            <w:pPr>
              <w:spacing w:after="0"/>
              <w:rPr>
                <w:sz w:val="11"/>
                <w:szCs w:val="11"/>
                <w:color w:val="auto"/>
              </w:rPr>
            </w:pP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0"/>
                <w:szCs w:val="10"/>
                <w:b w:val="1"/>
                <w:bCs w:val="1"/>
                <w:color w:val="auto"/>
                <w:w w:val="96"/>
              </w:rPr>
              <w:t>Tax Benefits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left="229"/>
              <w:spacing w:after="0"/>
              <w:rPr>
                <w:sz w:val="20"/>
                <w:szCs w:val="20"/>
                <w:color w:val="auto"/>
              </w:rPr>
            </w:pPr>
            <w:r>
              <w:rPr>
                <w:rFonts w:ascii="Times New Roman" w:cs="Times New Roman" w:eastAsia="Times New Roman" w:hAnsi="Times New Roman"/>
                <w:sz w:val="10"/>
                <w:szCs w:val="10"/>
                <w:b w:val="1"/>
                <w:bCs w:val="1"/>
                <w:color w:val="auto"/>
                <w:w w:val="93"/>
              </w:rPr>
              <w:t>Penalties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right="167"/>
              <w:spacing w:after="0"/>
              <w:rPr>
                <w:sz w:val="20"/>
                <w:szCs w:val="20"/>
                <w:color w:val="auto"/>
              </w:rPr>
            </w:pPr>
            <w:r>
              <w:rPr>
                <w:rFonts w:ascii="Times New Roman" w:cs="Times New Roman" w:eastAsia="Times New Roman" w:hAnsi="Times New Roman"/>
                <w:sz w:val="10"/>
                <w:szCs w:val="10"/>
                <w:b w:val="1"/>
                <w:bCs w:val="1"/>
                <w:color w:val="auto"/>
                <w:w w:val="93"/>
              </w:rPr>
              <w:t>Penalties</w:t>
            </w:r>
          </w:p>
        </w:tc>
        <w:tc>
          <w:tcPr>
            <w:tcW w:w="0" w:type="dxa"/>
            <w:vAlign w:val="bottom"/>
          </w:tcPr>
          <w:p>
            <w:pPr>
              <w:spacing w:after="0"/>
              <w:rPr>
                <w:sz w:val="1"/>
                <w:szCs w:val="1"/>
                <w:color w:val="auto"/>
              </w:rPr>
            </w:pPr>
          </w:p>
        </w:tc>
      </w:tr>
      <w:tr>
        <w:trPr>
          <w:trHeight w:val="138"/>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as of January 1, 2020</w:t>
            </w: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0" w:type="dxa"/>
            <w:vAlign w:val="bottom"/>
          </w:tcPr>
          <w:p>
            <w:pPr>
              <w:spacing w:after="0"/>
              <w:rPr>
                <w:sz w:val="1"/>
                <w:szCs w:val="1"/>
                <w:color w:val="auto"/>
              </w:rPr>
            </w:pPr>
          </w:p>
        </w:tc>
      </w:tr>
      <w:tr>
        <w:trPr>
          <w:trHeight w:val="142"/>
        </w:trPr>
        <w:tc>
          <w:tcPr>
            <w:tcW w:w="7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Additions for tax positions related to the current year</w:t>
            </w:r>
          </w:p>
        </w:tc>
        <w:tc>
          <w:tcPr>
            <w:tcW w:w="9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4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Additions for tax positions related to prior years</w:t>
            </w: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Reductions for tax positions related to prior years due to IRS and other settlements</w:t>
            </w:r>
          </w:p>
        </w:tc>
        <w:tc>
          <w:tcPr>
            <w:tcW w:w="9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5"/>
        </w:trPr>
        <w:tc>
          <w:tcPr>
            <w:tcW w:w="72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Balance as of December 31, 2020</w:t>
            </w:r>
          </w:p>
        </w:tc>
        <w:tc>
          <w:tcPr>
            <w:tcW w:w="9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0" w:type="dxa"/>
            <w:vAlign w:val="bottom"/>
          </w:tcPr>
          <w:p>
            <w:pPr>
              <w:spacing w:after="0"/>
              <w:rPr>
                <w:sz w:val="1"/>
                <w:szCs w:val="1"/>
                <w:color w:val="auto"/>
              </w:rPr>
            </w:pPr>
          </w:p>
        </w:tc>
      </w:tr>
      <w:tr>
        <w:trPr>
          <w:trHeight w:val="142"/>
        </w:trPr>
        <w:tc>
          <w:tcPr>
            <w:tcW w:w="7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Additions for tax positions related to prior years</w:t>
            </w:r>
          </w:p>
        </w:tc>
        <w:tc>
          <w:tcPr>
            <w:tcW w:w="9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4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Reductions for tax positions related to prior years due to IRS and other settlements</w:t>
            </w:r>
          </w:p>
        </w:tc>
        <w:tc>
          <w:tcPr>
            <w:tcW w:w="9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0" w:type="dxa"/>
            <w:vAlign w:val="bottom"/>
          </w:tcPr>
          <w:p>
            <w:pPr>
              <w:spacing w:after="0"/>
              <w:rPr>
                <w:sz w:val="1"/>
                <w:szCs w:val="1"/>
                <w:color w:val="auto"/>
              </w:rPr>
            </w:pPr>
          </w:p>
        </w:tc>
      </w:tr>
      <w:tr>
        <w:trPr>
          <w:trHeight w:val="131"/>
        </w:trPr>
        <w:tc>
          <w:tcPr>
            <w:tcW w:w="728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Balance as of December 31, 2021</w:t>
            </w:r>
          </w:p>
        </w:tc>
        <w:tc>
          <w:tcPr>
            <w:tcW w:w="9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0" w:type="dxa"/>
            <w:vAlign w:val="bottom"/>
          </w:tcPr>
          <w:p>
            <w:pPr>
              <w:spacing w:after="0"/>
              <w:rPr>
                <w:sz w:val="1"/>
                <w:szCs w:val="1"/>
                <w:color w:val="auto"/>
              </w:rPr>
            </w:pPr>
          </w:p>
        </w:tc>
      </w:tr>
      <w:tr>
        <w:trPr>
          <w:trHeight w:val="14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Additions for tax positions related to the current year</w:t>
            </w: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0" w:type="dxa"/>
            <w:vAlign w:val="bottom"/>
          </w:tcPr>
          <w:p>
            <w:pPr>
              <w:spacing w:after="0"/>
              <w:rPr>
                <w:sz w:val="1"/>
                <w:szCs w:val="1"/>
                <w:color w:val="auto"/>
              </w:rPr>
            </w:pPr>
          </w:p>
        </w:tc>
      </w:tr>
      <w:tr>
        <w:trPr>
          <w:trHeight w:val="143"/>
        </w:trPr>
        <w:tc>
          <w:tcPr>
            <w:tcW w:w="7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Additions for tax positions related to prior years</w:t>
            </w:r>
          </w:p>
        </w:tc>
        <w:tc>
          <w:tcPr>
            <w:tcW w:w="9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w:t>
            </w:r>
          </w:p>
        </w:tc>
        <w:tc>
          <w:tcPr>
            <w:tcW w:w="0" w:type="dxa"/>
            <w:vAlign w:val="bottom"/>
          </w:tcPr>
          <w:p>
            <w:pPr>
              <w:spacing w:after="0"/>
              <w:rPr>
                <w:sz w:val="1"/>
                <w:szCs w:val="1"/>
                <w:color w:val="auto"/>
              </w:rPr>
            </w:pPr>
          </w:p>
        </w:tc>
      </w:tr>
      <w:tr>
        <w:trPr>
          <w:trHeight w:val="145"/>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Reductions for tax positions related to prior years due to IRS and other settlements</w:t>
            </w:r>
          </w:p>
        </w:tc>
        <w:tc>
          <w:tcPr>
            <w:tcW w:w="9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(381)</w:t>
            </w:r>
          </w:p>
        </w:tc>
        <w:tc>
          <w:tcPr>
            <w:tcW w:w="1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(391)</w:t>
            </w:r>
          </w:p>
        </w:tc>
        <w:tc>
          <w:tcPr>
            <w:tcW w:w="0" w:type="dxa"/>
            <w:vAlign w:val="bottom"/>
          </w:tcPr>
          <w:p>
            <w:pPr>
              <w:spacing w:after="0"/>
              <w:rPr>
                <w:sz w:val="1"/>
                <w:szCs w:val="1"/>
                <w:color w:val="auto"/>
              </w:rPr>
            </w:pPr>
          </w:p>
        </w:tc>
      </w:tr>
      <w:tr>
        <w:trPr>
          <w:trHeight w:val="149"/>
        </w:trPr>
        <w:tc>
          <w:tcPr>
            <w:tcW w:w="7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Balance as of December 31, 2022</w:t>
            </w:r>
          </w:p>
        </w:tc>
        <w:tc>
          <w:tcPr>
            <w:tcW w:w="94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41</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w:t>
            </w:r>
          </w:p>
        </w:tc>
        <w:tc>
          <w:tcPr>
            <w:tcW w:w="0" w:type="dxa"/>
            <w:vAlign w:val="bottom"/>
          </w:tcPr>
          <w:p>
            <w:pPr>
              <w:spacing w:after="0"/>
              <w:rPr>
                <w:sz w:val="1"/>
                <w:szCs w:val="1"/>
                <w:color w:val="auto"/>
              </w:rPr>
            </w:pPr>
          </w:p>
        </w:tc>
      </w:tr>
      <w:tr>
        <w:trPr>
          <w:trHeight w:val="144"/>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Portion of balance at December 31, 2022 that, if recognized, would impact the effective income tax rate</w:t>
            </w:r>
          </w:p>
        </w:tc>
        <w:tc>
          <w:tcPr>
            <w:tcW w:w="94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We are subject to examination by the IRS and other tax authorities in certain countries and states in which we operate. The tax years subject to examination vary by jurisdiction. During 2022, we continued to participate in the IRS Compliance Assurance Process (“CAP”) for our open federal income tax return years and have been accepted into CAP for 2023. During 2022, the IRS review of our 2017, 2018, 2019, and 2020 federal income tax returns was completed, with the Company due a net refund of tax and interest and these years are now closed. We expect that the IRS review of our 2021 federal income tax return will be completed in 2023, as only one issue remains under review post-filing. We also expect that the IRS review of our 2022 federal income tax return will be substantially completed in 2023 prior to its filing.</w:t>
      </w:r>
    </w:p>
    <w:p>
      <w:pPr>
        <w:spacing w:after="0" w:line="8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It is reasonably possible that further adjustments to the Company’s unrecognized tax benefits may be made within 12 months of the reporting date as a result of future judicial or regulatory interpretations of existing tax laws. At this time, an estimate of the potential changes to the amount of unrecognized tax benefits cannot be made.</w:t>
      </w:r>
    </w:p>
    <w:p>
      <w:pPr>
        <w:spacing w:after="0" w:line="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2022, the Company had approximately $1.7 billion of unremitted earnings of subsidiaries operating outside the U.S. that upon repatriation would have no additional U.S. income taxes. In accordance with the guidance for accounting for income taxes in special areas, nearly all these earnings are considered by management to be invested indefinitely.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186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720344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December 31, 2022, U.S. income taxes of $69 million have not been provided for approximately $287 million of previously acquired thrift bad debt reserves created for tax purposes as of December 31, 1987. These amounts, acquired as a result of previous mergers and acquisitions, are subject to recapture in the unlikely event that CONA, as the successor to the merged and acquired entities, makes distributions in excess of earnings and profits, redeems its stock or liquidates.</w:t>
      </w:r>
    </w:p>
    <w:p>
      <w:pPr>
        <w:spacing w:after="0" w:line="200" w:lineRule="exact"/>
        <w:rPr>
          <w:sz w:val="20"/>
          <w:szCs w:val="20"/>
          <w:color w:val="auto"/>
        </w:rPr>
      </w:pPr>
    </w:p>
    <w:p>
      <w:pPr>
        <w:spacing w:after="0" w:line="37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187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Fair value, also referred to as an exit price, is defined as the price that would be received for an asset or paid to transfer a liability in an orderly transaction between market participants on the measurement date. The fair value accounting guidance provides a three-level fair value hierarchy for classifying financial instruments. This hierarchy is based on the markets in which the assets or liabilities trade and whether the inputs to the valuation techniques used to measure fair value are observable or unobservable. The fair value measurement of a financial asset or liability is assigned a level based on the lowest level of any input that is significant to the fair value measurement in its entirety. The three levels of the fair value hierarchy are described below:</w:t>
      </w:r>
    </w:p>
    <w:p>
      <w:pPr>
        <w:sectPr>
          <w:pgSz w:w="11900" w:h="16838" w:orient="portrait"/>
          <w:cols w:equalWidth="0" w:num="1">
            <w:col w:w="11300"/>
          </w:cols>
          <w:pgMar w:left="300" w:top="126" w:right="29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 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 3:</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Valuation is based on quoted prices (unadjusted) in active markets for identical assets or liabilities.</w:t>
      </w:r>
    </w:p>
    <w:p>
      <w:pPr>
        <w:spacing w:after="0" w:line="4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Valuation is based on observable market-based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Valuation is generated from techniques that use significant assumptions not observable in the market. Valuation techniques include pricing models, discounted cash flow methodologies or similar techniques.</w:t>
      </w:r>
    </w:p>
    <w:p>
      <w:pPr>
        <w:spacing w:after="0" w:line="78" w:lineRule="exact"/>
        <w:rPr>
          <w:sz w:val="20"/>
          <w:szCs w:val="20"/>
          <w:color w:val="auto"/>
        </w:rPr>
      </w:pPr>
    </w:p>
    <w:p>
      <w:pPr>
        <w:sectPr>
          <w:pgSz w:w="11900" w:h="16838" w:orient="portrait"/>
          <w:cols w:equalWidth="0" w:num="2">
            <w:col w:w="400" w:space="620"/>
            <w:col w:w="10280"/>
          </w:cols>
          <w:pgMar w:left="300" w:top="126" w:right="299" w:bottom="1440" w:gutter="0" w:footer="0" w:header="0"/>
          <w:type w:val="continuous"/>
        </w:sect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accounting guidance for fair value measurements requires that we maximize the use of observable inputs and minimize the use of unobservable inputs in determining fair value. We consider all available information, including observable market data, indications of market liquidity and orderliness, and our understanding of the valuation techniques and significant inputs. Based upon the specific facts and circumstances of each instrument or instrument category, judgments are made regarding the significance of the observable or unobservable inputs to the instruments’ fair value measurement in its entirety. If unobservable inputs are considered significant, the instrument is classified as Level 3. The process for determining fair value using unobservable inputs is generally more subjective and involves a high degree of management judgment and assumptions. The accounting guidance provides for the irrevocable option to elect, on a contract-by-contract basis, to measure certain financial assets and liabilities at fair value at inception of the contract and record any subsequent changes in fair value in earnings.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Assets and Liabilities Measured at Fair Value on a Recurring Basis</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following describes the valuation techniques used in estimating the fair value of our financial assets and liabilities recorded at fair value on a recurring basis. The determination of the leveling of financial instruments in the fair value hierarchy is performed at the end of each reporting period.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Securities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measure the fair value of our U.S. Treasury securities using quoted prices in active markets. For the majority of securities in other investment categories, we utilize multiple vendor pricing services to obtain fair value measurements. We use a waterfall of pricing vendors determined using our annual assessment of pricing service performance. A pricing service may be considered as the preferred or primary pricing provider depending on how closely aligned its prices are to other vendor prices, and how consistent the prices are with other available market information. The price of each security is confirmed by comparing such price to other vendor prices before it is finalized.</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RMBS and CMBS are generally classified as Level 2 or 3. When significant assumptions are not consistently observable, fair values are derived using the best available data. Such data may include quotes provided by dealers, valuation from external pricing services, independent pricing models, or other model-based valuation techniques, for example, calculation of the present values of future cash flows incorporating assumptions such as benchmark yields, spreads, prepayment speeds, credit ratings and losses. Generally, the external pricing services utilize observable market data to the extent available. Pricing models may be used, which can vary by asset class, and may also incorporate available trade, bid and other market information. Across asset classes, information such as trader/dealer inputs, credit spreads, forward curves and prepayment speeds are used to help determine appropriate valuations. Because many fixed income securities do not trade on a daily basis, the pricing models may apply available information through processes such as benchmarking curves, grouping securities based on their characteristics and using matrix pricing to prepare valuations. In addition, model processes are used by the pricing services to develop prepayment assumptions.</w:t>
      </w:r>
    </w:p>
    <w:p>
      <w:pPr>
        <w:spacing w:after="0" w:line="200" w:lineRule="exact"/>
        <w:rPr>
          <w:sz w:val="20"/>
          <w:szCs w:val="20"/>
          <w:color w:val="auto"/>
        </w:rPr>
      </w:pPr>
    </w:p>
    <w:p>
      <w:pPr>
        <w:spacing w:after="0" w:line="389"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188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720344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validate the pricing obtained from the primary pricing providers through comparison of pricing to additional sources, including other pricing services, dealer pricing indications in transaction results and other internal sources. Pricing variances among different pricing sources are analyzed. Additionally, on an on-going basis, we request more detailed information from the valuation vendors to understand the pricing methodology and assumptions used to value the securities.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Derivative Assets and Liabilities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We use both exchange-traded and OTC derivatives to manage our interest rate, foreign currency and commodity risk exposures. When quoted market prices are available and used to value our exchange-traded derivatives, we classify them as Level 1. However, the majority of our derivatives do not have readily available quoted market prices. Therefore, we value most of our derivatives using vendor-based models. We primarily rely on market observable inputs for these models, including, for example, interest rate yield curves, credit curves, option volatility and currency rates. These inputs can vary depending on the type of derivatives and nature of the underlying rate, price or index upon which the value of the derivative is based. We typically classify derivatives as Level 2 when significant inputs can be observed in a liquid market and the model itself does not require significant judgment. When instruments are traded in less liquid markets and significant inputs are unobservable, such as interest rate swaps whose remaining terms do not correlate with market observable interest rate yield curves, such derivatives are classified as Level 3. We consider the impact of credit risk valuation adjustments when measuring the fair value of derivative contracts in order to reflect the credit quality of the counterparty and our own credit quality. Our internal pricing is compared against additional pricing sources such as external valuation agents and other internal sources. Pricing variances among different pricing sources are analyzed and validated. These derivatives are included in other assets or other liabilities on our consolidated balance sheets.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Loans Held for Sale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our commercial business, we originate multifamily commercial real estate loans with the intent to sell them to GSEs. We elect the fair value option for such loans as part of our management of interest rate risk in our multifamily agency business. These held for sale loans are valued based on market observable inputs and are therefore classified as Level 2. Unrealized gains and losses on these loans are recorded in other non-interest income in our consolidated statements of income.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Retained Interests in Securitizations</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have retained interests in various mortgage securitizations from previous acquisitions. Our retained interests primarily include interest-only bonds and negative amortization bonds. We record these retained interests at fair value using market indications and valuation models to calculate the present value of future cash flows. Due to the use of significant unobservable inputs such as prepayment and discount rate assumptions, retained interests in securitizations are classified as Level 3 under the fair value hierarchy.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Deferred Compensation Plan Assets</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offer a voluntary non-qualified deferred compensation plan to eligible associates. In addition to participant deferrals, we make contributions to the plan. Participants invest these contributions in a variety of publicly traded mutual funds. The plan assets, which consist of publicly traded mutual funds, are classified as Level 1.</w:t>
      </w:r>
    </w:p>
    <w:p>
      <w:pPr>
        <w:spacing w:after="0" w:line="200" w:lineRule="exact"/>
        <w:rPr>
          <w:sz w:val="20"/>
          <w:szCs w:val="20"/>
          <w:color w:val="auto"/>
        </w:rPr>
      </w:pPr>
    </w:p>
    <w:p>
      <w:pPr>
        <w:spacing w:after="0" w:line="36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189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0" w:name="page191"/>
    <w:bookmarkEnd w:id="190"/>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displays our assets and liabilities measured on our consolidated balance sheets at fair value on a recurring basis as of December 31, 2022 and 2021.</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16.1: Assets and Liabilities Measured at Fair Value on a Recurring Basis</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23"/>
        </w:trPr>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6"/>
          </w:tcPr>
          <w:p>
            <w:pPr>
              <w:jc w:val="center"/>
              <w:ind w:left="487"/>
              <w:spacing w:after="0"/>
              <w:rPr>
                <w:sz w:val="20"/>
                <w:szCs w:val="20"/>
                <w:color w:val="auto"/>
              </w:rPr>
            </w:pPr>
            <w:r>
              <w:rPr>
                <w:rFonts w:ascii="Times New Roman" w:cs="Times New Roman" w:eastAsia="Times New Roman" w:hAnsi="Times New Roman"/>
                <w:sz w:val="10"/>
                <w:szCs w:val="10"/>
                <w:b w:val="1"/>
                <w:bCs w:val="1"/>
                <w:color w:val="auto"/>
                <w:w w:val="94"/>
              </w:rPr>
              <w:t>Fair Value Measurements Using</w:t>
            </w: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4"/>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80" w:type="dxa"/>
            <w:vAlign w:val="bottom"/>
          </w:tcPr>
          <w:p>
            <w:pPr>
              <w:spacing w:after="0"/>
              <w:rPr>
                <w:sz w:val="11"/>
                <w:szCs w:val="11"/>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180" w:type="dxa"/>
            <w:vAlign w:val="bottom"/>
          </w:tcPr>
          <w:p>
            <w:pPr>
              <w:spacing w:after="0"/>
              <w:rPr>
                <w:sz w:val="11"/>
                <w:szCs w:val="11"/>
                <w:color w:val="auto"/>
              </w:rPr>
            </w:pPr>
          </w:p>
        </w:tc>
        <w:tc>
          <w:tcPr>
            <w:tcW w:w="72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0"/>
                <w:szCs w:val="10"/>
                <w:b w:val="1"/>
                <w:bCs w:val="1"/>
                <w:color w:val="auto"/>
              </w:rPr>
              <w:t>Netting Adjustments</w:t>
            </w:r>
            <w:r>
              <w:rPr>
                <w:rFonts w:ascii="Times New Roman" w:cs="Times New Roman" w:eastAsia="Times New Roman" w:hAnsi="Times New Roman"/>
                <w:sz w:val="12"/>
                <w:szCs w:val="12"/>
                <w:b w:val="1"/>
                <w:bCs w:val="1"/>
                <w:color w:val="auto"/>
                <w:vertAlign w:val="superscript"/>
              </w:rPr>
              <w:t>(1)</w:t>
            </w:r>
          </w:p>
        </w:tc>
        <w:tc>
          <w:tcPr>
            <w:tcW w:w="220" w:type="dxa"/>
            <w:vAlign w:val="bottom"/>
          </w:tcPr>
          <w:p>
            <w:pPr>
              <w:spacing w:after="0"/>
              <w:rPr>
                <w:sz w:val="11"/>
                <w:szCs w:val="11"/>
                <w:color w:val="auto"/>
              </w:rPr>
            </w:pPr>
          </w:p>
        </w:tc>
        <w:tc>
          <w:tcPr>
            <w:tcW w:w="70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3"/>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r>
      <w:tr>
        <w:trPr>
          <w:trHeight w:val="142"/>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U.S. Treasury securities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5,041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5,041</w:t>
            </w:r>
          </w:p>
        </w:tc>
      </w:tr>
      <w:tr>
        <w:trPr>
          <w:trHeight w:val="1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RMBS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62,353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62,589</w:t>
            </w:r>
          </w:p>
        </w:tc>
      </w:tr>
      <w:tr>
        <w:trPr>
          <w:trHeight w:val="145"/>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CMBS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7,728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7,870</w:t>
            </w:r>
          </w:p>
        </w:tc>
      </w:tr>
      <w:tr>
        <w:trPr>
          <w:trHeight w:val="143"/>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Other securities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1,233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1,419</w:t>
            </w:r>
          </w:p>
        </w:tc>
      </w:tr>
      <w:tr>
        <w:trPr>
          <w:trHeight w:val="134"/>
        </w:trPr>
        <w:tc>
          <w:tcPr>
            <w:tcW w:w="5980" w:type="dxa"/>
            <w:vAlign w:val="bottom"/>
            <w:tcBorders>
              <w:top w:val="single" w:sz="8" w:color="CCEEFF"/>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securities available for sale</w:t>
            </w: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5,227</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71,314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76,919</w:t>
            </w:r>
          </w:p>
        </w:tc>
      </w:tr>
      <w:tr>
        <w:trPr>
          <w:trHeight w:val="143"/>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sale</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191</w:t>
            </w:r>
          </w:p>
        </w:tc>
      </w:tr>
      <w:tr>
        <w:trPr>
          <w:trHeight w:val="145"/>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4"/>
        </w:trPr>
        <w:tc>
          <w:tcPr>
            <w:tcW w:w="5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Derivative assets</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79</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(1,134)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1,964</w:t>
            </w:r>
          </w:p>
        </w:tc>
      </w:tr>
      <w:tr>
        <w:trPr>
          <w:trHeight w:val="144"/>
        </w:trPr>
        <w:tc>
          <w:tcPr>
            <w:tcW w:w="5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503</w:t>
            </w:r>
          </w:p>
        </w:tc>
      </w:tr>
      <w:tr>
        <w:trPr>
          <w:trHeight w:val="149"/>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6,165</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74,053</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493</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(1,134)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79,577</w:t>
            </w:r>
          </w:p>
        </w:tc>
      </w:tr>
      <w:tr>
        <w:trPr>
          <w:trHeight w:val="126"/>
        </w:trPr>
        <w:tc>
          <w:tcPr>
            <w:tcW w:w="59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2"/>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6"/>
        </w:trPr>
        <w:tc>
          <w:tcPr>
            <w:tcW w:w="5980" w:type="dxa"/>
            <w:vAlign w:val="bottom"/>
            <w:gridSpan w:val="2"/>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Derivative liabilities</w:t>
            </w:r>
            <w:r>
              <w:rPr>
                <w:rFonts w:ascii="Times New Roman" w:cs="Times New Roman" w:eastAsia="Times New Roman" w:hAnsi="Times New Roman"/>
                <w:sz w:val="14"/>
                <w:szCs w:val="14"/>
                <w:color w:val="auto"/>
                <w:vertAlign w:val="superscript"/>
              </w:rPr>
              <w:t>(2)</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823</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3,653</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(1,235)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3,315</w:t>
            </w:r>
          </w:p>
        </w:tc>
      </w:tr>
      <w:tr>
        <w:trPr>
          <w:trHeight w:val="132"/>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823</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3,653</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(1,235)</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3,315</w:t>
            </w: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0"/>
        </w:trPr>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123"/>
        </w:trPr>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6"/>
          </w:tcPr>
          <w:p>
            <w:pPr>
              <w:jc w:val="center"/>
              <w:ind w:left="487"/>
              <w:spacing w:after="0"/>
              <w:rPr>
                <w:sz w:val="20"/>
                <w:szCs w:val="20"/>
                <w:color w:val="auto"/>
              </w:rPr>
            </w:pPr>
            <w:r>
              <w:rPr>
                <w:rFonts w:ascii="Times New Roman" w:cs="Times New Roman" w:eastAsia="Times New Roman" w:hAnsi="Times New Roman"/>
                <w:sz w:val="10"/>
                <w:szCs w:val="10"/>
                <w:b w:val="1"/>
                <w:bCs w:val="1"/>
                <w:color w:val="auto"/>
                <w:w w:val="94"/>
              </w:rPr>
              <w:t>Fair Value Measurements Using</w:t>
            </w: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4"/>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80" w:type="dxa"/>
            <w:vAlign w:val="bottom"/>
          </w:tcPr>
          <w:p>
            <w:pPr>
              <w:spacing w:after="0"/>
              <w:rPr>
                <w:sz w:val="11"/>
                <w:szCs w:val="11"/>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180" w:type="dxa"/>
            <w:vAlign w:val="bottom"/>
          </w:tcPr>
          <w:p>
            <w:pPr>
              <w:spacing w:after="0"/>
              <w:rPr>
                <w:sz w:val="11"/>
                <w:szCs w:val="11"/>
                <w:color w:val="auto"/>
              </w:rPr>
            </w:pPr>
          </w:p>
        </w:tc>
        <w:tc>
          <w:tcPr>
            <w:tcW w:w="720" w:type="dxa"/>
            <w:vAlign w:val="bottom"/>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0"/>
                <w:szCs w:val="10"/>
                <w:b w:val="1"/>
                <w:bCs w:val="1"/>
                <w:color w:val="auto"/>
              </w:rPr>
              <w:t>Netting Adjustments</w:t>
            </w:r>
            <w:r>
              <w:rPr>
                <w:rFonts w:ascii="Times New Roman" w:cs="Times New Roman" w:eastAsia="Times New Roman" w:hAnsi="Times New Roman"/>
                <w:sz w:val="12"/>
                <w:szCs w:val="12"/>
                <w:b w:val="1"/>
                <w:bCs w:val="1"/>
                <w:color w:val="auto"/>
                <w:vertAlign w:val="superscript"/>
              </w:rPr>
              <w:t>(1)</w:t>
            </w:r>
          </w:p>
        </w:tc>
        <w:tc>
          <w:tcPr>
            <w:tcW w:w="220" w:type="dxa"/>
            <w:vAlign w:val="bottom"/>
          </w:tcPr>
          <w:p>
            <w:pPr>
              <w:spacing w:after="0"/>
              <w:rPr>
                <w:sz w:val="11"/>
                <w:szCs w:val="11"/>
                <w:color w:val="auto"/>
              </w:rPr>
            </w:pPr>
          </w:p>
        </w:tc>
        <w:tc>
          <w:tcPr>
            <w:tcW w:w="700" w:type="dxa"/>
            <w:vAlign w:val="bottom"/>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3"/>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r>
      <w:tr>
        <w:trPr>
          <w:trHeight w:val="142"/>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U.S. Treasury securities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9,442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9,442</w:t>
            </w:r>
          </w:p>
        </w:tc>
      </w:tr>
      <w:tr>
        <w:trPr>
          <w:trHeight w:val="142"/>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RMBS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73,358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73,616</w:t>
            </w:r>
          </w:p>
        </w:tc>
      </w:tr>
      <w:tr>
        <w:trPr>
          <w:trHeight w:val="14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CMBS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9,369</w:t>
            </w:r>
          </w:p>
        </w:tc>
      </w:tr>
      <w:tr>
        <w:trPr>
          <w:trHeight w:val="142"/>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Other securities</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2,834</w:t>
            </w:r>
          </w:p>
        </w:tc>
      </w:tr>
      <w:tr>
        <w:trPr>
          <w:trHeight w:val="135"/>
        </w:trPr>
        <w:tc>
          <w:tcPr>
            <w:tcW w:w="598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securities available for sale</w:t>
            </w: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85,346</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95,261</w:t>
            </w:r>
          </w:p>
        </w:tc>
      </w:tr>
      <w:tr>
        <w:trPr>
          <w:trHeight w:val="142"/>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sale</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w:t>
            </w:r>
          </w:p>
        </w:tc>
      </w:tr>
      <w:tr>
        <w:trPr>
          <w:trHeight w:val="14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4"/>
        </w:trPr>
        <w:tc>
          <w:tcPr>
            <w:tcW w:w="598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Derivative assets</w:t>
            </w:r>
            <w:r>
              <w:rPr>
                <w:rFonts w:ascii="Times New Roman" w:cs="Times New Roman" w:eastAsia="Times New Roman" w:hAnsi="Times New Roman"/>
                <w:sz w:val="14"/>
                <w:szCs w:val="14"/>
                <w:color w:val="auto"/>
                <w:vertAlign w:val="superscript"/>
              </w:rPr>
              <w:t>(2)</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2,148</w:t>
            </w:r>
          </w:p>
        </w:tc>
      </w:tr>
      <w:tr>
        <w:trPr>
          <w:trHeight w:val="144"/>
        </w:trPr>
        <w:tc>
          <w:tcPr>
            <w:tcW w:w="598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1"/>
                <w:szCs w:val="11"/>
                <w:color w:val="auto"/>
              </w:rPr>
              <w:t>Other</w:t>
            </w:r>
            <w:r>
              <w:rPr>
                <w:rFonts w:ascii="Times New Roman" w:cs="Times New Roman" w:eastAsia="Times New Roman" w:hAnsi="Times New Roman"/>
                <w:sz w:val="14"/>
                <w:szCs w:val="14"/>
                <w:color w:val="auto"/>
                <w:vertAlign w:val="superscript"/>
              </w:rPr>
              <w:t>(3)</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573</w:t>
            </w:r>
          </w:p>
        </w:tc>
      </w:tr>
      <w:tr>
        <w:trPr>
          <w:trHeight w:val="149"/>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10,580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88,578</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99,008</w:t>
            </w:r>
          </w:p>
        </w:tc>
      </w:tr>
      <w:tr>
        <w:trPr>
          <w:trHeight w:val="126"/>
        </w:trPr>
        <w:tc>
          <w:tcPr>
            <w:tcW w:w="598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42"/>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6"/>
        </w:trPr>
        <w:tc>
          <w:tcPr>
            <w:tcW w:w="5980" w:type="dxa"/>
            <w:vAlign w:val="bottom"/>
            <w:gridSpan w:val="2"/>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Derivative liabilities</w:t>
            </w:r>
            <w:r>
              <w:rPr>
                <w:rFonts w:ascii="Times New Roman" w:cs="Times New Roman" w:eastAsia="Times New Roman" w:hAnsi="Times New Roman"/>
                <w:sz w:val="14"/>
                <w:szCs w:val="14"/>
                <w:color w:val="auto"/>
                <w:vertAlign w:val="superscript"/>
              </w:rPr>
              <w:t>(2)</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w:t>
            </w:r>
          </w:p>
        </w:tc>
      </w:tr>
      <w:tr>
        <w:trPr>
          <w:trHeight w:val="131"/>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838</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(544)</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1,324</w:t>
            </w: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tabs>
          <w:tab w:leader="none" w:pos="208" w:val="left"/>
        </w:tabs>
        <w:numPr>
          <w:ilvl w:val="0"/>
          <w:numId w:val="9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balance sheet netting of derivative assets and liabilities, and related payables and receivables for cash collateral held or placed with the same counterparty. See “Note 9—Derivative Instruments and Hedging Activities” for additional information.</w:t>
      </w:r>
    </w:p>
    <w:p>
      <w:pPr>
        <w:spacing w:after="0" w:line="38" w:lineRule="exact"/>
        <w:rPr>
          <w:rFonts w:ascii="Times New Roman" w:cs="Times New Roman" w:eastAsia="Times New Roman" w:hAnsi="Times New Roman"/>
          <w:sz w:val="6"/>
          <w:szCs w:val="6"/>
          <w:color w:val="auto"/>
        </w:rPr>
      </w:pPr>
    </w:p>
    <w:p>
      <w:pPr>
        <w:ind w:left="208" w:hanging="208"/>
        <w:spacing w:after="0" w:line="228" w:lineRule="auto"/>
        <w:tabs>
          <w:tab w:leader="none" w:pos="200" w:val="left"/>
        </w:tabs>
        <w:numPr>
          <w:ilvl w:val="0"/>
          <w:numId w:val="9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Does not reflect $4 million and $11 million recognized as a net valuation allowance on derivative assets and liabilities for non-performance risk as of December 31, 2022 and 2021, respectively. Non-performance risk is included in the measurement of derivative assets and liabilities on our consolidated balance sheets, and is recorded through non-interest income in the consolidated statements of income.</w:t>
      </w:r>
    </w:p>
    <w:p>
      <w:pPr>
        <w:spacing w:after="0" w:line="29" w:lineRule="exact"/>
        <w:rPr>
          <w:rFonts w:ascii="Times New Roman" w:cs="Times New Roman" w:eastAsia="Times New Roman" w:hAnsi="Times New Roman"/>
          <w:sz w:val="12"/>
          <w:szCs w:val="12"/>
          <w:color w:val="auto"/>
          <w:vertAlign w:val="superscript"/>
        </w:rPr>
      </w:pPr>
    </w:p>
    <w:p>
      <w:pPr>
        <w:ind w:left="208" w:hanging="208"/>
        <w:spacing w:after="0" w:line="228" w:lineRule="auto"/>
        <w:tabs>
          <w:tab w:leader="none" w:pos="200" w:val="left"/>
        </w:tabs>
        <w:numPr>
          <w:ilvl w:val="0"/>
          <w:numId w:val="9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As of December 31, 2022 and 2021, other includes retained interests in securitizations of $36 million and $41 million, deferred compensation plan assets of $453 million and $490 million, and equity securities of $14 million (including unrealized losses of $23 million) and $42 million (including unrealized losses of $36 million), respectively.</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190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Level 3 Recurring Fair Value Rollforward</w:t>
      </w:r>
    </w:p>
    <w:p>
      <w:pPr>
        <w:spacing w:after="0" w:line="11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table below presents a reconciliation for all assets and liabilities measured and recognized at fair value on a recurring basis using significant unobservable inputs (Level 3) for the years ended December 31, 2022, 2021 and 2020. Generally, transfers into Level 3 were primarily driven by the usage of unobservable assumptions in the pricing of these financial instruments as evidenced by wider pricing variations among pricing vendors and transfers out of Level 3 were primarily driven by the usage of assumptions corroborated by market observable information as evidenced by tighter pricing among multiple pricing sources.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16.2: Level 3 Recurring Fair Value Rollforward</w:t>
      </w:r>
    </w:p>
    <w:p>
      <w:pPr>
        <w:spacing w:after="0" w:line="358"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8"/>
          <w:szCs w:val="8"/>
          <w:b w:val="1"/>
          <w:bCs w:val="1"/>
          <w:color w:val="auto"/>
        </w:rPr>
        <w:t>Fair Value Measurements Using Significant Unobservable Inputs (Level 3)</w:t>
      </w:r>
    </w:p>
    <w:p>
      <w:pPr>
        <w:spacing w:after="0" w:line="25"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8"/>
          <w:szCs w:val="8"/>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18415</wp:posOffset>
            </wp:positionV>
            <wp:extent cx="606361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pacing w:after="0" w:line="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7"/>
          <w:szCs w:val="7"/>
          <w:b w:val="1"/>
          <w:bCs w:val="1"/>
          <w:color w:val="auto"/>
        </w:rPr>
        <w:t>Total Gains (Losses)</w:t>
      </w:r>
    </w:p>
    <w:p>
      <w:pPr>
        <w:ind w:left="2940"/>
        <w:spacing w:after="0"/>
        <w:rPr>
          <w:sz w:val="20"/>
          <w:szCs w:val="20"/>
          <w:color w:val="auto"/>
        </w:rPr>
      </w:pPr>
      <w:r>
        <w:rPr>
          <w:rFonts w:ascii="Times New Roman" w:cs="Times New Roman" w:eastAsia="Times New Roman" w:hAnsi="Times New Roman"/>
          <w:sz w:val="7"/>
          <w:szCs w:val="7"/>
          <w:b w:val="1"/>
          <w:bCs w:val="1"/>
          <w:color w:val="auto"/>
        </w:rPr>
        <w:t>(Realized/Unrealized)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12700</wp:posOffset>
            </wp:positionV>
            <wp:extent cx="90868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7"/>
                <w:szCs w:val="7"/>
                <w:b w:val="1"/>
                <w:bCs w:val="1"/>
                <w:color w:val="auto"/>
              </w:rPr>
              <w:t>Balance, January 1,</w:t>
            </w:r>
          </w:p>
        </w:tc>
        <w:tc>
          <w:tcPr>
            <w:tcW w:w="140" w:type="dxa"/>
            <w:vAlign w:val="bottom"/>
          </w:tcPr>
          <w:p>
            <w:pPr>
              <w:spacing w:after="0"/>
              <w:rPr>
                <w:sz w:val="6"/>
                <w:szCs w:val="6"/>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Included</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7"/>
                <w:szCs w:val="7"/>
                <w:b w:val="1"/>
                <w:bCs w:val="1"/>
                <w:color w:val="auto"/>
                <w:w w:val="95"/>
              </w:rPr>
              <w:t>Transfers</w:t>
            </w:r>
          </w:p>
        </w:tc>
        <w:tc>
          <w:tcPr>
            <w:tcW w:w="120" w:type="dxa"/>
            <w:vAlign w:val="bottom"/>
          </w:tcPr>
          <w:p>
            <w:pPr>
              <w:spacing w:after="0"/>
              <w:rPr>
                <w:sz w:val="6"/>
                <w:szCs w:val="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Transfers</w:t>
            </w: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rPr>
              <w:t>Net Unrealized Gains (Losses) Included in Net</w:t>
            </w:r>
          </w:p>
        </w:tc>
        <w:tc>
          <w:tcPr>
            <w:tcW w:w="0" w:type="dxa"/>
            <w:vAlign w:val="bottom"/>
          </w:tcPr>
          <w:p>
            <w:pPr>
              <w:spacing w:after="0"/>
              <w:rPr>
                <w:sz w:val="1"/>
                <w:szCs w:val="1"/>
                <w:color w:val="auto"/>
              </w:rPr>
            </w:pPr>
          </w:p>
        </w:tc>
      </w:tr>
      <w:tr>
        <w:trPr>
          <w:trHeight w:val="72"/>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i w:val="1"/>
                <w:iCs w:val="1"/>
                <w:color w:val="auto"/>
              </w:rPr>
              <w:t>(Dollars in millions)</w:t>
            </w:r>
          </w:p>
        </w:tc>
        <w:tc>
          <w:tcPr>
            <w:tcW w:w="8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tcPr>
          <w:p>
            <w:pPr>
              <w:jc w:val="center"/>
              <w:ind w:right="220"/>
              <w:spacing w:after="0" w:line="72" w:lineRule="exact"/>
              <w:rPr>
                <w:sz w:val="20"/>
                <w:szCs w:val="20"/>
                <w:color w:val="auto"/>
              </w:rPr>
            </w:pPr>
            <w:r>
              <w:rPr>
                <w:rFonts w:ascii="Times New Roman" w:cs="Times New Roman" w:eastAsia="Times New Roman" w:hAnsi="Times New Roman"/>
                <w:sz w:val="7"/>
                <w:szCs w:val="7"/>
                <w:b w:val="1"/>
                <w:bCs w:val="1"/>
                <w:color w:val="auto"/>
              </w:rPr>
              <w:t>in Net</w:t>
            </w:r>
          </w:p>
        </w:tc>
        <w:tc>
          <w:tcPr>
            <w:tcW w:w="8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7"/>
                <w:szCs w:val="7"/>
                <w:b w:val="1"/>
                <w:bCs w:val="1"/>
                <w:color w:val="auto"/>
              </w:rPr>
              <w:t>Included in OCI</w:t>
            </w:r>
          </w:p>
        </w:tc>
        <w:tc>
          <w:tcPr>
            <w:tcW w:w="14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7"/>
                <w:szCs w:val="7"/>
                <w:b w:val="1"/>
                <w:bCs w:val="1"/>
                <w:color w:val="auto"/>
              </w:rPr>
              <w:t>Purchases</w:t>
            </w:r>
          </w:p>
        </w:tc>
        <w:tc>
          <w:tcPr>
            <w:tcW w:w="140" w:type="dxa"/>
            <w:vAlign w:val="bottom"/>
          </w:tcPr>
          <w:p>
            <w:pPr>
              <w:spacing w:after="0"/>
              <w:rPr>
                <w:sz w:val="6"/>
                <w:szCs w:val="6"/>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7"/>
                <w:szCs w:val="7"/>
                <w:b w:val="1"/>
                <w:bCs w:val="1"/>
                <w:color w:val="auto"/>
              </w:rPr>
              <w:t>Sales</w:t>
            </w:r>
          </w:p>
        </w:tc>
        <w:tc>
          <w:tcPr>
            <w:tcW w:w="16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7"/>
                <w:szCs w:val="7"/>
                <w:b w:val="1"/>
                <w:bCs w:val="1"/>
                <w:color w:val="auto"/>
              </w:rPr>
              <w:t>Issuances</w:t>
            </w:r>
          </w:p>
        </w:tc>
        <w:tc>
          <w:tcPr>
            <w:tcW w:w="14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7"/>
                <w:szCs w:val="7"/>
                <w:b w:val="1"/>
                <w:bCs w:val="1"/>
                <w:color w:val="auto"/>
              </w:rPr>
              <w:t>Settlements</w:t>
            </w:r>
          </w:p>
        </w:tc>
        <w:tc>
          <w:tcPr>
            <w:tcW w:w="140" w:type="dxa"/>
            <w:vAlign w:val="bottom"/>
          </w:tcPr>
          <w:p>
            <w:pPr>
              <w:spacing w:after="0"/>
              <w:rPr>
                <w:sz w:val="6"/>
                <w:szCs w:val="6"/>
                <w:color w:val="auto"/>
              </w:rPr>
            </w:pPr>
          </w:p>
        </w:tc>
        <w:tc>
          <w:tcPr>
            <w:tcW w:w="68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7"/>
                <w:szCs w:val="7"/>
                <w:b w:val="1"/>
                <w:bCs w:val="1"/>
                <w:color w:val="auto"/>
                <w:w w:val="96"/>
              </w:rPr>
              <w:t>Into</w:t>
            </w:r>
          </w:p>
        </w:tc>
        <w:tc>
          <w:tcPr>
            <w:tcW w:w="120" w:type="dxa"/>
            <w:vAlign w:val="bottom"/>
          </w:tcPr>
          <w:p>
            <w:pPr>
              <w:spacing w:after="0"/>
              <w:rPr>
                <w:sz w:val="6"/>
                <w:szCs w:val="6"/>
                <w:color w:val="auto"/>
              </w:rPr>
            </w:pPr>
          </w:p>
        </w:tc>
        <w:tc>
          <w:tcPr>
            <w:tcW w:w="64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7"/>
                <w:szCs w:val="7"/>
                <w:b w:val="1"/>
                <w:bCs w:val="1"/>
                <w:color w:val="auto"/>
              </w:rPr>
              <w:t>Out of</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7"/>
                <w:szCs w:val="7"/>
                <w:b w:val="1"/>
                <w:bCs w:val="1"/>
                <w:color w:val="auto"/>
              </w:rPr>
              <w:t>Balance, December 31, 2022</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jc w:val="center"/>
              <w:ind w:right="71"/>
              <w:spacing w:after="0" w:line="72" w:lineRule="exact"/>
              <w:rPr>
                <w:sz w:val="20"/>
                <w:szCs w:val="20"/>
                <w:color w:val="auto"/>
              </w:rPr>
            </w:pPr>
            <w:r>
              <w:rPr>
                <w:rFonts w:ascii="Times New Roman" w:cs="Times New Roman" w:eastAsia="Times New Roman" w:hAnsi="Times New Roman"/>
                <w:sz w:val="7"/>
                <w:szCs w:val="7"/>
                <w:b w:val="1"/>
                <w:bCs w:val="1"/>
                <w:color w:val="auto"/>
              </w:rPr>
              <w:t>Income Related to Assets and Liabilities</w:t>
            </w:r>
          </w:p>
        </w:tc>
        <w:tc>
          <w:tcPr>
            <w:tcW w:w="0" w:type="dxa"/>
            <w:vAlign w:val="bottom"/>
          </w:tcPr>
          <w:p>
            <w:pPr>
              <w:spacing w:after="0"/>
              <w:rPr>
                <w:sz w:val="1"/>
                <w:szCs w:val="1"/>
                <w:color w:val="auto"/>
              </w:rPr>
            </w:pPr>
          </w:p>
        </w:tc>
      </w:tr>
      <w:tr>
        <w:trPr>
          <w:trHeight w:val="108"/>
        </w:trPr>
        <w:tc>
          <w:tcPr>
            <w:tcW w:w="17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center"/>
              <w:ind w:right="129"/>
              <w:spacing w:after="0"/>
              <w:rPr>
                <w:sz w:val="20"/>
                <w:szCs w:val="20"/>
                <w:color w:val="auto"/>
              </w:rPr>
            </w:pPr>
            <w:r>
              <w:rPr>
                <w:rFonts w:ascii="Times New Roman" w:cs="Times New Roman" w:eastAsia="Times New Roman" w:hAnsi="Times New Roman"/>
                <w:sz w:val="7"/>
                <w:szCs w:val="7"/>
                <w:b w:val="1"/>
                <w:bCs w:val="1"/>
                <w:color w:val="auto"/>
                <w:w w:val="99"/>
              </w:rPr>
              <w:t>2022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5"/>
              </w:rPr>
              <w:t>Income</w:t>
            </w:r>
            <w:r>
              <w:rPr>
                <w:rFonts w:ascii="Times New Roman" w:cs="Times New Roman" w:eastAsia="Times New Roman" w:hAnsi="Times New Roman"/>
                <w:sz w:val="9"/>
                <w:szCs w:val="9"/>
                <w:b w:val="1"/>
                <w:bCs w:val="1"/>
                <w:color w:val="auto"/>
                <w:w w:val="95"/>
                <w:vertAlign w:val="superscript"/>
              </w:rPr>
              <w:t>(1)</w:t>
            </w: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Level 3</w:t>
            </w:r>
          </w:p>
        </w:tc>
        <w:tc>
          <w:tcPr>
            <w:tcW w:w="120" w:type="dxa"/>
            <w:vAlign w:val="bottom"/>
          </w:tcPr>
          <w:p>
            <w:pPr>
              <w:spacing w:after="0"/>
              <w:rPr>
                <w:sz w:val="9"/>
                <w:szCs w:val="9"/>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Level 3</w:t>
            </w:r>
          </w:p>
        </w:tc>
        <w:tc>
          <w:tcPr>
            <w:tcW w:w="9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center"/>
              <w:ind w:right="51"/>
              <w:spacing w:after="0"/>
              <w:rPr>
                <w:sz w:val="20"/>
                <w:szCs w:val="20"/>
                <w:color w:val="auto"/>
              </w:rPr>
            </w:pPr>
            <w:r>
              <w:rPr>
                <w:rFonts w:ascii="Times New Roman" w:cs="Times New Roman" w:eastAsia="Times New Roman" w:hAnsi="Times New Roman"/>
                <w:sz w:val="7"/>
                <w:szCs w:val="7"/>
                <w:b w:val="1"/>
                <w:bCs w:val="1"/>
                <w:color w:val="auto"/>
              </w:rPr>
              <w:t>Still Held as of December 31, 2022</w:t>
            </w:r>
            <w:r>
              <w:rPr>
                <w:rFonts w:ascii="Times New Roman" w:cs="Times New Roman" w:eastAsia="Times New Roman" w:hAnsi="Times New Roman"/>
                <w:sz w:val="9"/>
                <w:szCs w:val="9"/>
                <w:b w:val="1"/>
                <w:bCs w:val="1"/>
                <w:color w:val="auto"/>
                <w:vertAlign w:val="superscript"/>
              </w:rPr>
              <w:t>(1)</w:t>
            </w:r>
          </w:p>
        </w:tc>
        <w:tc>
          <w:tcPr>
            <w:tcW w:w="0" w:type="dxa"/>
            <w:vAlign w:val="bottom"/>
          </w:tcPr>
          <w:p>
            <w:pPr>
              <w:spacing w:after="0"/>
              <w:rPr>
                <w:sz w:val="1"/>
                <w:szCs w:val="1"/>
                <w:color w:val="auto"/>
              </w:rPr>
            </w:pPr>
          </w:p>
        </w:tc>
      </w:tr>
      <w:tr>
        <w:trPr>
          <w:trHeight w:val="133"/>
        </w:trPr>
        <w:tc>
          <w:tcPr>
            <w:tcW w:w="16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Securities available for sale:</w:t>
            </w:r>
            <w:r>
              <w:rPr>
                <w:rFonts w:ascii="Times New Roman" w:cs="Times New Roman" w:eastAsia="Times New Roman" w:hAnsi="Times New Roman"/>
                <w:sz w:val="14"/>
                <w:szCs w:val="14"/>
                <w:color w:val="auto"/>
                <w:vertAlign w:val="superscript"/>
              </w:rPr>
              <w:t>(2)</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RMBS</w:t>
            </w: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18</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(60)</w:t>
            </w: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123</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(71)</w:t>
            </w:r>
          </w:p>
        </w:tc>
        <w:tc>
          <w:tcPr>
            <w:tcW w:w="100" w:type="dxa"/>
            <w:vAlign w:val="bottom"/>
          </w:tcPr>
          <w:p>
            <w:pPr>
              <w:spacing w:after="0"/>
              <w:rPr>
                <w:sz w:val="12"/>
                <w:szCs w:val="12"/>
                <w:color w:val="auto"/>
              </w:rPr>
            </w:pPr>
          </w:p>
        </w:tc>
        <w:tc>
          <w:tcPr>
            <w:tcW w:w="380" w:type="dxa"/>
            <w:vAlign w:val="bottom"/>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236</w:t>
            </w:r>
          </w:p>
        </w:tc>
        <w:tc>
          <w:tcPr>
            <w:tcW w:w="220" w:type="dxa"/>
            <w:vAlign w:val="bottom"/>
            <w:gridSpan w:val="3"/>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0" w:type="dxa"/>
            <w:vAlign w:val="bottom"/>
          </w:tcPr>
          <w:p>
            <w:pPr>
              <w:spacing w:after="0"/>
              <w:rPr>
                <w:sz w:val="1"/>
                <w:szCs w:val="1"/>
                <w:color w:val="auto"/>
              </w:rPr>
            </w:pPr>
          </w:p>
        </w:tc>
      </w:tr>
      <w:tr>
        <w:trPr>
          <w:trHeight w:val="145"/>
        </w:trPr>
        <w:tc>
          <w:tcPr>
            <w:tcW w:w="1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CMBS</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142</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securities available for sale</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(109)</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378</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0" w:type="dxa"/>
            <w:vAlign w:val="bottom"/>
          </w:tcPr>
          <w:p>
            <w:pPr>
              <w:spacing w:after="0"/>
              <w:rPr>
                <w:sz w:val="1"/>
                <w:szCs w:val="1"/>
                <w:color w:val="auto"/>
              </w:rPr>
            </w:pPr>
          </w:p>
        </w:tc>
      </w:tr>
      <w:tr>
        <w:trPr>
          <w:trHeight w:val="126"/>
        </w:trPr>
        <w:tc>
          <w:tcPr>
            <w:tcW w:w="17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Retained interests in</w:t>
            </w:r>
          </w:p>
        </w:tc>
        <w:tc>
          <w:tcPr>
            <w:tcW w:w="1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36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0" w:type="dxa"/>
            <w:vAlign w:val="bottom"/>
          </w:tcPr>
          <w:p>
            <w:pPr>
              <w:spacing w:after="0"/>
              <w:rPr>
                <w:sz w:val="1"/>
                <w:szCs w:val="1"/>
                <w:color w:val="auto"/>
              </w:rPr>
            </w:pPr>
          </w:p>
        </w:tc>
      </w:tr>
      <w:tr>
        <w:trPr>
          <w:trHeight w:val="142"/>
        </w:trPr>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securitizations</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Net derivative assets (liabilities)</w:t>
            </w:r>
            <w:r>
              <w:rPr>
                <w:rFonts w:ascii="Times New Roman" w:cs="Times New Roman" w:eastAsia="Times New Roman" w:hAnsi="Times New Roman"/>
                <w:sz w:val="14"/>
                <w:szCs w:val="14"/>
                <w:color w:val="auto"/>
                <w:vertAlign w:val="superscript"/>
              </w:rPr>
              <w:t>(3)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w:t>
            </w:r>
          </w:p>
        </w:tc>
        <w:tc>
          <w:tcPr>
            <w:tcW w:w="0" w:type="dxa"/>
            <w:vAlign w:val="bottom"/>
          </w:tcPr>
          <w:p>
            <w:pPr>
              <w:spacing w:after="0"/>
              <w:rPr>
                <w:sz w:val="1"/>
                <w:szCs w:val="1"/>
                <w:color w:val="auto"/>
              </w:rPr>
            </w:pPr>
          </w:p>
        </w:tc>
      </w:tr>
      <w:tr>
        <w:trPr>
          <w:trHeight w:val="240"/>
        </w:trPr>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11"/>
          </w:tcPr>
          <w:p>
            <w:pPr>
              <w:jc w:val="center"/>
              <w:spacing w:after="0"/>
              <w:rPr>
                <w:sz w:val="20"/>
                <w:szCs w:val="20"/>
                <w:color w:val="auto"/>
              </w:rPr>
            </w:pPr>
            <w:r>
              <w:rPr>
                <w:rFonts w:ascii="Times New Roman" w:cs="Times New Roman" w:eastAsia="Times New Roman" w:hAnsi="Times New Roman"/>
                <w:sz w:val="8"/>
                <w:szCs w:val="8"/>
                <w:b w:val="1"/>
                <w:bCs w:val="1"/>
                <w:color w:val="auto"/>
              </w:rPr>
              <w:t>Fair Value Measurements Using Significant Unobservable Inputs (Level 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center"/>
              <w:ind w:left="70"/>
              <w:spacing w:after="0"/>
              <w:rPr>
                <w:sz w:val="20"/>
                <w:szCs w:val="20"/>
                <w:color w:val="auto"/>
              </w:rPr>
            </w:pPr>
            <w:r>
              <w:rPr>
                <w:rFonts w:ascii="Times New Roman" w:cs="Times New Roman" w:eastAsia="Times New Roman" w:hAnsi="Times New Roman"/>
                <w:sz w:val="8"/>
                <w:szCs w:val="8"/>
                <w:b w:val="1"/>
                <w:bCs w:val="1"/>
                <w:color w:val="auto"/>
              </w:rPr>
              <w:t>Year Ended December 31, 2021</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gridSpan w:val="5"/>
          </w:tcPr>
          <w:p>
            <w:pPr>
              <w:jc w:val="center"/>
              <w:ind w:right="200"/>
              <w:spacing w:after="0" w:line="67" w:lineRule="exact"/>
              <w:rPr>
                <w:sz w:val="20"/>
                <w:szCs w:val="20"/>
                <w:color w:val="auto"/>
              </w:rPr>
            </w:pPr>
            <w:r>
              <w:rPr>
                <w:rFonts w:ascii="Times New Roman" w:cs="Times New Roman" w:eastAsia="Times New Roman" w:hAnsi="Times New Roman"/>
                <w:sz w:val="7"/>
                <w:szCs w:val="7"/>
                <w:b w:val="1"/>
                <w:bCs w:val="1"/>
                <w:color w:val="auto"/>
              </w:rPr>
              <w:t>Total Gains (Losses)</w:t>
            </w: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(Realized/Unrealized)</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7"/>
                <w:szCs w:val="7"/>
                <w:b w:val="1"/>
                <w:bCs w:val="1"/>
                <w:color w:val="auto"/>
              </w:rPr>
              <w:t>Balance, January 1,</w:t>
            </w: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Included</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7"/>
                <w:szCs w:val="7"/>
                <w:b w:val="1"/>
                <w:bCs w:val="1"/>
                <w:color w:val="auto"/>
                <w:w w:val="95"/>
              </w:rPr>
              <w:t>Transfers</w:t>
            </w:r>
          </w:p>
        </w:tc>
        <w:tc>
          <w:tcPr>
            <w:tcW w:w="120" w:type="dxa"/>
            <w:vAlign w:val="bottom"/>
          </w:tcPr>
          <w:p>
            <w:pPr>
              <w:spacing w:after="0"/>
              <w:rPr>
                <w:sz w:val="7"/>
                <w:szCs w:val="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Transfers</w:t>
            </w: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rPr>
              <w:t>Net Unrealized Gains (Losses) Included in Net</w:t>
            </w:r>
          </w:p>
        </w:tc>
        <w:tc>
          <w:tcPr>
            <w:tcW w:w="0" w:type="dxa"/>
            <w:vAlign w:val="bottom"/>
          </w:tcPr>
          <w:p>
            <w:pPr>
              <w:spacing w:after="0"/>
              <w:rPr>
                <w:sz w:val="1"/>
                <w:szCs w:val="1"/>
                <w:color w:val="auto"/>
              </w:rPr>
            </w:pPr>
          </w:p>
        </w:tc>
      </w:tr>
      <w:tr>
        <w:trPr>
          <w:trHeight w:val="72"/>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i w:val="1"/>
                <w:iCs w:val="1"/>
                <w:color w:val="auto"/>
              </w:rPr>
              <w:t>(Dollars in millions)</w:t>
            </w:r>
          </w:p>
        </w:tc>
        <w:tc>
          <w:tcPr>
            <w:tcW w:w="8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tcPr>
          <w:p>
            <w:pPr>
              <w:jc w:val="center"/>
              <w:ind w:right="220"/>
              <w:spacing w:after="0" w:line="72" w:lineRule="exact"/>
              <w:rPr>
                <w:sz w:val="20"/>
                <w:szCs w:val="20"/>
                <w:color w:val="auto"/>
              </w:rPr>
            </w:pPr>
            <w:r>
              <w:rPr>
                <w:rFonts w:ascii="Times New Roman" w:cs="Times New Roman" w:eastAsia="Times New Roman" w:hAnsi="Times New Roman"/>
                <w:sz w:val="7"/>
                <w:szCs w:val="7"/>
                <w:b w:val="1"/>
                <w:bCs w:val="1"/>
                <w:color w:val="auto"/>
              </w:rPr>
              <w:t>in Net</w:t>
            </w:r>
          </w:p>
        </w:tc>
        <w:tc>
          <w:tcPr>
            <w:tcW w:w="8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7"/>
                <w:szCs w:val="7"/>
                <w:b w:val="1"/>
                <w:bCs w:val="1"/>
                <w:color w:val="auto"/>
              </w:rPr>
              <w:t>Included in OCI</w:t>
            </w:r>
          </w:p>
        </w:tc>
        <w:tc>
          <w:tcPr>
            <w:tcW w:w="140" w:type="dxa"/>
            <w:vAlign w:val="bottom"/>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7"/>
                <w:szCs w:val="7"/>
                <w:b w:val="1"/>
                <w:bCs w:val="1"/>
                <w:color w:val="auto"/>
              </w:rPr>
              <w:t>Purchases</w:t>
            </w:r>
          </w:p>
        </w:tc>
        <w:tc>
          <w:tcPr>
            <w:tcW w:w="140" w:type="dxa"/>
            <w:vAlign w:val="bottom"/>
          </w:tcPr>
          <w:p>
            <w:pPr>
              <w:spacing w:after="0"/>
              <w:rPr>
                <w:sz w:val="6"/>
                <w:szCs w:val="6"/>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7"/>
                <w:szCs w:val="7"/>
                <w:b w:val="1"/>
                <w:bCs w:val="1"/>
                <w:color w:val="auto"/>
              </w:rPr>
              <w:t>Sales</w:t>
            </w:r>
          </w:p>
        </w:tc>
        <w:tc>
          <w:tcPr>
            <w:tcW w:w="16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7"/>
                <w:szCs w:val="7"/>
                <w:b w:val="1"/>
                <w:bCs w:val="1"/>
                <w:color w:val="auto"/>
              </w:rPr>
              <w:t>Issuances</w:t>
            </w:r>
          </w:p>
        </w:tc>
        <w:tc>
          <w:tcPr>
            <w:tcW w:w="14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7"/>
                <w:szCs w:val="7"/>
                <w:b w:val="1"/>
                <w:bCs w:val="1"/>
                <w:color w:val="auto"/>
              </w:rPr>
              <w:t>Settlements</w:t>
            </w:r>
          </w:p>
        </w:tc>
        <w:tc>
          <w:tcPr>
            <w:tcW w:w="140" w:type="dxa"/>
            <w:vAlign w:val="bottom"/>
          </w:tcPr>
          <w:p>
            <w:pPr>
              <w:spacing w:after="0"/>
              <w:rPr>
                <w:sz w:val="6"/>
                <w:szCs w:val="6"/>
                <w:color w:val="auto"/>
              </w:rPr>
            </w:pPr>
          </w:p>
        </w:tc>
        <w:tc>
          <w:tcPr>
            <w:tcW w:w="68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7"/>
                <w:szCs w:val="7"/>
                <w:b w:val="1"/>
                <w:bCs w:val="1"/>
                <w:color w:val="auto"/>
                <w:w w:val="96"/>
              </w:rPr>
              <w:t>Into</w:t>
            </w:r>
          </w:p>
        </w:tc>
        <w:tc>
          <w:tcPr>
            <w:tcW w:w="120" w:type="dxa"/>
            <w:vAlign w:val="bottom"/>
          </w:tcPr>
          <w:p>
            <w:pPr>
              <w:spacing w:after="0"/>
              <w:rPr>
                <w:sz w:val="6"/>
                <w:szCs w:val="6"/>
                <w:color w:val="auto"/>
              </w:rPr>
            </w:pPr>
          </w:p>
        </w:tc>
        <w:tc>
          <w:tcPr>
            <w:tcW w:w="64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7"/>
                <w:szCs w:val="7"/>
                <w:b w:val="1"/>
                <w:bCs w:val="1"/>
                <w:color w:val="auto"/>
              </w:rPr>
              <w:t>Out of</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7"/>
                <w:szCs w:val="7"/>
                <w:b w:val="1"/>
                <w:bCs w:val="1"/>
                <w:color w:val="auto"/>
              </w:rPr>
              <w:t>Balance, December 31, 2021</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jc w:val="center"/>
              <w:ind w:right="71"/>
              <w:spacing w:after="0" w:line="72" w:lineRule="exact"/>
              <w:rPr>
                <w:sz w:val="20"/>
                <w:szCs w:val="20"/>
                <w:color w:val="auto"/>
              </w:rPr>
            </w:pPr>
            <w:r>
              <w:rPr>
                <w:rFonts w:ascii="Times New Roman" w:cs="Times New Roman" w:eastAsia="Times New Roman" w:hAnsi="Times New Roman"/>
                <w:sz w:val="7"/>
                <w:szCs w:val="7"/>
                <w:b w:val="1"/>
                <w:bCs w:val="1"/>
                <w:color w:val="auto"/>
              </w:rPr>
              <w:t>Income Related to Assets and Liabilities</w:t>
            </w:r>
          </w:p>
        </w:tc>
        <w:tc>
          <w:tcPr>
            <w:tcW w:w="0" w:type="dxa"/>
            <w:vAlign w:val="bottom"/>
          </w:tcPr>
          <w:p>
            <w:pPr>
              <w:spacing w:after="0"/>
              <w:rPr>
                <w:sz w:val="1"/>
                <w:szCs w:val="1"/>
                <w:color w:val="auto"/>
              </w:rPr>
            </w:pPr>
          </w:p>
        </w:tc>
      </w:tr>
      <w:tr>
        <w:trPr>
          <w:trHeight w:val="102"/>
        </w:trPr>
        <w:tc>
          <w:tcPr>
            <w:tcW w:w="1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jc w:val="center"/>
              <w:ind w:right="129"/>
              <w:spacing w:after="0"/>
              <w:rPr>
                <w:sz w:val="20"/>
                <w:szCs w:val="20"/>
                <w:color w:val="auto"/>
              </w:rPr>
            </w:pPr>
            <w:r>
              <w:rPr>
                <w:rFonts w:ascii="Times New Roman" w:cs="Times New Roman" w:eastAsia="Times New Roman" w:hAnsi="Times New Roman"/>
                <w:sz w:val="7"/>
                <w:szCs w:val="7"/>
                <w:b w:val="1"/>
                <w:bCs w:val="1"/>
                <w:color w:val="auto"/>
                <w:w w:val="99"/>
              </w:rPr>
              <w:t>2021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Income</w:t>
            </w:r>
            <w:r>
              <w:rPr>
                <w:rFonts w:ascii="Times New Roman" w:cs="Times New Roman" w:eastAsia="Times New Roman" w:hAnsi="Times New Roman"/>
                <w:sz w:val="4"/>
                <w:szCs w:val="4"/>
                <w:b w:val="1"/>
                <w:bCs w:val="1"/>
                <w:color w:val="auto"/>
              </w:rPr>
              <w:t>(1)</w:t>
            </w:r>
          </w:p>
        </w:tc>
        <w:tc>
          <w:tcPr>
            <w:tcW w:w="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Level 3</w:t>
            </w:r>
          </w:p>
        </w:tc>
        <w:tc>
          <w:tcPr>
            <w:tcW w:w="120" w:type="dxa"/>
            <w:vAlign w:val="bottom"/>
          </w:tcPr>
          <w:p>
            <w:pPr>
              <w:spacing w:after="0"/>
              <w:rPr>
                <w:sz w:val="8"/>
                <w:szCs w:val="8"/>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Level 3</w:t>
            </w:r>
          </w:p>
        </w:tc>
        <w:tc>
          <w:tcPr>
            <w:tcW w:w="9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jc w:val="center"/>
              <w:ind w:right="51"/>
              <w:spacing w:after="0"/>
              <w:rPr>
                <w:sz w:val="20"/>
                <w:szCs w:val="20"/>
                <w:color w:val="auto"/>
              </w:rPr>
            </w:pPr>
            <w:r>
              <w:rPr>
                <w:rFonts w:ascii="Times New Roman" w:cs="Times New Roman" w:eastAsia="Times New Roman" w:hAnsi="Times New Roman"/>
                <w:sz w:val="7"/>
                <w:szCs w:val="7"/>
                <w:b w:val="1"/>
                <w:bCs w:val="1"/>
                <w:color w:val="auto"/>
              </w:rPr>
              <w:t>Still Held as of December 31, 2021</w:t>
            </w:r>
            <w:r>
              <w:rPr>
                <w:rFonts w:ascii="Times New Roman" w:cs="Times New Roman" w:eastAsia="Times New Roman" w:hAnsi="Times New Roman"/>
                <w:sz w:val="4"/>
                <w:szCs w:val="4"/>
                <w:b w:val="1"/>
                <w:bCs w:val="1"/>
                <w:color w:val="auto"/>
              </w:rPr>
              <w:t>(1)</w:t>
            </w:r>
          </w:p>
        </w:tc>
        <w:tc>
          <w:tcPr>
            <w:tcW w:w="0" w:type="dxa"/>
            <w:vAlign w:val="bottom"/>
          </w:tcPr>
          <w:p>
            <w:pPr>
              <w:spacing w:after="0"/>
              <w:rPr>
                <w:sz w:val="1"/>
                <w:szCs w:val="1"/>
                <w:color w:val="auto"/>
              </w:rPr>
            </w:pPr>
          </w:p>
        </w:tc>
      </w:tr>
      <w:tr>
        <w:trPr>
          <w:trHeight w:val="139"/>
        </w:trPr>
        <w:tc>
          <w:tcPr>
            <w:tcW w:w="1660" w:type="dxa"/>
            <w:vAlign w:val="bottom"/>
            <w:tcBorders>
              <w:top w:val="single" w:sz="8" w:color="auto"/>
            </w:tcBorders>
            <w:shd w:val="clear" w:color="auto" w:fill="CCEEFF"/>
          </w:tcPr>
          <w:p>
            <w:pPr>
              <w:spacing w:after="0" w:line="139" w:lineRule="exact"/>
              <w:rPr>
                <w:sz w:val="20"/>
                <w:szCs w:val="20"/>
                <w:color w:val="auto"/>
              </w:rPr>
            </w:pPr>
            <w:r>
              <w:rPr>
                <w:rFonts w:ascii="Times New Roman" w:cs="Times New Roman" w:eastAsia="Times New Roman" w:hAnsi="Times New Roman"/>
                <w:sz w:val="11"/>
                <w:szCs w:val="11"/>
                <w:color w:val="auto"/>
              </w:rPr>
              <w:t>Securities available for sale:</w:t>
            </w:r>
            <w:r>
              <w:rPr>
                <w:rFonts w:ascii="Times New Roman" w:cs="Times New Roman" w:eastAsia="Times New Roman" w:hAnsi="Times New Roman"/>
                <w:sz w:val="14"/>
                <w:szCs w:val="14"/>
                <w:color w:val="auto"/>
                <w:vertAlign w:val="superscript"/>
              </w:rPr>
              <w:t>(2)</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RMBS</w:t>
            </w: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tcPr>
          <w:p>
            <w:pPr>
              <w:spacing w:after="0"/>
              <w:rPr>
                <w:sz w:val="12"/>
                <w:szCs w:val="12"/>
                <w:color w:val="auto"/>
              </w:rPr>
            </w:pPr>
          </w:p>
        </w:tc>
        <w:tc>
          <w:tcPr>
            <w:tcW w:w="380" w:type="dxa"/>
            <w:vAlign w:val="bottom"/>
          </w:tcPr>
          <w:p>
            <w:pPr>
              <w:jc w:val="right"/>
              <w:ind w:right="27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220" w:type="dxa"/>
            <w:vAlign w:val="bottom"/>
            <w:gridSpan w:val="3"/>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46"/>
        </w:trPr>
        <w:tc>
          <w:tcPr>
            <w:tcW w:w="1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CMBS</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securities available for sale</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26"/>
        </w:trPr>
        <w:tc>
          <w:tcPr>
            <w:tcW w:w="17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Retained interests in</w:t>
            </w:r>
          </w:p>
        </w:tc>
        <w:tc>
          <w:tcPr>
            <w:tcW w:w="1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42"/>
        </w:trPr>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securitizations</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Net derivative assets (liabilities)</w:t>
            </w:r>
            <w:r>
              <w:rPr>
                <w:rFonts w:ascii="Times New Roman" w:cs="Times New Roman" w:eastAsia="Times New Roman" w:hAnsi="Times New Roman"/>
                <w:sz w:val="14"/>
                <w:szCs w:val="14"/>
                <w:color w:val="auto"/>
                <w:vertAlign w:val="superscript"/>
              </w:rPr>
              <w:t>(3)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667"/>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0"/>
                <w:szCs w:val="10"/>
                <w:color w:val="auto"/>
                <w:w w:val="93"/>
              </w:rPr>
              <w:t>191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w w:val="94"/>
              </w:rPr>
              <w:t>Capital One Financial Corporation (COF)</w:t>
            </w:r>
          </w:p>
        </w:tc>
        <w:tc>
          <w:tcPr>
            <w:tcW w:w="0" w:type="dxa"/>
            <w:vAlign w:val="bottom"/>
          </w:tcPr>
          <w:p>
            <w:pPr>
              <w:spacing w:after="0"/>
              <w:rPr>
                <w:sz w:val="1"/>
                <w:szCs w:val="1"/>
                <w:color w:val="auto"/>
              </w:rPr>
            </w:pPr>
          </w:p>
        </w:tc>
      </w:tr>
      <w:tr>
        <w:trPr>
          <w:trHeight w:val="224"/>
        </w:trPr>
        <w:tc>
          <w:tcPr>
            <w:tcW w:w="16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2" w:name="page193"/>
    <w:bookmarkEnd w:id="192"/>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88"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8"/>
          <w:szCs w:val="8"/>
          <w:b w:val="1"/>
          <w:bCs w:val="1"/>
          <w:color w:val="auto"/>
        </w:rPr>
        <w:t>Fair Value Measurements Using Significant Unobservable Inputs (Level 3)</w:t>
      </w:r>
    </w:p>
    <w:p>
      <w:pPr>
        <w:spacing w:after="0" w:line="25"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8"/>
          <w:szCs w:val="8"/>
          <w:b w:val="1"/>
          <w:bCs w:val="1"/>
          <w:color w:val="auto"/>
        </w:rPr>
        <w:t>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18415</wp:posOffset>
            </wp:positionV>
            <wp:extent cx="606361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pacing w:after="0" w:line="17" w:lineRule="exact"/>
        <w:rPr>
          <w:sz w:val="20"/>
          <w:szCs w:val="20"/>
          <w:color w:val="auto"/>
        </w:rPr>
      </w:pPr>
    </w:p>
    <w:p>
      <w:pPr>
        <w:ind w:left="2988"/>
        <w:spacing w:after="0"/>
        <w:rPr>
          <w:sz w:val="20"/>
          <w:szCs w:val="20"/>
          <w:color w:val="auto"/>
        </w:rPr>
      </w:pPr>
      <w:r>
        <w:rPr>
          <w:rFonts w:ascii="Times New Roman" w:cs="Times New Roman" w:eastAsia="Times New Roman" w:hAnsi="Times New Roman"/>
          <w:sz w:val="7"/>
          <w:szCs w:val="7"/>
          <w:b w:val="1"/>
          <w:bCs w:val="1"/>
          <w:color w:val="auto"/>
        </w:rPr>
        <w:t>Total Gains (Losses)</w:t>
      </w:r>
    </w:p>
    <w:p>
      <w:pPr>
        <w:ind w:left="2948"/>
        <w:spacing w:after="0"/>
        <w:rPr>
          <w:sz w:val="20"/>
          <w:szCs w:val="20"/>
          <w:color w:val="auto"/>
        </w:rPr>
      </w:pPr>
      <w:r>
        <w:rPr>
          <w:rFonts w:ascii="Times New Roman" w:cs="Times New Roman" w:eastAsia="Times New Roman" w:hAnsi="Times New Roman"/>
          <w:sz w:val="7"/>
          <w:szCs w:val="7"/>
          <w:b w:val="1"/>
          <w:bCs w:val="1"/>
          <w:color w:val="auto"/>
        </w:rPr>
        <w:t>(Realized/Unrealized)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12700</wp:posOffset>
            </wp:positionV>
            <wp:extent cx="90868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18" w:lineRule="exact"/>
        <w:rPr>
          <w:sz w:val="20"/>
          <w:szCs w:val="20"/>
          <w:color w:val="auto"/>
        </w:rPr>
      </w:pPr>
    </w:p>
    <w:tbl>
      <w:tblPr>
        <w:tblLayout w:type="fixed"/>
        <w:tblInd w:w="8" w:type="dxa"/>
        <w:tblCellMar>
          <w:top w:w="0" w:type="dxa"/>
          <w:left w:w="0" w:type="dxa"/>
          <w:bottom w:w="0" w:type="dxa"/>
          <w:right w:w="0" w:type="dxa"/>
        </w:tblCellMar>
      </w:tblPr>
      <w:tr>
        <w:trPr>
          <w:trHeight w:val="80"/>
        </w:trPr>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7"/>
                <w:szCs w:val="7"/>
                <w:b w:val="1"/>
                <w:bCs w:val="1"/>
                <w:color w:val="auto"/>
              </w:rPr>
              <w:t>Balance, January 1,</w:t>
            </w:r>
          </w:p>
        </w:tc>
        <w:tc>
          <w:tcPr>
            <w:tcW w:w="140" w:type="dxa"/>
            <w:vAlign w:val="bottom"/>
          </w:tcPr>
          <w:p>
            <w:pPr>
              <w:spacing w:after="0"/>
              <w:rPr>
                <w:sz w:val="6"/>
                <w:szCs w:val="6"/>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Included</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jc w:val="center"/>
              <w:ind w:left="160"/>
              <w:spacing w:after="0"/>
              <w:rPr>
                <w:sz w:val="20"/>
                <w:szCs w:val="20"/>
                <w:color w:val="auto"/>
              </w:rPr>
            </w:pPr>
            <w:r>
              <w:rPr>
                <w:rFonts w:ascii="Times New Roman" w:cs="Times New Roman" w:eastAsia="Times New Roman" w:hAnsi="Times New Roman"/>
                <w:sz w:val="7"/>
                <w:szCs w:val="7"/>
                <w:b w:val="1"/>
                <w:bCs w:val="1"/>
                <w:color w:val="auto"/>
                <w:w w:val="95"/>
              </w:rPr>
              <w:t>Transfers</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Transfers</w:t>
            </w: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7"/>
                <w:szCs w:val="7"/>
                <w:b w:val="1"/>
                <w:bCs w:val="1"/>
                <w:color w:val="auto"/>
              </w:rPr>
              <w:t>Net Unrealized Gains (Losses) Included in Net</w:t>
            </w:r>
          </w:p>
        </w:tc>
        <w:tc>
          <w:tcPr>
            <w:tcW w:w="0" w:type="dxa"/>
            <w:vAlign w:val="bottom"/>
          </w:tcPr>
          <w:p>
            <w:pPr>
              <w:spacing w:after="0"/>
              <w:rPr>
                <w:sz w:val="1"/>
                <w:szCs w:val="1"/>
                <w:color w:val="auto"/>
              </w:rPr>
            </w:pPr>
          </w:p>
        </w:tc>
      </w:tr>
      <w:tr>
        <w:trPr>
          <w:trHeight w:val="72"/>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8"/>
                <w:szCs w:val="8"/>
                <w:i w:val="1"/>
                <w:iCs w:val="1"/>
                <w:color w:val="auto"/>
              </w:rPr>
              <w:t>(Dollars in millions)</w:t>
            </w:r>
          </w:p>
        </w:tc>
        <w:tc>
          <w:tcPr>
            <w:tcW w:w="8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gridSpan w:val="2"/>
          </w:tcPr>
          <w:p>
            <w:pPr>
              <w:jc w:val="center"/>
              <w:ind w:right="220"/>
              <w:spacing w:after="0" w:line="72" w:lineRule="exact"/>
              <w:rPr>
                <w:sz w:val="20"/>
                <w:szCs w:val="20"/>
                <w:color w:val="auto"/>
              </w:rPr>
            </w:pPr>
            <w:r>
              <w:rPr>
                <w:rFonts w:ascii="Times New Roman" w:cs="Times New Roman" w:eastAsia="Times New Roman" w:hAnsi="Times New Roman"/>
                <w:sz w:val="7"/>
                <w:szCs w:val="7"/>
                <w:b w:val="1"/>
                <w:bCs w:val="1"/>
                <w:color w:val="auto"/>
              </w:rPr>
              <w:t>in Net</w:t>
            </w:r>
          </w:p>
        </w:tc>
        <w:tc>
          <w:tcPr>
            <w:tcW w:w="8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7"/>
                <w:szCs w:val="7"/>
                <w:b w:val="1"/>
                <w:bCs w:val="1"/>
                <w:color w:val="auto"/>
              </w:rPr>
              <w:t>Included in OCI</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7"/>
                <w:szCs w:val="7"/>
                <w:b w:val="1"/>
                <w:bCs w:val="1"/>
                <w:color w:val="auto"/>
              </w:rPr>
              <w:t>Purchases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7"/>
                <w:szCs w:val="7"/>
                <w:b w:val="1"/>
                <w:bCs w:val="1"/>
                <w:color w:val="auto"/>
              </w:rPr>
              <w:t>Sales</w:t>
            </w:r>
          </w:p>
        </w:tc>
        <w:tc>
          <w:tcPr>
            <w:tcW w:w="120" w:type="dxa"/>
            <w:vAlign w:val="bottom"/>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7"/>
                <w:szCs w:val="7"/>
                <w:b w:val="1"/>
                <w:bCs w:val="1"/>
                <w:color w:val="auto"/>
              </w:rPr>
              <w:t>Issuances</w:t>
            </w:r>
          </w:p>
        </w:tc>
        <w:tc>
          <w:tcPr>
            <w:tcW w:w="14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7"/>
                <w:szCs w:val="7"/>
                <w:b w:val="1"/>
                <w:bCs w:val="1"/>
                <w:color w:val="auto"/>
              </w:rPr>
              <w:t>Settlements</w:t>
            </w:r>
          </w:p>
        </w:tc>
        <w:tc>
          <w:tcPr>
            <w:tcW w:w="520" w:type="dxa"/>
            <w:vAlign w:val="bottom"/>
          </w:tcPr>
          <w:p>
            <w:pPr>
              <w:jc w:val="center"/>
              <w:ind w:left="160"/>
              <w:spacing w:after="0" w:line="72" w:lineRule="exact"/>
              <w:rPr>
                <w:sz w:val="20"/>
                <w:szCs w:val="20"/>
                <w:color w:val="auto"/>
              </w:rPr>
            </w:pPr>
            <w:r>
              <w:rPr>
                <w:rFonts w:ascii="Times New Roman" w:cs="Times New Roman" w:eastAsia="Times New Roman" w:hAnsi="Times New Roman"/>
                <w:sz w:val="7"/>
                <w:szCs w:val="7"/>
                <w:b w:val="1"/>
                <w:bCs w:val="1"/>
                <w:color w:val="auto"/>
                <w:w w:val="96"/>
              </w:rPr>
              <w:t>Into</w:t>
            </w: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tcPr>
          <w:p>
            <w:pPr>
              <w:jc w:val="center"/>
              <w:ind w:right="240"/>
              <w:spacing w:after="0" w:line="72" w:lineRule="exact"/>
              <w:rPr>
                <w:sz w:val="20"/>
                <w:szCs w:val="20"/>
                <w:color w:val="auto"/>
              </w:rPr>
            </w:pPr>
            <w:r>
              <w:rPr>
                <w:rFonts w:ascii="Times New Roman" w:cs="Times New Roman" w:eastAsia="Times New Roman" w:hAnsi="Times New Roman"/>
                <w:sz w:val="7"/>
                <w:szCs w:val="7"/>
                <w:b w:val="1"/>
                <w:bCs w:val="1"/>
                <w:color w:val="auto"/>
              </w:rPr>
              <w:t>Out of</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7"/>
                <w:szCs w:val="7"/>
                <w:b w:val="1"/>
                <w:bCs w:val="1"/>
                <w:color w:val="auto"/>
              </w:rPr>
              <w:t>Balance, December 31, 2020</w:t>
            </w:r>
          </w:p>
        </w:tc>
        <w:tc>
          <w:tcPr>
            <w:tcW w:w="100" w:type="dxa"/>
            <w:vAlign w:val="bottom"/>
          </w:tcPr>
          <w:p>
            <w:pPr>
              <w:spacing w:after="0"/>
              <w:rPr>
                <w:sz w:val="6"/>
                <w:szCs w:val="6"/>
                <w:color w:val="auto"/>
              </w:rPr>
            </w:pPr>
          </w:p>
        </w:tc>
        <w:tc>
          <w:tcPr>
            <w:tcW w:w="1400" w:type="dxa"/>
            <w:vAlign w:val="bottom"/>
          </w:tcPr>
          <w:p>
            <w:pPr>
              <w:jc w:val="center"/>
              <w:ind w:right="71"/>
              <w:spacing w:after="0" w:line="72" w:lineRule="exact"/>
              <w:rPr>
                <w:sz w:val="20"/>
                <w:szCs w:val="20"/>
                <w:color w:val="auto"/>
              </w:rPr>
            </w:pPr>
            <w:r>
              <w:rPr>
                <w:rFonts w:ascii="Times New Roman" w:cs="Times New Roman" w:eastAsia="Times New Roman" w:hAnsi="Times New Roman"/>
                <w:sz w:val="7"/>
                <w:szCs w:val="7"/>
                <w:b w:val="1"/>
                <w:bCs w:val="1"/>
                <w:color w:val="auto"/>
              </w:rPr>
              <w:t>Income Related to Assets and Liabilities</w:t>
            </w:r>
          </w:p>
        </w:tc>
        <w:tc>
          <w:tcPr>
            <w:tcW w:w="0" w:type="dxa"/>
            <w:vAlign w:val="bottom"/>
          </w:tcPr>
          <w:p>
            <w:pPr>
              <w:spacing w:after="0"/>
              <w:rPr>
                <w:sz w:val="1"/>
                <w:szCs w:val="1"/>
                <w:color w:val="auto"/>
              </w:rPr>
            </w:pPr>
          </w:p>
        </w:tc>
      </w:tr>
      <w:tr>
        <w:trPr>
          <w:trHeight w:val="108"/>
        </w:trPr>
        <w:tc>
          <w:tcPr>
            <w:tcW w:w="17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ind w:right="249"/>
              <w:spacing w:after="0"/>
              <w:rPr>
                <w:sz w:val="20"/>
                <w:szCs w:val="20"/>
                <w:color w:val="auto"/>
              </w:rPr>
            </w:pPr>
            <w:r>
              <w:rPr>
                <w:rFonts w:ascii="Times New Roman" w:cs="Times New Roman" w:eastAsia="Times New Roman" w:hAnsi="Times New Roman"/>
                <w:sz w:val="7"/>
                <w:szCs w:val="7"/>
                <w:b w:val="1"/>
                <w:bCs w:val="1"/>
                <w:color w:val="auto"/>
              </w:rPr>
              <w:t>2020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5"/>
              </w:rPr>
              <w:t>Income</w:t>
            </w:r>
            <w:r>
              <w:rPr>
                <w:rFonts w:ascii="Times New Roman" w:cs="Times New Roman" w:eastAsia="Times New Roman" w:hAnsi="Times New Roman"/>
                <w:sz w:val="9"/>
                <w:szCs w:val="9"/>
                <w:b w:val="1"/>
                <w:bCs w:val="1"/>
                <w:color w:val="auto"/>
                <w:w w:val="95"/>
                <w:vertAlign w:val="superscript"/>
              </w:rPr>
              <w:t>(1)</w:t>
            </w: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20" w:type="dxa"/>
            <w:vAlign w:val="bottom"/>
          </w:tcPr>
          <w:p>
            <w:pPr>
              <w:jc w:val="center"/>
              <w:ind w:left="180"/>
              <w:spacing w:after="0"/>
              <w:rPr>
                <w:sz w:val="20"/>
                <w:szCs w:val="20"/>
                <w:color w:val="auto"/>
              </w:rPr>
            </w:pPr>
            <w:r>
              <w:rPr>
                <w:rFonts w:ascii="Times New Roman" w:cs="Times New Roman" w:eastAsia="Times New Roman" w:hAnsi="Times New Roman"/>
                <w:sz w:val="7"/>
                <w:szCs w:val="7"/>
                <w:b w:val="1"/>
                <w:bCs w:val="1"/>
                <w:color w:val="auto"/>
              </w:rPr>
              <w:t>Level 3</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Level 3</w:t>
            </w:r>
          </w:p>
        </w:tc>
        <w:tc>
          <w:tcPr>
            <w:tcW w:w="10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center"/>
              <w:ind w:right="51"/>
              <w:spacing w:after="0"/>
              <w:rPr>
                <w:sz w:val="20"/>
                <w:szCs w:val="20"/>
                <w:color w:val="auto"/>
              </w:rPr>
            </w:pPr>
            <w:r>
              <w:rPr>
                <w:rFonts w:ascii="Times New Roman" w:cs="Times New Roman" w:eastAsia="Times New Roman" w:hAnsi="Times New Roman"/>
                <w:sz w:val="7"/>
                <w:szCs w:val="7"/>
                <w:b w:val="1"/>
                <w:bCs w:val="1"/>
                <w:color w:val="auto"/>
              </w:rPr>
              <w:t>Still Held as of December 31, 2020</w:t>
            </w:r>
            <w:r>
              <w:rPr>
                <w:rFonts w:ascii="Times New Roman" w:cs="Times New Roman" w:eastAsia="Times New Roman" w:hAnsi="Times New Roman"/>
                <w:sz w:val="9"/>
                <w:szCs w:val="9"/>
                <w:b w:val="1"/>
                <w:bCs w:val="1"/>
                <w:color w:val="auto"/>
                <w:vertAlign w:val="superscript"/>
              </w:rPr>
              <w:t>(1)</w:t>
            </w:r>
          </w:p>
        </w:tc>
        <w:tc>
          <w:tcPr>
            <w:tcW w:w="0" w:type="dxa"/>
            <w:vAlign w:val="bottom"/>
          </w:tcPr>
          <w:p>
            <w:pPr>
              <w:spacing w:after="0"/>
              <w:rPr>
                <w:sz w:val="1"/>
                <w:szCs w:val="1"/>
                <w:color w:val="auto"/>
              </w:rPr>
            </w:pPr>
          </w:p>
        </w:tc>
      </w:tr>
      <w:tr>
        <w:trPr>
          <w:trHeight w:val="133"/>
        </w:trPr>
        <w:tc>
          <w:tcPr>
            <w:tcW w:w="16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Securities available for sale:</w:t>
            </w:r>
            <w:r>
              <w:rPr>
                <w:rFonts w:ascii="Times New Roman" w:cs="Times New Roman" w:eastAsia="Times New Roman" w:hAnsi="Times New Roman"/>
                <w:sz w:val="14"/>
                <w:szCs w:val="14"/>
                <w:color w:val="auto"/>
                <w:vertAlign w:val="superscript"/>
              </w:rPr>
              <w:t>(2)(4)</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RMBS</w:t>
            </w: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2"/>
                <w:szCs w:val="12"/>
                <w:color w:val="auto"/>
              </w:rPr>
            </w:pPr>
          </w:p>
        </w:tc>
        <w:tc>
          <w:tcPr>
            <w:tcW w:w="560" w:type="dxa"/>
            <w:vAlign w:val="bottom"/>
          </w:tcPr>
          <w:p>
            <w:pPr>
              <w:jc w:val="right"/>
              <w:ind w:right="435"/>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2"/>
                <w:szCs w:val="12"/>
                <w:color w:val="auto"/>
              </w:rPr>
            </w:pPr>
          </w:p>
        </w:tc>
        <w:tc>
          <w:tcPr>
            <w:tcW w:w="520" w:type="dxa"/>
            <w:vAlign w:val="bottom"/>
          </w:tcPr>
          <w:p>
            <w:pPr>
              <w:jc w:val="right"/>
              <w:ind w:right="420"/>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4"/>
              </w:rPr>
              <w:t>206</w:t>
            </w:r>
          </w:p>
        </w:tc>
        <w:tc>
          <w:tcPr>
            <w:tcW w:w="10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tcPr>
          <w:p>
            <w:pPr>
              <w:spacing w:after="0"/>
              <w:rPr>
                <w:sz w:val="12"/>
                <w:szCs w:val="12"/>
                <w:color w:val="auto"/>
              </w:rPr>
            </w:pPr>
          </w:p>
        </w:tc>
        <w:tc>
          <w:tcPr>
            <w:tcW w:w="380" w:type="dxa"/>
            <w:vAlign w:val="bottom"/>
          </w:tcPr>
          <w:p>
            <w:pPr>
              <w:jc w:val="right"/>
              <w:ind w:right="27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46"/>
        </w:trPr>
        <w:tc>
          <w:tcPr>
            <w:tcW w:w="1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CMBS</w:t>
            </w: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4"/>
              </w:rPr>
              <w:t>371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Total securities available for sale</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4"/>
              </w:rPr>
              <w:t>577</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26"/>
        </w:trPr>
        <w:tc>
          <w:tcPr>
            <w:tcW w:w="17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assets:</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Retained interests in</w:t>
            </w:r>
          </w:p>
        </w:tc>
        <w:tc>
          <w:tcPr>
            <w:tcW w:w="18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42"/>
        </w:trPr>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securitizations</w:t>
            </w: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4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Net derivative assets (liabilities)</w:t>
            </w:r>
            <w:r>
              <w:rPr>
                <w:rFonts w:ascii="Times New Roman" w:cs="Times New Roman" w:eastAsia="Times New Roman" w:hAnsi="Times New Roman"/>
                <w:sz w:val="14"/>
                <w:szCs w:val="14"/>
                <w:color w:val="auto"/>
                <w:vertAlign w:val="superscript"/>
              </w:rPr>
              <w:t>(3)</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w:t>
      </w:r>
    </w:p>
    <w:p>
      <w:pPr>
        <w:spacing w:after="0" w:line="38" w:lineRule="exact"/>
        <w:rPr>
          <w:sz w:val="20"/>
          <w:szCs w:val="20"/>
          <w:color w:val="auto"/>
        </w:rPr>
      </w:pPr>
    </w:p>
    <w:p>
      <w:pPr>
        <w:ind w:left="208" w:right="20" w:hanging="208"/>
        <w:spacing w:after="0" w:line="261" w:lineRule="auto"/>
        <w:tabs>
          <w:tab w:leader="none" w:pos="200" w:val="left"/>
        </w:tabs>
        <w:numPr>
          <w:ilvl w:val="0"/>
          <w:numId w:val="10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Realized gains (losses) on securities available for sale are included in net securities gains (losses) and retained interests in securitizations are reported as a component of non-interest income in our consolidated statements of income. Gains (losses) on derivatives are included as a component of net interest income or non-interest income in our consolidated statements of income.</w:t>
      </w:r>
    </w:p>
    <w:p>
      <w:pPr>
        <w:spacing w:after="0" w:line="19" w:lineRule="exact"/>
        <w:rPr>
          <w:rFonts w:ascii="Times New Roman" w:cs="Times New Roman" w:eastAsia="Times New Roman" w:hAnsi="Times New Roman"/>
          <w:sz w:val="6"/>
          <w:szCs w:val="6"/>
          <w:color w:val="auto"/>
        </w:rPr>
      </w:pPr>
    </w:p>
    <w:p>
      <w:pPr>
        <w:ind w:left="208" w:hanging="208"/>
        <w:spacing w:after="0" w:line="228" w:lineRule="auto"/>
        <w:tabs>
          <w:tab w:leader="none" w:pos="200" w:val="left"/>
        </w:tabs>
        <w:numPr>
          <w:ilvl w:val="0"/>
          <w:numId w:val="10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Net unrealized losses included in other comprehensive income related to Level 3 securities available for sale still held as of December 31, 2022 were $57 million. Net unrealized losses included in other comprehensive income related to Level 3 securities available for sale still held as of December 31, 2021 were $4 million. Net unrealized losses included in other comprehensive income related to Level 3 securities available for sale still held as of December 31, 2020 were $21 million.</w:t>
      </w:r>
    </w:p>
    <w:p>
      <w:pPr>
        <w:spacing w:after="0" w:line="15"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0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derivative assets and liabilities of $79 million and $74 million, respectively, as of December 31, 2022 and $84 million and $65 million, respectively, as of December 31, 2021, and $141 million and $110 million, respectively, as of December 31, 2020.</w:t>
      </w:r>
    </w:p>
    <w:p>
      <w:pPr>
        <w:spacing w:after="0" w:line="30" w:lineRule="exact"/>
        <w:rPr>
          <w:rFonts w:ascii="Times New Roman" w:cs="Times New Roman" w:eastAsia="Times New Roman" w:hAnsi="Times New Roman"/>
          <w:sz w:val="12"/>
          <w:szCs w:val="12"/>
          <w:color w:val="auto"/>
          <w:vertAlign w:val="superscript"/>
        </w:rPr>
      </w:pPr>
    </w:p>
    <w:p>
      <w:pPr>
        <w:ind w:left="208" w:hanging="208"/>
        <w:spacing w:after="0" w:line="236" w:lineRule="auto"/>
        <w:tabs>
          <w:tab w:leader="none" w:pos="208" w:val="left"/>
        </w:tabs>
        <w:numPr>
          <w:ilvl w:val="0"/>
          <w:numId w:val="10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fair value of RMBS as of January 1, 2020 includes a cumulative adjustment of $4 million from the adoption of the CECL standard.</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Significant Level 3 Fair Value Asset and Liability Inputs</w:t>
      </w:r>
    </w:p>
    <w:p>
      <w:pPr>
        <w:spacing w:after="0" w:line="11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Generally, uncertainties in fair value measurements of financial instruments, such as changes in unobservable inputs, may have a significant impact on fair value. Certain of these unobservable inputs will, in isolation, have a directionally consistent impact on the fair value of the instrument for a given change in that input. Alternatively, the fair value of the instrument may move in an opposite direction for a given change in another input. In general, an increase in the discount rate, default rates, loss severity or credit spreads, in isolation, would result in a decrease in the fair value measurement. In addition, an increase in default rates would generally be accompanied by a decrease in recovery rates, slower prepayment rates and an increase in liquidity spreads, and would lead to a decrease in the fair value measurement.</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Techniques and Inputs for Level 3 Fair Value Measurements</w:t>
      </w:r>
    </w:p>
    <w:p>
      <w:pPr>
        <w:spacing w:after="0" w:line="11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following table presents the significant unobservable inputs used to determine the fair values of our Level 3 financial instruments on a recurring basis. We utilize multiple vendor pricing services to obtain fair value for our securities. Several of our vendor pricing services are only able to provide unobservable input information for a limited number of securities due to software licensing restrictions. Other vendor pricing services are able to provide unobservable input information for all securities for which they provide a valuation. As a result, the unobservable input information for the securities available for sale presented below represents a composite summary of all information we are able to obtain. The unobservable input information for all other Level 3 financial instruments is based on the assumptions used in our internal valuation models.</w:t>
      </w:r>
    </w:p>
    <w:p>
      <w:pPr>
        <w:spacing w:after="0" w:line="200" w:lineRule="exact"/>
        <w:rPr>
          <w:sz w:val="20"/>
          <w:szCs w:val="20"/>
          <w:color w:val="auto"/>
        </w:rPr>
      </w:pPr>
    </w:p>
    <w:p>
      <w:pPr>
        <w:spacing w:after="0" w:line="377"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192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93" w:name="page194"/>
    <w:bookmarkEnd w:id="193"/>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16.3: Quantitative Information about Level 3 Fair Value Measurements</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gridSpan w:val="4"/>
          </w:tcPr>
          <w:p>
            <w:pPr>
              <w:ind w:left="1600"/>
              <w:spacing w:after="0"/>
              <w:rPr>
                <w:sz w:val="20"/>
                <w:szCs w:val="20"/>
                <w:color w:val="auto"/>
              </w:rPr>
            </w:pPr>
            <w:r>
              <w:rPr>
                <w:rFonts w:ascii="Times New Roman" w:cs="Times New Roman" w:eastAsia="Times New Roman" w:hAnsi="Times New Roman"/>
                <w:sz w:val="10"/>
                <w:szCs w:val="10"/>
                <w:b w:val="1"/>
                <w:bCs w:val="1"/>
                <w:color w:val="auto"/>
              </w:rPr>
              <w:t>Quantitative Information about Level 3 Fair Value Measurements</w:t>
            </w:r>
          </w:p>
        </w:tc>
        <w:tc>
          <w:tcPr>
            <w:tcW w:w="1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jc w:val="center"/>
              <w:ind w:left="211"/>
              <w:spacing w:after="0" w:line="89" w:lineRule="exact"/>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2"/>
          </w:tcPr>
          <w:p>
            <w:pPr>
              <w:jc w:val="center"/>
              <w:ind w:right="80"/>
              <w:spacing w:after="0" w:line="89" w:lineRule="exact"/>
              <w:rPr>
                <w:sz w:val="20"/>
                <w:szCs w:val="20"/>
                <w:color w:val="auto"/>
              </w:rPr>
            </w:pPr>
            <w:r>
              <w:rPr>
                <w:rFonts w:ascii="Times New Roman" w:cs="Times New Roman" w:eastAsia="Times New Roman" w:hAnsi="Times New Roman"/>
                <w:sz w:val="10"/>
                <w:szCs w:val="10"/>
                <w:b w:val="1"/>
                <w:bCs w:val="1"/>
                <w:color w:val="auto"/>
                <w:w w:val="95"/>
              </w:rPr>
              <w:t>Significant</w:t>
            </w:r>
          </w:p>
        </w:tc>
        <w:tc>
          <w:tcPr>
            <w:tcW w:w="2640" w:type="dxa"/>
            <w:vAlign w:val="bottom"/>
            <w:gridSpan w:val="2"/>
          </w:tcPr>
          <w:p>
            <w:pPr>
              <w:jc w:val="center"/>
              <w:ind w:right="80"/>
              <w:spacing w:after="0" w:line="89" w:lineRule="exact"/>
              <w:rPr>
                <w:sz w:val="20"/>
                <w:szCs w:val="20"/>
                <w:color w:val="auto"/>
              </w:rPr>
            </w:pPr>
            <w:r>
              <w:rPr>
                <w:rFonts w:ascii="Times New Roman" w:cs="Times New Roman" w:eastAsia="Times New Roman" w:hAnsi="Times New Roman"/>
                <w:sz w:val="10"/>
                <w:szCs w:val="10"/>
                <w:b w:val="1"/>
                <w:bCs w:val="1"/>
                <w:color w:val="auto"/>
                <w:w w:val="95"/>
              </w:rPr>
              <w:t>Significant</w:t>
            </w: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97"/>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960" w:type="dxa"/>
            <w:vAlign w:val="bottom"/>
          </w:tcPr>
          <w:p>
            <w:pPr>
              <w:jc w:val="center"/>
              <w:ind w:left="191"/>
              <w:spacing w:after="0" w:line="98"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gridSpan w:val="2"/>
          </w:tcPr>
          <w:p>
            <w:pPr>
              <w:jc w:val="center"/>
              <w:ind w:right="80"/>
              <w:spacing w:after="0" w:line="98" w:lineRule="exact"/>
              <w:rPr>
                <w:sz w:val="20"/>
                <w:szCs w:val="20"/>
                <w:color w:val="auto"/>
              </w:rPr>
            </w:pPr>
            <w:r>
              <w:rPr>
                <w:rFonts w:ascii="Times New Roman" w:cs="Times New Roman" w:eastAsia="Times New Roman" w:hAnsi="Times New Roman"/>
                <w:sz w:val="10"/>
                <w:szCs w:val="10"/>
                <w:b w:val="1"/>
                <w:bCs w:val="1"/>
                <w:color w:val="auto"/>
                <w:w w:val="94"/>
              </w:rPr>
              <w:t>Valuation</w:t>
            </w:r>
          </w:p>
        </w:tc>
        <w:tc>
          <w:tcPr>
            <w:tcW w:w="2640" w:type="dxa"/>
            <w:vAlign w:val="bottom"/>
            <w:gridSpan w:val="2"/>
          </w:tcPr>
          <w:p>
            <w:pPr>
              <w:jc w:val="center"/>
              <w:ind w:right="80"/>
              <w:spacing w:after="0" w:line="98"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0"/>
                <w:szCs w:val="10"/>
                <w:b w:val="1"/>
                <w:bCs w:val="1"/>
                <w:color w:val="auto"/>
              </w:rPr>
              <w:t>Range</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00" w:type="dxa"/>
            <w:vAlign w:val="bottom"/>
            <w:gridSpan w:val="2"/>
            <w:vMerge w:val="continue"/>
          </w:tcPr>
          <w:p>
            <w:pPr>
              <w:spacing w:after="0"/>
              <w:rPr>
                <w:sz w:val="11"/>
                <w:szCs w:val="11"/>
                <w:color w:val="auto"/>
              </w:rPr>
            </w:pPr>
          </w:p>
        </w:tc>
        <w:tc>
          <w:tcPr>
            <w:tcW w:w="960" w:type="dxa"/>
            <w:vAlign w:val="bottom"/>
          </w:tcPr>
          <w:p>
            <w:pPr>
              <w:jc w:val="center"/>
              <w:ind w:left="231"/>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Techniques</w:t>
            </w: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Inputs</w:t>
            </w:r>
          </w:p>
        </w:tc>
        <w:tc>
          <w:tcPr>
            <w:tcW w:w="1540" w:type="dxa"/>
            <w:vAlign w:val="bottom"/>
            <w:gridSpan w:val="2"/>
            <w:vMerge w:val="continue"/>
          </w:tcPr>
          <w:p>
            <w:pPr>
              <w:spacing w:after="0"/>
              <w:rPr>
                <w:sz w:val="11"/>
                <w:szCs w:val="11"/>
                <w:color w:val="auto"/>
              </w:rPr>
            </w:pPr>
          </w:p>
        </w:tc>
        <w:tc>
          <w:tcPr>
            <w:tcW w:w="980" w:type="dxa"/>
            <w:vAlign w:val="bottom"/>
          </w:tcPr>
          <w:p>
            <w:pPr>
              <w:ind w:left="280"/>
              <w:spacing w:after="0" w:line="135" w:lineRule="exact"/>
              <w:rPr>
                <w:sz w:val="20"/>
                <w:szCs w:val="20"/>
                <w:color w:val="auto"/>
              </w:rPr>
            </w:pPr>
            <w:r>
              <w:rPr>
                <w:rFonts w:ascii="Times New Roman" w:cs="Times New Roman" w:eastAsia="Times New Roman" w:hAnsi="Times New Roman"/>
                <w:sz w:val="10"/>
                <w:szCs w:val="10"/>
                <w:b w:val="1"/>
                <w:bCs w:val="1"/>
                <w:color w:val="auto"/>
              </w:rPr>
              <w:t>Average</w:t>
            </w:r>
            <w:r>
              <w:rPr>
                <w:rFonts w:ascii="Times New Roman" w:cs="Times New Roman" w:eastAsia="Times New Roman" w:hAnsi="Times New Roman"/>
                <w:sz w:val="12"/>
                <w:szCs w:val="12"/>
                <w:b w:val="1"/>
                <w:bCs w:val="1"/>
                <w:color w:val="auto"/>
                <w:vertAlign w:val="superscript"/>
              </w:rPr>
              <w:t>(1)</w:t>
            </w:r>
          </w:p>
        </w:tc>
        <w:tc>
          <w:tcPr>
            <w:tcW w:w="0" w:type="dxa"/>
            <w:vAlign w:val="bottom"/>
          </w:tcPr>
          <w:p>
            <w:pPr>
              <w:spacing w:after="0"/>
              <w:rPr>
                <w:sz w:val="1"/>
                <w:szCs w:val="1"/>
                <w:color w:val="auto"/>
              </w:rPr>
            </w:pPr>
          </w:p>
        </w:tc>
      </w:tr>
      <w:tr>
        <w:trPr>
          <w:trHeight w:val="133"/>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0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RMBS</w:t>
            </w:r>
          </w:p>
        </w:tc>
        <w:tc>
          <w:tcPr>
            <w:tcW w:w="960" w:type="dxa"/>
            <w:vAlign w:val="bottom"/>
          </w:tcPr>
          <w:p>
            <w:pPr>
              <w:jc w:val="right"/>
              <w:ind w:right="851"/>
              <w:spacing w:after="0" w:line="108"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236</w:t>
            </w:r>
          </w:p>
        </w:tc>
        <w:tc>
          <w:tcPr>
            <w:tcW w:w="100" w:type="dxa"/>
            <w:vAlign w:val="bottom"/>
          </w:tcPr>
          <w:p>
            <w:pPr>
              <w:spacing w:after="0"/>
              <w:rPr>
                <w:sz w:val="9"/>
                <w:szCs w:val="9"/>
                <w:color w:val="auto"/>
              </w:rPr>
            </w:pPr>
          </w:p>
        </w:tc>
        <w:tc>
          <w:tcPr>
            <w:tcW w:w="208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Discounted cash flows (vendor pricing)</w:t>
            </w:r>
          </w:p>
        </w:tc>
        <w:tc>
          <w:tcPr>
            <w:tcW w:w="26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Yield</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3-12%</w:t>
            </w:r>
          </w:p>
        </w:tc>
        <w:tc>
          <w:tcPr>
            <w:tcW w:w="80" w:type="dxa"/>
            <w:vAlign w:val="bottom"/>
          </w:tcPr>
          <w:p>
            <w:pPr>
              <w:spacing w:after="0"/>
              <w:rPr>
                <w:sz w:val="9"/>
                <w:szCs w:val="9"/>
                <w:color w:val="auto"/>
              </w:rPr>
            </w:pPr>
          </w:p>
        </w:tc>
        <w:tc>
          <w:tcPr>
            <w:tcW w:w="9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7%</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Voluntary prepayment rate</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4-20%</w:t>
            </w:r>
          </w:p>
        </w:tc>
        <w:tc>
          <w:tcPr>
            <w:tcW w:w="80" w:type="dxa"/>
            <w:vAlign w:val="bottom"/>
          </w:tcPr>
          <w:p>
            <w:pPr>
              <w:spacing w:after="0"/>
              <w:rPr>
                <w:sz w:val="9"/>
                <w:szCs w:val="9"/>
                <w:color w:val="auto"/>
              </w:rPr>
            </w:pPr>
          </w:p>
        </w:tc>
        <w:tc>
          <w:tcPr>
            <w:tcW w:w="9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8%</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Default rate</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0-11%</w:t>
            </w:r>
          </w:p>
        </w:tc>
        <w:tc>
          <w:tcPr>
            <w:tcW w:w="80" w:type="dxa"/>
            <w:vAlign w:val="bottom"/>
          </w:tcPr>
          <w:p>
            <w:pPr>
              <w:spacing w:after="0"/>
              <w:rPr>
                <w:sz w:val="9"/>
                <w:szCs w:val="9"/>
                <w:color w:val="auto"/>
              </w:rPr>
            </w:pPr>
          </w:p>
        </w:tc>
        <w:tc>
          <w:tcPr>
            <w:tcW w:w="9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143"/>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Loss severity</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30-80%</w:t>
            </w:r>
          </w:p>
        </w:tc>
        <w:tc>
          <w:tcPr>
            <w:tcW w:w="80" w:type="dxa"/>
            <w:vAlign w:val="bottom"/>
          </w:tcPr>
          <w:p>
            <w:pPr>
              <w:spacing w:after="0"/>
              <w:rPr>
                <w:sz w:val="12"/>
                <w:szCs w:val="1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58%</w:t>
            </w:r>
          </w:p>
        </w:tc>
        <w:tc>
          <w:tcPr>
            <w:tcW w:w="0" w:type="dxa"/>
            <w:vAlign w:val="bottom"/>
          </w:tcPr>
          <w:p>
            <w:pPr>
              <w:spacing w:after="0"/>
              <w:rPr>
                <w:sz w:val="1"/>
                <w:szCs w:val="1"/>
                <w:color w:val="auto"/>
              </w:rPr>
            </w:pPr>
          </w:p>
        </w:tc>
      </w:tr>
      <w:tr>
        <w:trPr>
          <w:trHeight w:val="145"/>
        </w:trPr>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CMBS</w:t>
            </w: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142</w:t>
            </w: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flows (vendor pricing)</w:t>
            </w: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Yield</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4-5%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5%</w:t>
            </w:r>
          </w:p>
        </w:tc>
        <w:tc>
          <w:tcPr>
            <w:tcW w:w="0" w:type="dxa"/>
            <w:vAlign w:val="bottom"/>
          </w:tcPr>
          <w:p>
            <w:pPr>
              <w:spacing w:after="0"/>
              <w:rPr>
                <w:sz w:val="1"/>
                <w:szCs w:val="1"/>
                <w:color w:val="auto"/>
              </w:rPr>
            </w:pPr>
          </w:p>
        </w:tc>
      </w:tr>
      <w:tr>
        <w:trPr>
          <w:trHeight w:val="142"/>
        </w:trPr>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00" w:type="dxa"/>
            <w:vAlign w:val="bottom"/>
            <w:gridSpan w:val="2"/>
            <w:shd w:val="clear" w:color="auto" w:fill="CCEEFF"/>
          </w:tcPr>
          <w:p>
            <w:pPr>
              <w:ind w:left="80"/>
              <w:spacing w:after="0" w:line="110" w:lineRule="exact"/>
              <w:rPr>
                <w:sz w:val="20"/>
                <w:szCs w:val="20"/>
                <w:color w:val="auto"/>
              </w:rPr>
            </w:pPr>
            <w:r>
              <w:rPr>
                <w:rFonts w:ascii="Times New Roman" w:cs="Times New Roman" w:eastAsia="Times New Roman" w:hAnsi="Times New Roman"/>
                <w:sz w:val="9"/>
                <w:szCs w:val="9"/>
                <w:color w:val="auto"/>
              </w:rPr>
              <w:t>Retained interests in securitizations</w:t>
            </w:r>
            <w:r>
              <w:rPr>
                <w:rFonts w:ascii="Times New Roman" w:cs="Times New Roman" w:eastAsia="Times New Roman" w:hAnsi="Times New Roman"/>
                <w:sz w:val="12"/>
                <w:szCs w:val="12"/>
                <w:color w:val="auto"/>
                <w:vertAlign w:val="superscript"/>
              </w:rPr>
              <w:t>(2)</w:t>
            </w: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36</w:t>
            </w:r>
          </w:p>
        </w:tc>
        <w:tc>
          <w:tcPr>
            <w:tcW w:w="100" w:type="dxa"/>
            <w:vAlign w:val="bottom"/>
            <w:shd w:val="clear" w:color="auto" w:fill="CCEEFF"/>
          </w:tcPr>
          <w:p>
            <w:pPr>
              <w:spacing w:after="0"/>
              <w:rPr>
                <w:sz w:val="9"/>
                <w:szCs w:val="9"/>
                <w:color w:val="auto"/>
              </w:rPr>
            </w:pPr>
          </w:p>
        </w:tc>
        <w:tc>
          <w:tcPr>
            <w:tcW w:w="208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Discounted cash flows</w:t>
            </w:r>
          </w:p>
        </w:tc>
        <w:tc>
          <w:tcPr>
            <w:tcW w:w="2640" w:type="dxa"/>
            <w:vAlign w:val="bottom"/>
            <w:gridSpan w:val="2"/>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Life of receivables (months)</w:t>
            </w:r>
          </w:p>
        </w:tc>
        <w:tc>
          <w:tcPr>
            <w:tcW w:w="146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30-43</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Voluntary prepayment rate</w:t>
            </w:r>
          </w:p>
        </w:tc>
        <w:tc>
          <w:tcPr>
            <w:tcW w:w="1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9-18%</w:t>
            </w:r>
          </w:p>
        </w:tc>
        <w:tc>
          <w:tcPr>
            <w:tcW w:w="8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N/A</w:t>
            </w: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Discount rate</w:t>
            </w:r>
          </w:p>
        </w:tc>
        <w:tc>
          <w:tcPr>
            <w:tcW w:w="1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4-7%</w:t>
            </w:r>
          </w:p>
        </w:tc>
        <w:tc>
          <w:tcPr>
            <w:tcW w:w="8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Default rate</w:t>
            </w:r>
          </w:p>
        </w:tc>
        <w:tc>
          <w:tcPr>
            <w:tcW w:w="1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severity</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62-291%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derivative assets (liabilities)</w:t>
            </w: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flows</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Swap rates</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3-4%</w:t>
            </w:r>
          </w:p>
        </w:tc>
        <w:tc>
          <w:tcPr>
            <w:tcW w:w="80" w:type="dxa"/>
            <w:vAlign w:val="bottom"/>
          </w:tcPr>
          <w:p>
            <w:pPr>
              <w:spacing w:after="0"/>
              <w:rPr>
                <w:sz w:val="12"/>
                <w:szCs w:val="1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4%</w:t>
            </w:r>
          </w:p>
        </w:tc>
        <w:tc>
          <w:tcPr>
            <w:tcW w:w="0" w:type="dxa"/>
            <w:vAlign w:val="bottom"/>
          </w:tcPr>
          <w:p>
            <w:pPr>
              <w:spacing w:after="0"/>
              <w:rPr>
                <w:sz w:val="1"/>
                <w:szCs w:val="1"/>
                <w:color w:val="auto"/>
              </w:rPr>
            </w:pPr>
          </w:p>
        </w:tc>
      </w:tr>
      <w:tr>
        <w:trPr>
          <w:trHeight w:val="245"/>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720" w:type="dxa"/>
            <w:vAlign w:val="bottom"/>
            <w:tcBorders>
              <w:bottom w:val="single" w:sz="8" w:color="auto"/>
            </w:tcBorders>
            <w:gridSpan w:val="4"/>
          </w:tcPr>
          <w:p>
            <w:pPr>
              <w:ind w:left="1600"/>
              <w:spacing w:after="0"/>
              <w:rPr>
                <w:sz w:val="20"/>
                <w:szCs w:val="20"/>
                <w:color w:val="auto"/>
              </w:rPr>
            </w:pPr>
            <w:r>
              <w:rPr>
                <w:rFonts w:ascii="Times New Roman" w:cs="Times New Roman" w:eastAsia="Times New Roman" w:hAnsi="Times New Roman"/>
                <w:sz w:val="10"/>
                <w:szCs w:val="10"/>
                <w:b w:val="1"/>
                <w:bCs w:val="1"/>
                <w:color w:val="auto"/>
              </w:rPr>
              <w:t>Quantitative Information about Level 3 Fair Value Measurements</w:t>
            </w:r>
          </w:p>
        </w:tc>
        <w:tc>
          <w:tcPr>
            <w:tcW w:w="1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jc w:val="center"/>
              <w:ind w:left="211"/>
              <w:spacing w:after="0" w:line="88" w:lineRule="exact"/>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w w:val="95"/>
              </w:rPr>
              <w:t>Significant</w:t>
            </w:r>
          </w:p>
        </w:tc>
        <w:tc>
          <w:tcPr>
            <w:tcW w:w="264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w w:val="95"/>
              </w:rPr>
              <w:t>Significant</w:t>
            </w: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99"/>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960" w:type="dxa"/>
            <w:vAlign w:val="bottom"/>
          </w:tcPr>
          <w:p>
            <w:pPr>
              <w:jc w:val="center"/>
              <w:ind w:left="191"/>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Valuation</w:t>
            </w:r>
          </w:p>
        </w:tc>
        <w:tc>
          <w:tcPr>
            <w:tcW w:w="26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0"/>
                <w:szCs w:val="10"/>
                <w:b w:val="1"/>
                <w:bCs w:val="1"/>
                <w:color w:val="auto"/>
              </w:rPr>
              <w:t>Range</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960" w:type="dxa"/>
            <w:vAlign w:val="bottom"/>
          </w:tcPr>
          <w:p>
            <w:pPr>
              <w:jc w:val="center"/>
              <w:ind w:left="231"/>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Techniques</w:t>
            </w: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Inputs</w:t>
            </w:r>
          </w:p>
        </w:tc>
        <w:tc>
          <w:tcPr>
            <w:tcW w:w="1540" w:type="dxa"/>
            <w:vAlign w:val="bottom"/>
            <w:gridSpan w:val="2"/>
            <w:vMerge w:val="continue"/>
          </w:tcPr>
          <w:p>
            <w:pPr>
              <w:spacing w:after="0"/>
              <w:rPr>
                <w:sz w:val="11"/>
                <w:szCs w:val="11"/>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Average</w:t>
            </w:r>
            <w:r>
              <w:rPr>
                <w:rFonts w:ascii="Times New Roman" w:cs="Times New Roman" w:eastAsia="Times New Roman" w:hAnsi="Times New Roman"/>
                <w:sz w:val="6"/>
                <w:szCs w:val="6"/>
                <w:b w:val="1"/>
                <w:bCs w:val="1"/>
                <w:color w:val="auto"/>
              </w:rPr>
              <w:t>(1)</w:t>
            </w:r>
          </w:p>
        </w:tc>
        <w:tc>
          <w:tcPr>
            <w:tcW w:w="0" w:type="dxa"/>
            <w:vAlign w:val="bottom"/>
          </w:tcPr>
          <w:p>
            <w:pPr>
              <w:spacing w:after="0"/>
              <w:rPr>
                <w:sz w:val="1"/>
                <w:szCs w:val="1"/>
                <w:color w:val="auto"/>
              </w:rPr>
            </w:pPr>
          </w:p>
        </w:tc>
      </w:tr>
      <w:tr>
        <w:trPr>
          <w:trHeight w:val="138"/>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0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RMBS</w:t>
            </w:r>
          </w:p>
        </w:tc>
        <w:tc>
          <w:tcPr>
            <w:tcW w:w="960" w:type="dxa"/>
            <w:vAlign w:val="bottom"/>
          </w:tcPr>
          <w:p>
            <w:pPr>
              <w:jc w:val="right"/>
              <w:ind w:right="851"/>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258</w:t>
            </w:r>
          </w:p>
        </w:tc>
        <w:tc>
          <w:tcPr>
            <w:tcW w:w="100" w:type="dxa"/>
            <w:vAlign w:val="bottom"/>
          </w:tcPr>
          <w:p>
            <w:pPr>
              <w:spacing w:after="0"/>
              <w:rPr>
                <w:sz w:val="9"/>
                <w:szCs w:val="9"/>
                <w:color w:val="auto"/>
              </w:rPr>
            </w:pPr>
          </w:p>
        </w:tc>
        <w:tc>
          <w:tcPr>
            <w:tcW w:w="2080" w:type="dxa"/>
            <w:vAlign w:val="bottom"/>
            <w:gridSpan w:val="2"/>
          </w:tcPr>
          <w:p>
            <w:pPr>
              <w:spacing w:after="0" w:line="108" w:lineRule="exact"/>
              <w:rPr>
                <w:sz w:val="20"/>
                <w:szCs w:val="20"/>
                <w:color w:val="auto"/>
              </w:rPr>
            </w:pPr>
            <w:r>
              <w:rPr>
                <w:rFonts w:ascii="Times New Roman" w:cs="Times New Roman" w:eastAsia="Times New Roman" w:hAnsi="Times New Roman"/>
                <w:sz w:val="11"/>
                <w:szCs w:val="11"/>
                <w:color w:val="auto"/>
              </w:rPr>
              <w:t>Discounted cash flows (vendor pricing)</w:t>
            </w:r>
          </w:p>
        </w:tc>
        <w:tc>
          <w:tcPr>
            <w:tcW w:w="26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Yield</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0-21%</w:t>
            </w:r>
          </w:p>
        </w:tc>
        <w:tc>
          <w:tcPr>
            <w:tcW w:w="80" w:type="dxa"/>
            <w:vAlign w:val="bottom"/>
          </w:tcPr>
          <w:p>
            <w:pPr>
              <w:spacing w:after="0"/>
              <w:rPr>
                <w:sz w:val="9"/>
                <w:szCs w:val="9"/>
                <w:color w:val="auto"/>
              </w:rPr>
            </w:pPr>
          </w:p>
        </w:tc>
        <w:tc>
          <w:tcPr>
            <w:tcW w:w="9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Voluntary prepayment rate</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5-40%</w:t>
            </w:r>
          </w:p>
        </w:tc>
        <w:tc>
          <w:tcPr>
            <w:tcW w:w="80" w:type="dxa"/>
            <w:vAlign w:val="bottom"/>
          </w:tcPr>
          <w:p>
            <w:pPr>
              <w:spacing w:after="0"/>
              <w:rPr>
                <w:sz w:val="9"/>
                <w:szCs w:val="9"/>
                <w:color w:val="auto"/>
              </w:rPr>
            </w:pPr>
          </w:p>
        </w:tc>
        <w:tc>
          <w:tcPr>
            <w:tcW w:w="9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4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Default rate</w:t>
            </w:r>
          </w:p>
        </w:tc>
        <w:tc>
          <w:tcPr>
            <w:tcW w:w="14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spacing w:after="0"/>
              <w:rPr>
                <w:sz w:val="9"/>
                <w:szCs w:val="9"/>
                <w:color w:val="auto"/>
              </w:rPr>
            </w:pPr>
          </w:p>
        </w:tc>
        <w:tc>
          <w:tcPr>
            <w:tcW w:w="9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Loss severity</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30-100%</w:t>
            </w:r>
          </w:p>
        </w:tc>
        <w:tc>
          <w:tcPr>
            <w:tcW w:w="80" w:type="dxa"/>
            <w:vAlign w:val="bottom"/>
          </w:tcPr>
          <w:p>
            <w:pPr>
              <w:spacing w:after="0"/>
              <w:rPr>
                <w:sz w:val="12"/>
                <w:szCs w:val="1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46"/>
        </w:trPr>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CMBS</w:t>
            </w: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flows (vendor pricing)</w:t>
            </w: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Yield</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00" w:type="dxa"/>
            <w:vAlign w:val="bottom"/>
            <w:gridSpan w:val="2"/>
            <w:shd w:val="clear" w:color="auto" w:fill="CCEEFF"/>
          </w:tcPr>
          <w:p>
            <w:pPr>
              <w:ind w:left="80"/>
              <w:spacing w:after="0" w:line="110" w:lineRule="exact"/>
              <w:rPr>
                <w:sz w:val="20"/>
                <w:szCs w:val="20"/>
                <w:color w:val="auto"/>
              </w:rPr>
            </w:pPr>
            <w:r>
              <w:rPr>
                <w:rFonts w:ascii="Times New Roman" w:cs="Times New Roman" w:eastAsia="Times New Roman" w:hAnsi="Times New Roman"/>
                <w:sz w:val="9"/>
                <w:szCs w:val="9"/>
                <w:color w:val="auto"/>
              </w:rPr>
              <w:t>Retained interests in securitizations</w:t>
            </w:r>
            <w:r>
              <w:rPr>
                <w:rFonts w:ascii="Times New Roman" w:cs="Times New Roman" w:eastAsia="Times New Roman" w:hAnsi="Times New Roman"/>
                <w:sz w:val="12"/>
                <w:szCs w:val="12"/>
                <w:color w:val="auto"/>
                <w:vertAlign w:val="superscript"/>
              </w:rPr>
              <w:t>(2)</w:t>
            </w: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9"/>
                <w:szCs w:val="9"/>
                <w:color w:val="auto"/>
              </w:rPr>
            </w:pPr>
          </w:p>
        </w:tc>
        <w:tc>
          <w:tcPr>
            <w:tcW w:w="2080" w:type="dxa"/>
            <w:vAlign w:val="bottom"/>
            <w:gridSpan w:val="2"/>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Discounted cash flows</w:t>
            </w:r>
          </w:p>
        </w:tc>
        <w:tc>
          <w:tcPr>
            <w:tcW w:w="2640" w:type="dxa"/>
            <w:vAlign w:val="bottom"/>
            <w:gridSpan w:val="2"/>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Life of receivables (months)</w:t>
            </w:r>
          </w:p>
        </w:tc>
        <w:tc>
          <w:tcPr>
            <w:tcW w:w="146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29-36</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Voluntary prepayment rate</w:t>
            </w:r>
          </w:p>
        </w:tc>
        <w:tc>
          <w:tcPr>
            <w:tcW w:w="1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9-18%</w:t>
            </w:r>
          </w:p>
        </w:tc>
        <w:tc>
          <w:tcPr>
            <w:tcW w:w="8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Discount rate</w:t>
            </w:r>
          </w:p>
        </w:tc>
        <w:tc>
          <w:tcPr>
            <w:tcW w:w="1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2-8%</w:t>
            </w:r>
          </w:p>
        </w:tc>
        <w:tc>
          <w:tcPr>
            <w:tcW w:w="8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4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Default rate</w:t>
            </w:r>
          </w:p>
        </w:tc>
        <w:tc>
          <w:tcPr>
            <w:tcW w:w="146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severity</w:t>
            </w:r>
          </w:p>
        </w:tc>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72-151%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derivative assets (liabilities)</w:t>
            </w:r>
          </w:p>
        </w:tc>
        <w:tc>
          <w:tcPr>
            <w:tcW w:w="9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flows</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Swap rates</w:t>
            </w:r>
          </w:p>
        </w:tc>
        <w:tc>
          <w:tcPr>
            <w:tcW w:w="1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2"/>
                <w:szCs w:val="12"/>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tabs>
          <w:tab w:leader="none" w:pos="208" w:val="left"/>
        </w:tabs>
        <w:numPr>
          <w:ilvl w:val="0"/>
          <w:numId w:val="10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Weighted averages are calculated by using the product of the input multiplied by the relative fair value of the instruments.</w:t>
      </w:r>
    </w:p>
    <w:p>
      <w:pPr>
        <w:spacing w:after="0" w:line="23"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10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Due to the nature of the various mortgage securitization structures in which we have retained interests, it is not meaningful to present a consolidated weighted average for the significant unobservable inputs.</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Assets and Liabilities Measured at Fair Value on a Nonrecurring Basis</w:t>
      </w:r>
    </w:p>
    <w:p>
      <w:pPr>
        <w:spacing w:after="0" w:line="118"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We are required to measure and recognize certain assets at fair value on a nonrecurring basis on the consolidated balance sheets. These assets are not measured at fair value on an ongoing basis but are subject to fair value adjustments in certain circumstances (for example, from the application of lower of cost or fair value accounting or when we evaluate for impairment). The following describes the valuation techniques used in estimating the fair value of our financial assets and liabilities recorded at fair value on a nonrecurring basis.</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Net Loans Held for Investment</w:t>
      </w:r>
    </w:p>
    <w:p>
      <w:pPr>
        <w:spacing w:after="0" w:line="11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Loans held for investment that are recorded at fair value on our consolidated balance sheets on a nonrecurring basis largely consist of impaired loans for which impairment is measured based upon the fair value of the underlying collateral. The fair value is determined using appraisal values that are obtained from independent appraisers, broker pricing opinions or other available market information, adjusted for the estimated cost to sell. Due to the use of significant unobservable inputs, these</w:t>
      </w:r>
    </w:p>
    <w:p>
      <w:pPr>
        <w:spacing w:after="0" w:line="200" w:lineRule="exact"/>
        <w:rPr>
          <w:sz w:val="20"/>
          <w:szCs w:val="20"/>
          <w:color w:val="auto"/>
        </w:rPr>
      </w:pPr>
    </w:p>
    <w:p>
      <w:pPr>
        <w:spacing w:after="0" w:line="374"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193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94" w:name="page195"/>
    <w:bookmarkEnd w:id="194"/>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8" w:right="100"/>
        <w:spacing w:after="0" w:line="438" w:lineRule="auto"/>
        <w:rPr>
          <w:sz w:val="20"/>
          <w:szCs w:val="20"/>
          <w:color w:val="auto"/>
        </w:rPr>
      </w:pPr>
      <w:r>
        <w:rPr>
          <w:rFonts w:ascii="Times New Roman" w:cs="Times New Roman" w:eastAsia="Times New Roman" w:hAnsi="Times New Roman"/>
          <w:sz w:val="12"/>
          <w:szCs w:val="12"/>
          <w:color w:val="auto"/>
        </w:rPr>
        <w:t xml:space="preserve">loans are classified as Level 3 under the fair value hierarchy. Fair value adjustments for individually impaired collateralized loans held for investment are recorded in provision for credit losses in the consolidated statements of income. </w:t>
      </w:r>
      <w:r>
        <w:rPr>
          <w:rFonts w:ascii="Times New Roman" w:cs="Times New Roman" w:eastAsia="Times New Roman" w:hAnsi="Times New Roman"/>
          <w:sz w:val="12"/>
          <w:szCs w:val="12"/>
          <w:b w:val="1"/>
          <w:bCs w:val="1"/>
          <w:i w:val="1"/>
          <w:iCs w:val="1"/>
          <w:color w:val="auto"/>
        </w:rPr>
        <w:t>Loans Held for Sale</w:t>
      </w: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Loans held for sale for which we have not elected the fair value option are carried at the lower of aggregate cost, net of deferred fees and deferred origination costs, or fair value. These loans held for sale are valued based on market observable inputs and are therefore classified as Level 2. Fair value adjustments to these loans are recorded in other non-interest income in our consolidated statements of income.</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Other Assets</w:t>
      </w:r>
    </w:p>
    <w:p>
      <w:pPr>
        <w:spacing w:after="0" w:line="11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Other assets subject to nonrecurring fair value measurements include equity investments accounted for under the measurement alternative, other repossessed assets and long-lived assets held for sale. The assets held for sale are carried at the lower of the carrying amount or fair value less costs to sell. The fair value is determined based on the appraisal value, listing price of the property or collateral provided by independent appraisers, and is adjusted for the estimated costs to sell. Due to the use of significant unobservable inputs, these assets are classified as Level 3 under the fair value hierarchy. Fair value adjustments for these assets are recorded in other non-interest expense in the consolidated statements of income.</w:t>
      </w:r>
    </w:p>
    <w:p>
      <w:pPr>
        <w:spacing w:after="0" w:line="86"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carrying value of the assets measured at fair value on a nonrecurring basis and still held as of December 31, 2022 and 2021, and for which a nonrecurring fair value measurement was recorded during the year then ended.</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16.4: Nonrecurring Fair Value Measurements</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December 31, 2022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93"/>
        </w:trPr>
        <w:tc>
          <w:tcPr>
            <w:tcW w:w="8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Estimated Fair Value Hierarchy</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30"/>
        </w:trPr>
        <w:tc>
          <w:tcPr>
            <w:tcW w:w="84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b w:val="1"/>
                <w:bCs w:val="1"/>
                <w:color w:val="auto"/>
                <w:w w:val="90"/>
              </w:rPr>
              <w:t>Level 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8"/>
        </w:trPr>
        <w:tc>
          <w:tcPr>
            <w:tcW w:w="8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284</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284</w:t>
            </w:r>
          </w:p>
        </w:tc>
      </w:tr>
      <w:tr>
        <w:trPr>
          <w:trHeight w:val="143"/>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sale</w:t>
            </w:r>
          </w:p>
        </w:tc>
        <w:tc>
          <w:tcPr>
            <w:tcW w:w="160" w:type="dxa"/>
            <w:vAlign w:val="bottom"/>
          </w:tcPr>
          <w:p>
            <w:pPr>
              <w:spacing w:after="0"/>
              <w:rPr>
                <w:sz w:val="12"/>
                <w:szCs w:val="12"/>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r>
      <w:tr>
        <w:trPr>
          <w:trHeight w:val="145"/>
        </w:trPr>
        <w:tc>
          <w:tcPr>
            <w:tcW w:w="84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Other assets</w:t>
            </w:r>
            <w:r>
              <w:rPr>
                <w:rFonts w:ascii="Times New Roman" w:cs="Times New Roman" w:eastAsia="Times New Roman" w:hAnsi="Times New Roman"/>
                <w:sz w:val="14"/>
                <w:szCs w:val="14"/>
                <w:color w:val="auto"/>
                <w:vertAlign w:val="superscript"/>
              </w:rPr>
              <w:t>(1)</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220</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220</w:t>
            </w:r>
          </w:p>
        </w:tc>
      </w:tr>
      <w:tr>
        <w:trPr>
          <w:trHeight w:val="132"/>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504</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515</w:t>
            </w:r>
          </w:p>
        </w:tc>
      </w:tr>
      <w:tr>
        <w:trPr>
          <w:trHeight w:val="20"/>
        </w:trPr>
        <w:tc>
          <w:tcPr>
            <w:tcW w:w="8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20"/>
        </w:trPr>
        <w:tc>
          <w:tcPr>
            <w:tcW w:w="8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December 31, 2021</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20"/>
        </w:trPr>
        <w:tc>
          <w:tcPr>
            <w:tcW w:w="8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Estimated Fair Value Hierarchy</w:t>
            </w: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30"/>
        </w:trPr>
        <w:tc>
          <w:tcPr>
            <w:tcW w:w="846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640" w:type="dxa"/>
            <w:vAlign w:val="bottom"/>
          </w:tcPr>
          <w:p>
            <w:pPr>
              <w:jc w:val="center"/>
              <w:ind w:left="189"/>
              <w:spacing w:after="0"/>
              <w:rPr>
                <w:sz w:val="20"/>
                <w:szCs w:val="20"/>
                <w:color w:val="auto"/>
              </w:rPr>
            </w:pPr>
            <w:r>
              <w:rPr>
                <w:rFonts w:ascii="Times New Roman" w:cs="Times New Roman" w:eastAsia="Times New Roman" w:hAnsi="Times New Roman"/>
                <w:sz w:val="10"/>
                <w:szCs w:val="10"/>
                <w:b w:val="1"/>
                <w:bCs w:val="1"/>
                <w:color w:val="auto"/>
                <w:w w:val="90"/>
              </w:rPr>
              <w:t>Level 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8"/>
        </w:trPr>
        <w:tc>
          <w:tcPr>
            <w:tcW w:w="8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r>
      <w:tr>
        <w:trPr>
          <w:trHeight w:val="142"/>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held for sale</w:t>
            </w:r>
          </w:p>
        </w:tc>
        <w:tc>
          <w:tcPr>
            <w:tcW w:w="160" w:type="dxa"/>
            <w:vAlign w:val="bottom"/>
          </w:tcPr>
          <w:p>
            <w:pPr>
              <w:spacing w:after="0"/>
              <w:rPr>
                <w:sz w:val="12"/>
                <w:szCs w:val="12"/>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r>
      <w:tr>
        <w:trPr>
          <w:trHeight w:val="146"/>
        </w:trPr>
        <w:tc>
          <w:tcPr>
            <w:tcW w:w="846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Other assets</w:t>
            </w:r>
            <w:r>
              <w:rPr>
                <w:rFonts w:ascii="Times New Roman" w:cs="Times New Roman" w:eastAsia="Times New Roman" w:hAnsi="Times New Roman"/>
                <w:sz w:val="14"/>
                <w:szCs w:val="14"/>
                <w:color w:val="auto"/>
                <w:vertAlign w:val="superscript"/>
              </w:rPr>
              <w:t>(1)</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w:t>
            </w:r>
          </w:p>
        </w:tc>
      </w:tr>
      <w:tr>
        <w:trPr>
          <w:trHeight w:val="131"/>
        </w:trPr>
        <w:tc>
          <w:tcPr>
            <w:tcW w:w="8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637</w:t>
            </w:r>
          </w:p>
        </w:tc>
      </w:tr>
      <w:tr>
        <w:trPr>
          <w:trHeight w:val="20"/>
        </w:trPr>
        <w:tc>
          <w:tcPr>
            <w:tcW w:w="8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38" w:lineRule="exact"/>
        <w:rPr>
          <w:sz w:val="20"/>
          <w:szCs w:val="20"/>
          <w:color w:val="auto"/>
        </w:rPr>
      </w:pPr>
    </w:p>
    <w:p>
      <w:pPr>
        <w:ind w:left="208" w:hanging="208"/>
        <w:spacing w:after="0" w:line="261" w:lineRule="auto"/>
        <w:tabs>
          <w:tab w:leader="none" w:pos="200" w:val="left"/>
        </w:tabs>
        <w:numPr>
          <w:ilvl w:val="0"/>
          <w:numId w:val="10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 of December 31, 2022, other assets included investments accounted for under measurement alternative of $4 million, cost method investments of $3 million, repossessed assets of $55 million and long-lived assets held for sale and right-of-use assets totaling $158 million. As of December 31, 2021, other assets included equity method investments of $50 million, investments accounted for under measurement alternative of $29 million, repossessed assets of $40 million and long-lived assets held for sale and right-of-use assets totaling $206 million.</w:t>
      </w:r>
    </w:p>
    <w:p>
      <w:pPr>
        <w:spacing w:after="0" w:line="200" w:lineRule="exact"/>
        <w:rPr>
          <w:sz w:val="20"/>
          <w:szCs w:val="20"/>
          <w:color w:val="auto"/>
        </w:rPr>
      </w:pPr>
    </w:p>
    <w:p>
      <w:pPr>
        <w:spacing w:after="0" w:line="31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194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95" w:name="page196"/>
    <w:bookmarkEnd w:id="195"/>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In the above table, loans held for investment are generally valued based in part on the estimated fair value of the underlying collateral and the non-recoverable rate, which is considered to be a significant unobservable input. The non-recoverable rate ranged from 0% to 43%, with a weighted average of 20%, and from 0% to 100%, with a weighted average of 13%, as of December 31, 2022 and 2021, respectively. The weighted average non-recoverable rate is calculated based on the estimated market value of the underlying collateral. The significant unobservable inputs and related quantitative information related to fair value of the other assets are not meaningful to disclose as they vary significantly across properties and collateral.</w:t>
      </w:r>
    </w:p>
    <w:p>
      <w:pPr>
        <w:spacing w:after="0" w:line="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total nonrecurring fair value measurements for the period, included in earnings, attributable to the change in fair value relating to assets that are still held at December 31, 2022 and 2021.</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16.5: Nonrecurring Fair Value Measurements Included in Earnings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Total Gains (Losses)</w:t>
            </w:r>
          </w:p>
        </w:tc>
        <w:tc>
          <w:tcPr>
            <w:tcW w:w="940" w:type="dxa"/>
            <w:vAlign w:val="bottom"/>
            <w:tcBorders>
              <w:bottom w:val="single" w:sz="8" w:color="auto"/>
            </w:tcBorders>
          </w:tcPr>
          <w:p>
            <w:pPr>
              <w:spacing w:after="0"/>
              <w:rPr>
                <w:sz w:val="11"/>
                <w:szCs w:val="11"/>
                <w:color w:val="auto"/>
              </w:rPr>
            </w:pPr>
          </w:p>
        </w:tc>
      </w:tr>
      <w:tr>
        <w:trPr>
          <w:trHeight w:val="123"/>
        </w:trPr>
        <w:tc>
          <w:tcPr>
            <w:tcW w:w="8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40" w:type="dxa"/>
            <w:vAlign w:val="bottom"/>
            <w:tcBorders>
              <w:bottom w:val="single" w:sz="8" w:color="auto"/>
            </w:tcBorders>
          </w:tcPr>
          <w:p>
            <w:pPr>
              <w:spacing w:after="0"/>
              <w:rPr>
                <w:sz w:val="10"/>
                <w:szCs w:val="10"/>
                <w:color w:val="auto"/>
              </w:rPr>
            </w:pPr>
          </w:p>
        </w:tc>
      </w:tr>
      <w:tr>
        <w:trPr>
          <w:trHeight w:val="129"/>
        </w:trPr>
        <w:tc>
          <w:tcPr>
            <w:tcW w:w="82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360" w:type="dxa"/>
            <w:vAlign w:val="bottom"/>
          </w:tcPr>
          <w:p>
            <w:pPr>
              <w:spacing w:after="0"/>
              <w:rPr>
                <w:sz w:val="11"/>
                <w:szCs w:val="11"/>
                <w:color w:val="auto"/>
              </w:rPr>
            </w:pPr>
          </w:p>
        </w:tc>
        <w:tc>
          <w:tcPr>
            <w:tcW w:w="1140" w:type="dxa"/>
            <w:vAlign w:val="bottom"/>
          </w:tcPr>
          <w:p>
            <w:pPr>
              <w:jc w:val="right"/>
              <w:ind w:right="609"/>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8"/>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44"/>
        </w:trPr>
        <w:tc>
          <w:tcPr>
            <w:tcW w:w="8200" w:type="dxa"/>
            <w:vAlign w:val="bottom"/>
            <w:tcBorders>
              <w:bottom w:val="single" w:sz="8" w:color="CCEEFF"/>
            </w:tcBorders>
            <w:gridSpan w:val="2"/>
          </w:tcPr>
          <w:p>
            <w:pPr>
              <w:spacing w:after="0" w:line="144" w:lineRule="exact"/>
              <w:rPr>
                <w:sz w:val="20"/>
                <w:szCs w:val="20"/>
                <w:color w:val="auto"/>
              </w:rPr>
            </w:pPr>
            <w:r>
              <w:rPr>
                <w:rFonts w:ascii="Times New Roman" w:cs="Times New Roman" w:eastAsia="Times New Roman" w:hAnsi="Times New Roman"/>
                <w:sz w:val="11"/>
                <w:szCs w:val="11"/>
                <w:color w:val="auto"/>
              </w:rPr>
              <w:t>Other assets</w:t>
            </w:r>
            <w:r>
              <w:rPr>
                <w:rFonts w:ascii="Times New Roman" w:cs="Times New Roman" w:eastAsia="Times New Roman" w:hAnsi="Times New Roman"/>
                <w:sz w:val="14"/>
                <w:szCs w:val="14"/>
                <w:color w:val="auto"/>
                <w:vertAlign w:val="superscript"/>
              </w:rPr>
              <w:t>(1)</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w:t>
            </w:r>
          </w:p>
        </w:tc>
      </w:tr>
      <w:tr>
        <w:trPr>
          <w:trHeight w:val="149"/>
        </w:trPr>
        <w:tc>
          <w:tcPr>
            <w:tcW w:w="8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10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Other assets include fair value adjustments related to repossessed assets, long-lived assets held for sale and right-of-use assets, and equity investments accounted for under the measurement alternative.</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Fair Value of Financial Instruments</w:t>
      </w:r>
    </w:p>
    <w:p>
      <w:pPr>
        <w:spacing w:after="0" w:line="118"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carrying value and estimated fair value, including the level within the fair value hierarchy, of our financial instruments that are not measured at fair value on a recurring basis on our consolidated balance sheets as of December 31, 2022 and 2021.</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16.6: Fair Value of Financial Instruments</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193"/>
        </w:trPr>
        <w:tc>
          <w:tcPr>
            <w:tcW w:w="4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Carrying</w:t>
            </w:r>
          </w:p>
        </w:tc>
        <w:tc>
          <w:tcPr>
            <w:tcW w:w="160" w:type="dxa"/>
            <w:vAlign w:val="bottom"/>
          </w:tcPr>
          <w:p>
            <w:pPr>
              <w:spacing w:after="0"/>
              <w:rPr>
                <w:sz w:val="16"/>
                <w:szCs w:val="16"/>
                <w:color w:val="auto"/>
              </w:rPr>
            </w:pPr>
          </w:p>
        </w:tc>
        <w:tc>
          <w:tcPr>
            <w:tcW w:w="760" w:type="dxa"/>
            <w:vAlign w:val="bottom"/>
          </w:tcPr>
          <w:p>
            <w:pPr>
              <w:jc w:val="right"/>
              <w:ind w:right="207"/>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left="387"/>
              <w:spacing w:after="0"/>
              <w:rPr>
                <w:sz w:val="20"/>
                <w:szCs w:val="20"/>
                <w:color w:val="auto"/>
              </w:rPr>
            </w:pPr>
            <w:r>
              <w:rPr>
                <w:rFonts w:ascii="Times New Roman" w:cs="Times New Roman" w:eastAsia="Times New Roman" w:hAnsi="Times New Roman"/>
                <w:sz w:val="10"/>
                <w:szCs w:val="10"/>
                <w:b w:val="1"/>
                <w:bCs w:val="1"/>
                <w:color w:val="auto"/>
                <w:w w:val="94"/>
              </w:rPr>
              <w:t>Estimated Fair Value Hierarchy</w:t>
            </w:r>
          </w:p>
        </w:tc>
        <w:tc>
          <w:tcPr>
            <w:tcW w:w="600" w:type="dxa"/>
            <w:vAlign w:val="bottom"/>
            <w:tcBorders>
              <w:bottom w:val="single" w:sz="8" w:color="auto"/>
            </w:tcBorders>
          </w:tcPr>
          <w:p>
            <w:pPr>
              <w:spacing w:after="0"/>
              <w:rPr>
                <w:sz w:val="16"/>
                <w:szCs w:val="16"/>
                <w:color w:val="auto"/>
              </w:rPr>
            </w:pPr>
          </w:p>
        </w:tc>
      </w:tr>
      <w:tr>
        <w:trPr>
          <w:trHeight w:val="131"/>
        </w:trPr>
        <w:tc>
          <w:tcPr>
            <w:tcW w:w="470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60" w:type="dxa"/>
            <w:vAlign w:val="bottom"/>
          </w:tcPr>
          <w:p>
            <w:pPr>
              <w:spacing w:after="0"/>
              <w:rPr>
                <w:sz w:val="11"/>
                <w:szCs w:val="11"/>
                <w:color w:val="auto"/>
              </w:rPr>
            </w:pPr>
          </w:p>
        </w:tc>
        <w:tc>
          <w:tcPr>
            <w:tcW w:w="76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220" w:type="dxa"/>
            <w:vAlign w:val="bottom"/>
          </w:tcPr>
          <w:p>
            <w:pPr>
              <w:spacing w:after="0"/>
              <w:rPr>
                <w:sz w:val="11"/>
                <w:szCs w:val="11"/>
                <w:color w:val="auto"/>
              </w:rPr>
            </w:pPr>
          </w:p>
        </w:tc>
        <w:tc>
          <w:tcPr>
            <w:tcW w:w="600" w:type="dxa"/>
            <w:vAlign w:val="bottom"/>
          </w:tcPr>
          <w:p>
            <w:pPr>
              <w:jc w:val="right"/>
              <w:ind w:right="207"/>
              <w:spacing w:after="0"/>
              <w:rPr>
                <w:sz w:val="20"/>
                <w:szCs w:val="20"/>
                <w:color w:val="auto"/>
              </w:rPr>
            </w:pPr>
            <w:r>
              <w:rPr>
                <w:rFonts w:ascii="Times New Roman" w:cs="Times New Roman" w:eastAsia="Times New Roman" w:hAnsi="Times New Roman"/>
                <w:sz w:val="10"/>
                <w:szCs w:val="10"/>
                <w:b w:val="1"/>
                <w:bCs w:val="1"/>
                <w:color w:val="auto"/>
              </w:rPr>
              <w:t>Level 3</w:t>
            </w:r>
          </w:p>
        </w:tc>
      </w:tr>
      <w:tr>
        <w:trPr>
          <w:trHeight w:val="137"/>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Financial assets:</w:t>
            </w:r>
          </w:p>
        </w:tc>
        <w:tc>
          <w:tcPr>
            <w:tcW w:w="1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r>
      <w:tr>
        <w:trPr>
          <w:trHeight w:val="143"/>
        </w:trPr>
        <w:tc>
          <w:tcPr>
            <w:tcW w:w="4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30,856</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30,856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5,193</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25,663</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5"/>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Restricted cash for securitization investors</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3"/>
        </w:trPr>
        <w:tc>
          <w:tcPr>
            <w:tcW w:w="4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loans held for investment</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299,091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302,920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302,920</w:t>
            </w:r>
          </w:p>
        </w:tc>
      </w:tr>
      <w:tr>
        <w:trPr>
          <w:trHeight w:val="145"/>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Loans held for sale</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3"/>
        </w:trPr>
        <w:tc>
          <w:tcPr>
            <w:tcW w:w="4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Interest receivable</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2,104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5"/>
        </w:trPr>
        <w:tc>
          <w:tcPr>
            <w:tcW w:w="47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1"/>
                <w:szCs w:val="11"/>
                <w:color w:val="auto"/>
              </w:rPr>
              <w:t>Other investments</w:t>
            </w:r>
            <w:r>
              <w:rPr>
                <w:rFonts w:ascii="Times New Roman" w:cs="Times New Roman" w:eastAsia="Times New Roman" w:hAnsi="Times New Roman"/>
                <w:sz w:val="14"/>
                <w:szCs w:val="14"/>
                <w:color w:val="auto"/>
                <w:vertAlign w:val="superscript"/>
              </w:rPr>
              <w:t>(1)</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1,326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3"/>
        </w:trPr>
        <w:tc>
          <w:tcPr>
            <w:tcW w:w="4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Financial liabilities:</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5"/>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Deposits with defined maturities</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45,858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45,531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45,531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3"/>
        </w:trPr>
        <w:tc>
          <w:tcPr>
            <w:tcW w:w="4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Securitized debt obligations</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16,973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16,918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16,918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5"/>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Senior and subordinated notes</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30,826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30,744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30,744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3"/>
        </w:trPr>
        <w:tc>
          <w:tcPr>
            <w:tcW w:w="4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Federal funds purchased and securities loaned or sold under agreements to repurchase</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145"/>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payable</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r>
      <w:tr>
        <w:trPr>
          <w:trHeight w:val="667"/>
        </w:trPr>
        <w:tc>
          <w:tcPr>
            <w:tcW w:w="4700" w:type="dxa"/>
            <w:vAlign w:val="bottom"/>
          </w:tcPr>
          <w:p>
            <w:pPr>
              <w:spacing w:after="0"/>
              <w:rPr>
                <w:sz w:val="24"/>
                <w:szCs w:val="24"/>
                <w:color w:val="auto"/>
              </w:rPr>
            </w:pPr>
          </w:p>
        </w:tc>
        <w:tc>
          <w:tcPr>
            <w:tcW w:w="1960" w:type="dxa"/>
            <w:vAlign w:val="bottom"/>
          </w:tcPr>
          <w:p>
            <w:pPr>
              <w:jc w:val="right"/>
              <w:ind w:right="909"/>
              <w:spacing w:after="0"/>
              <w:rPr>
                <w:sz w:val="20"/>
                <w:szCs w:val="20"/>
                <w:color w:val="auto"/>
              </w:rPr>
            </w:pPr>
            <w:r>
              <w:rPr>
                <w:rFonts w:ascii="Times New Roman" w:cs="Times New Roman" w:eastAsia="Times New Roman" w:hAnsi="Times New Roman"/>
                <w:sz w:val="10"/>
                <w:szCs w:val="10"/>
                <w:color w:val="auto"/>
              </w:rPr>
              <w:t>195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24"/>
        </w:trPr>
        <w:tc>
          <w:tcPr>
            <w:tcW w:w="4700" w:type="dxa"/>
            <w:vAlign w:val="bottom"/>
            <w:tcBorders>
              <w:bottom w:val="single" w:sz="8" w:color="9A9A9A"/>
            </w:tcBorders>
          </w:tcPr>
          <w:p>
            <w:pPr>
              <w:spacing w:after="0"/>
              <w:rPr>
                <w:sz w:val="19"/>
                <w:szCs w:val="19"/>
                <w:color w:val="auto"/>
              </w:rPr>
            </w:pPr>
          </w:p>
        </w:tc>
        <w:tc>
          <w:tcPr>
            <w:tcW w:w="19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96" w:name="page197"/>
    <w:bookmarkEnd w:id="196"/>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22"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r>
        <w:trPr>
          <w:trHeight w:val="193"/>
        </w:trPr>
        <w:tc>
          <w:tcPr>
            <w:tcW w:w="6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Carrying</w:t>
            </w:r>
          </w:p>
        </w:tc>
        <w:tc>
          <w:tcPr>
            <w:tcW w:w="160" w:type="dxa"/>
            <w:vAlign w:val="bottom"/>
          </w:tcPr>
          <w:p>
            <w:pPr>
              <w:spacing w:after="0"/>
              <w:rPr>
                <w:sz w:val="16"/>
                <w:szCs w:val="16"/>
                <w:color w:val="auto"/>
              </w:rPr>
            </w:pPr>
          </w:p>
        </w:tc>
        <w:tc>
          <w:tcPr>
            <w:tcW w:w="74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left="387"/>
              <w:spacing w:after="0"/>
              <w:rPr>
                <w:sz w:val="20"/>
                <w:szCs w:val="20"/>
                <w:color w:val="auto"/>
              </w:rPr>
            </w:pPr>
            <w:r>
              <w:rPr>
                <w:rFonts w:ascii="Times New Roman" w:cs="Times New Roman" w:eastAsia="Times New Roman" w:hAnsi="Times New Roman"/>
                <w:sz w:val="10"/>
                <w:szCs w:val="10"/>
                <w:b w:val="1"/>
                <w:bCs w:val="1"/>
                <w:color w:val="auto"/>
                <w:w w:val="94"/>
              </w:rPr>
              <w:t>Estimated Fair Value Hierarchy</w:t>
            </w:r>
          </w:p>
        </w:tc>
        <w:tc>
          <w:tcPr>
            <w:tcW w:w="600" w:type="dxa"/>
            <w:vAlign w:val="bottom"/>
            <w:tcBorders>
              <w:bottom w:val="single" w:sz="8" w:color="auto"/>
            </w:tcBorders>
          </w:tcPr>
          <w:p>
            <w:pPr>
              <w:spacing w:after="0"/>
              <w:rPr>
                <w:sz w:val="16"/>
                <w:szCs w:val="16"/>
                <w:color w:val="auto"/>
              </w:rPr>
            </w:pPr>
          </w:p>
        </w:tc>
      </w:tr>
      <w:tr>
        <w:trPr>
          <w:trHeight w:val="131"/>
        </w:trPr>
        <w:tc>
          <w:tcPr>
            <w:tcW w:w="6660" w:type="dxa"/>
            <w:vAlign w:val="bottom"/>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60" w:type="dxa"/>
            <w:vAlign w:val="bottom"/>
          </w:tcPr>
          <w:p>
            <w:pPr>
              <w:spacing w:after="0"/>
              <w:rPr>
                <w:sz w:val="11"/>
                <w:szCs w:val="11"/>
                <w:color w:val="auto"/>
              </w:rPr>
            </w:pPr>
          </w:p>
        </w:tc>
        <w:tc>
          <w:tcPr>
            <w:tcW w:w="740" w:type="dxa"/>
            <w:vAlign w:val="bottom"/>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60" w:type="dxa"/>
            <w:vAlign w:val="bottom"/>
          </w:tcPr>
          <w:p>
            <w:pPr>
              <w:spacing w:after="0"/>
              <w:rPr>
                <w:sz w:val="11"/>
                <w:szCs w:val="11"/>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220" w:type="dxa"/>
            <w:vAlign w:val="bottom"/>
          </w:tcPr>
          <w:p>
            <w:pPr>
              <w:spacing w:after="0"/>
              <w:rPr>
                <w:sz w:val="11"/>
                <w:szCs w:val="11"/>
                <w:color w:val="auto"/>
              </w:rPr>
            </w:pPr>
          </w:p>
        </w:tc>
        <w:tc>
          <w:tcPr>
            <w:tcW w:w="600" w:type="dxa"/>
            <w:vAlign w:val="bottom"/>
          </w:tcPr>
          <w:p>
            <w:pPr>
              <w:jc w:val="right"/>
              <w:ind w:right="207"/>
              <w:spacing w:after="0"/>
              <w:rPr>
                <w:sz w:val="20"/>
                <w:szCs w:val="20"/>
                <w:color w:val="auto"/>
              </w:rPr>
            </w:pPr>
            <w:r>
              <w:rPr>
                <w:rFonts w:ascii="Times New Roman" w:cs="Times New Roman" w:eastAsia="Times New Roman" w:hAnsi="Times New Roman"/>
                <w:sz w:val="10"/>
                <w:szCs w:val="10"/>
                <w:b w:val="1"/>
                <w:bCs w:val="1"/>
                <w:color w:val="auto"/>
              </w:rPr>
              <w:t>Level 3</w:t>
            </w:r>
          </w:p>
        </w:tc>
      </w:tr>
      <w:tr>
        <w:trPr>
          <w:trHeight w:val="137"/>
        </w:trPr>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Financial assets:</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r>
      <w:tr>
        <w:trPr>
          <w:trHeight w:val="142"/>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21,746</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21,746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4,164</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17,582</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Restricted cash for securitization investors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2"/>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loans held for investment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265,910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270,508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270,508</w:t>
            </w:r>
          </w:p>
        </w:tc>
      </w:tr>
      <w:tr>
        <w:trPr>
          <w:trHeight w:val="14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Loans held for sale</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2"/>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Interest receivable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6"/>
        </w:trPr>
        <w:tc>
          <w:tcPr>
            <w:tcW w:w="666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Other investments</w:t>
            </w:r>
            <w:r>
              <w:rPr>
                <w:rFonts w:ascii="Times New Roman" w:cs="Times New Roman" w:eastAsia="Times New Roman" w:hAnsi="Times New Roman"/>
                <w:sz w:val="14"/>
                <w:szCs w:val="14"/>
                <w:color w:val="auto"/>
                <w:vertAlign w:val="superscript"/>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3"/>
        </w:trPr>
        <w:tc>
          <w:tcPr>
            <w:tcW w:w="6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Financial liabilities: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5"/>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Deposits with defined maturities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18,062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18,062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2"/>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Securitized debt obligations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Senior and subordinated notes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27,842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2"/>
        </w:trPr>
        <w:tc>
          <w:tcPr>
            <w:tcW w:w="6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Federal funds purchased and securities loaned or sold under agreements to repurchase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r>
      <w:tr>
        <w:trPr>
          <w:trHeight w:val="14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payable</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10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Other investments include FHLB and Federal Reserve stock. These investments are included in other assets on our consolidated balance sheets.</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196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17—BUSINESS SEGMENTS AND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11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principal operations are organized into three major business segments, which are defined primarily based on the products and services provided or the types of customers served: Credit Card, Consumer Banking and Commercial Banking. The operations of acquired businesses have been integrated into or managed as a part of our existing business segments. Certain activities that are not part of a segment, such as management of our corporate investment portfolio, asset/liability management by our centralized Corporate Treasury group and residual tax expense or benefit to arrive at the consolidated effective tax rate that is not assessed to our primary business segments, are included in the Other category.</w:t>
      </w:r>
    </w:p>
    <w:p>
      <w:pPr>
        <w:spacing w:after="0" w:line="84" w:lineRule="exact"/>
        <w:rPr>
          <w:sz w:val="20"/>
          <w:szCs w:val="20"/>
          <w:color w:val="auto"/>
        </w:rPr>
      </w:pPr>
    </w:p>
    <w:p>
      <w:pPr>
        <w:ind w:left="320" w:hanging="220"/>
        <w:spacing w:after="0"/>
        <w:tabs>
          <w:tab w:leader="none" w:pos="3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Credit Card: </w:t>
      </w:r>
      <w:r>
        <w:rPr>
          <w:rFonts w:ascii="Times New Roman" w:cs="Times New Roman" w:eastAsia="Times New Roman" w:hAnsi="Times New Roman"/>
          <w:sz w:val="12"/>
          <w:szCs w:val="12"/>
          <w:color w:val="auto"/>
        </w:rPr>
        <w:t>Consists of our domestic consumer and small business card lending, and international card businesses in the United Kingdom and Canada.</w:t>
      </w:r>
    </w:p>
    <w:p>
      <w:pPr>
        <w:spacing w:after="0" w:line="114" w:lineRule="exact"/>
        <w:rPr>
          <w:rFonts w:ascii="Times New Roman" w:cs="Times New Roman" w:eastAsia="Times New Roman" w:hAnsi="Times New Roman"/>
          <w:sz w:val="12"/>
          <w:szCs w:val="12"/>
          <w:color w:val="auto"/>
        </w:rPr>
      </w:pPr>
    </w:p>
    <w:p>
      <w:pPr>
        <w:ind w:left="320" w:hanging="220"/>
        <w:spacing w:after="0"/>
        <w:tabs>
          <w:tab w:leader="none" w:pos="3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Consumer Banking: </w:t>
      </w:r>
      <w:r>
        <w:rPr>
          <w:rFonts w:ascii="Times New Roman" w:cs="Times New Roman" w:eastAsia="Times New Roman" w:hAnsi="Times New Roman"/>
          <w:sz w:val="12"/>
          <w:szCs w:val="12"/>
          <w:color w:val="auto"/>
        </w:rPr>
        <w:t>Consists of our deposit gathering and lending activities for consumers and small businesses, and national auto lending.</w:t>
      </w:r>
    </w:p>
    <w:p>
      <w:pPr>
        <w:spacing w:after="0" w:line="114" w:lineRule="exact"/>
        <w:rPr>
          <w:rFonts w:ascii="Times New Roman" w:cs="Times New Roman" w:eastAsia="Times New Roman" w:hAnsi="Times New Roman"/>
          <w:sz w:val="12"/>
          <w:szCs w:val="12"/>
          <w:color w:val="auto"/>
        </w:rPr>
      </w:pPr>
    </w:p>
    <w:p>
      <w:pPr>
        <w:ind w:left="320" w:hanging="220"/>
        <w:spacing w:after="0" w:line="283" w:lineRule="auto"/>
        <w:tabs>
          <w:tab w:leader="none" w:pos="317"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Commercial Banking: </w:t>
      </w:r>
      <w:r>
        <w:rPr>
          <w:rFonts w:ascii="Times New Roman" w:cs="Times New Roman" w:eastAsia="Times New Roman" w:hAnsi="Times New Roman"/>
          <w:sz w:val="12"/>
          <w:szCs w:val="12"/>
          <w:color w:val="auto"/>
        </w:rPr>
        <w:t>Consists of our lending, deposit gathering, capital markets and treasury management services to commercial real estate and commercial and industrial customers. Our customers typically include companies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annual revenues between $20 million and $2 billion.</w:t>
      </w:r>
    </w:p>
    <w:p>
      <w:pPr>
        <w:spacing w:after="0" w:line="70" w:lineRule="exact"/>
        <w:rPr>
          <w:rFonts w:ascii="Times New Roman" w:cs="Times New Roman" w:eastAsia="Times New Roman" w:hAnsi="Times New Roman"/>
          <w:sz w:val="12"/>
          <w:szCs w:val="12"/>
          <w:color w:val="auto"/>
        </w:rPr>
      </w:pPr>
    </w:p>
    <w:p>
      <w:pPr>
        <w:jc w:val="both"/>
        <w:ind w:left="320" w:hanging="220"/>
        <w:spacing w:after="0" w:line="258" w:lineRule="auto"/>
        <w:tabs>
          <w:tab w:leader="none" w:pos="317" w:val="left"/>
        </w:tabs>
        <w:numPr>
          <w:ilvl w:val="0"/>
          <w:numId w:val="10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Other category: </w:t>
      </w:r>
      <w:r>
        <w:rPr>
          <w:rFonts w:ascii="Times New Roman" w:cs="Times New Roman" w:eastAsia="Times New Roman" w:hAnsi="Times New Roman"/>
          <w:sz w:val="12"/>
          <w:szCs w:val="12"/>
          <w:color w:val="auto"/>
        </w:rPr>
        <w:t>Includes the residual impact of the allocation of our centralized Corporate Treasury group activities, such as management of our corporate investment portfolio, asset/liability management and oversight of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funds transfer pricing process, to our business segments. Accordingly, net gains and losses on our investment securities portfolio and certain trading activities are included in the Other category. Other category also includes foreign exchange-rate fluctuations on foreign currency-denominated transactions; unallocated corporate expenses that do not directly support the operations of the business segments or for which the business segments are not considered financially accountable in evaluating their performance, such as certain restructuring charges; certain material items that are non-recurring in nature; offsets related to certain line-item reclassifications; and residual tax expense or benefit to arrive at the consolidated effective tax rate that is not assessed to our primary business segments.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report the results of each of our business segments on a continuing operations basis. The results of our individual businesses reflect the manner in which management evaluates performance and makes decisions about funding our operations and allocating resources.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Segment Reporting Methodology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results of our business segments are intended to present each segment as if it were a stand-alone business. Our internal management and reporting process used to derive our segment results employs various allocation methodologies, including funds transfer pricing, to assign certain balance sheet assets, deposits and other liabilities and their related revenue and expenses directly or indirectly attributable to each business segment. Our funds transfer pricing process managed by our centralized Corporate Treasury group provides a funds credit for sources of funds, such as deposits generated by our Consumer Banking and Commercial Banking businesses, and a charge for the use of funds by each segment. The allocation is unique to each business segment and acquired business and is based on the composition of assets and liabilities. The funds transfer pricing process considers the interest rate and liquidity risk characteristics of assets and liabilities and off-balance sheet products. Periodically the methodology and assumptions utilized in the funds transfer pricing process are adjusted to reflect economic conditions and other factors, which may impact the allocation of net interest income to the business segments. Due to the integrated nature of our business segments, estimates and judgments have been made in allocating certain revenue and expense items. Transactions between segments are based on specific criteria or approximate market rate. We regularly assess the assumptions, methodologies and reporting classifications used for segment reporting, which may result in the implementation of refinements or changes in future periods.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additional information on the principles and methodologies used in preparing our business segment results.</w:t>
      </w:r>
    </w:p>
    <w:p>
      <w:pPr>
        <w:spacing w:after="0" w:line="112" w:lineRule="exact"/>
        <w:rPr>
          <w:sz w:val="20"/>
          <w:szCs w:val="20"/>
          <w:color w:val="auto"/>
        </w:rPr>
      </w:pPr>
    </w:p>
    <w:p>
      <w:pPr>
        <w:ind w:left="320" w:right="20" w:hanging="220"/>
        <w:spacing w:after="0" w:line="283" w:lineRule="auto"/>
        <w:tabs>
          <w:tab w:leader="none" w:pos="317" w:val="left"/>
        </w:tabs>
        <w:numPr>
          <w:ilvl w:val="0"/>
          <w:numId w:val="10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Net interest income: </w:t>
      </w:r>
      <w:r>
        <w:rPr>
          <w:rFonts w:ascii="Times New Roman" w:cs="Times New Roman" w:eastAsia="Times New Roman" w:hAnsi="Times New Roman"/>
          <w:sz w:val="12"/>
          <w:szCs w:val="12"/>
          <w:color w:val="auto"/>
        </w:rPr>
        <w:t>Interest income from loans held for investment and interest expense from deposits and other interest-bearing liabilities are reflected within each applicable business segment. Because funding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asset/liability</w:t>
      </w:r>
    </w:p>
    <w:p>
      <w:pPr>
        <w:spacing w:after="0" w:line="200" w:lineRule="exact"/>
        <w:rPr>
          <w:sz w:val="20"/>
          <w:szCs w:val="20"/>
          <w:color w:val="auto"/>
        </w:rPr>
      </w:pPr>
    </w:p>
    <w:p>
      <w:pPr>
        <w:spacing w:after="0" w:line="364"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197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2"/>
          <w:szCs w:val="12"/>
          <w:color w:val="auto"/>
        </w:rPr>
        <w:t>management are managed centrally by our Corporate Treasury group, net interest income for our business segments also includes the results of a funds transfer pricing process that is intended to allocate a cost of funds used or credit for funds provided to all business segment assets and liabilities, respectively, using a matched funding concept. The taxable-equivalent benefit of tax-exempt products is also allocated to each business unit with a corresponding increase in income tax expense.</w:t>
      </w:r>
    </w:p>
    <w:p>
      <w:pPr>
        <w:spacing w:after="0" w:line="81" w:lineRule="exact"/>
        <w:rPr>
          <w:sz w:val="20"/>
          <w:szCs w:val="20"/>
          <w:color w:val="auto"/>
        </w:rPr>
      </w:pPr>
    </w:p>
    <w:p>
      <w:pPr>
        <w:ind w:left="320" w:hanging="220"/>
        <w:spacing w:after="0"/>
        <w:tabs>
          <w:tab w:leader="none" w:pos="320" w:val="left"/>
        </w:tabs>
        <w:numPr>
          <w:ilvl w:val="0"/>
          <w:numId w:val="10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Non-interest income: </w:t>
      </w:r>
      <w:r>
        <w:rPr>
          <w:rFonts w:ascii="Times New Roman" w:cs="Times New Roman" w:eastAsia="Times New Roman" w:hAnsi="Times New Roman"/>
          <w:sz w:val="12"/>
          <w:szCs w:val="12"/>
          <w:color w:val="auto"/>
        </w:rPr>
        <w:t>Non-interest fees and other revenue associated with loans or customers managed by each business segment and other direct revenues are accounted for within each business segment.</w:t>
      </w:r>
    </w:p>
    <w:p>
      <w:pPr>
        <w:spacing w:after="0" w:line="114" w:lineRule="exact"/>
        <w:rPr>
          <w:rFonts w:ascii="Times New Roman" w:cs="Times New Roman" w:eastAsia="Times New Roman" w:hAnsi="Times New Roman"/>
          <w:sz w:val="12"/>
          <w:szCs w:val="12"/>
          <w:i w:val="1"/>
          <w:iCs w:val="1"/>
          <w:color w:val="auto"/>
        </w:rPr>
      </w:pPr>
    </w:p>
    <w:p>
      <w:pPr>
        <w:ind w:left="320" w:hanging="220"/>
        <w:spacing w:after="0"/>
        <w:tabs>
          <w:tab w:leader="none" w:pos="320" w:val="left"/>
        </w:tabs>
        <w:numPr>
          <w:ilvl w:val="0"/>
          <w:numId w:val="10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Provision for credit losses: </w:t>
      </w:r>
      <w:r>
        <w:rPr>
          <w:rFonts w:ascii="Times New Roman" w:cs="Times New Roman" w:eastAsia="Times New Roman" w:hAnsi="Times New Roman"/>
          <w:sz w:val="12"/>
          <w:szCs w:val="12"/>
          <w:color w:val="auto"/>
        </w:rPr>
        <w:t>The provision for credit losses is directly attributable to the business segment in accordance with the loans each business segment manages.</w:t>
      </w:r>
    </w:p>
    <w:p>
      <w:pPr>
        <w:spacing w:after="0" w:line="114" w:lineRule="exact"/>
        <w:rPr>
          <w:rFonts w:ascii="Times New Roman" w:cs="Times New Roman" w:eastAsia="Times New Roman" w:hAnsi="Times New Roman"/>
          <w:sz w:val="12"/>
          <w:szCs w:val="12"/>
          <w:i w:val="1"/>
          <w:iCs w:val="1"/>
          <w:color w:val="auto"/>
        </w:rPr>
      </w:pPr>
    </w:p>
    <w:p>
      <w:pPr>
        <w:jc w:val="both"/>
        <w:ind w:left="320" w:hanging="220"/>
        <w:spacing w:after="0" w:line="266" w:lineRule="auto"/>
        <w:tabs>
          <w:tab w:leader="none" w:pos="317" w:val="left"/>
        </w:tabs>
        <w:numPr>
          <w:ilvl w:val="0"/>
          <w:numId w:val="10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Non-interest expense: </w:t>
      </w:r>
      <w:r>
        <w:rPr>
          <w:rFonts w:ascii="Times New Roman" w:cs="Times New Roman" w:eastAsia="Times New Roman" w:hAnsi="Times New Roman"/>
          <w:sz w:val="12"/>
          <w:szCs w:val="12"/>
          <w:color w:val="auto"/>
        </w:rPr>
        <w:t>Non-interest expenses directly managed and incurred by a business segment are accounted for within each business segment. We allocate certain non-interest expenses indirectly incurred by business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segments, such as corporate support functions, to each business segment based on various factors, including the actual cost of the services from the service providers, the utilization of the services, the number of employees or other relevant factors.</w:t>
      </w:r>
    </w:p>
    <w:p>
      <w:pPr>
        <w:spacing w:after="0" w:line="81" w:lineRule="exact"/>
        <w:rPr>
          <w:rFonts w:ascii="Times New Roman" w:cs="Times New Roman" w:eastAsia="Times New Roman" w:hAnsi="Times New Roman"/>
          <w:sz w:val="12"/>
          <w:szCs w:val="12"/>
          <w:i w:val="1"/>
          <w:iCs w:val="1"/>
          <w:color w:val="auto"/>
        </w:rPr>
      </w:pPr>
    </w:p>
    <w:p>
      <w:pPr>
        <w:ind w:left="320" w:hanging="220"/>
        <w:spacing w:after="0"/>
        <w:tabs>
          <w:tab w:leader="none" w:pos="320" w:val="left"/>
        </w:tabs>
        <w:numPr>
          <w:ilvl w:val="0"/>
          <w:numId w:val="10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Goodwill and other intangible assets: </w:t>
      </w:r>
      <w:r>
        <w:rPr>
          <w:rFonts w:ascii="Times New Roman" w:cs="Times New Roman" w:eastAsia="Times New Roman" w:hAnsi="Times New Roman"/>
          <w:sz w:val="12"/>
          <w:szCs w:val="12"/>
          <w:color w:val="auto"/>
        </w:rPr>
        <w:t>Goodwill and other intangible assets are assigned to one or more segments at acquisition. Intangible amortization is included in the results of the applicable segment.</w:t>
      </w:r>
    </w:p>
    <w:p>
      <w:pPr>
        <w:spacing w:after="0" w:line="114" w:lineRule="exact"/>
        <w:rPr>
          <w:rFonts w:ascii="Times New Roman" w:cs="Times New Roman" w:eastAsia="Times New Roman" w:hAnsi="Times New Roman"/>
          <w:sz w:val="12"/>
          <w:szCs w:val="12"/>
          <w:i w:val="1"/>
          <w:iCs w:val="1"/>
          <w:color w:val="auto"/>
        </w:rPr>
      </w:pPr>
    </w:p>
    <w:p>
      <w:pPr>
        <w:ind w:left="320" w:hanging="220"/>
        <w:spacing w:after="0"/>
        <w:tabs>
          <w:tab w:leader="none" w:pos="320" w:val="left"/>
        </w:tabs>
        <w:numPr>
          <w:ilvl w:val="0"/>
          <w:numId w:val="10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Income taxes: </w:t>
      </w:r>
      <w:r>
        <w:rPr>
          <w:rFonts w:ascii="Times New Roman" w:cs="Times New Roman" w:eastAsia="Times New Roman" w:hAnsi="Times New Roman"/>
          <w:sz w:val="12"/>
          <w:szCs w:val="12"/>
          <w:color w:val="auto"/>
        </w:rPr>
        <w:t>Income taxes are assessed for each business segment based on a standard tax rate with the residual tax expense or benefit to arrive at the consolidated effective tax rate included in the Other category.</w:t>
      </w:r>
    </w:p>
    <w:p>
      <w:pPr>
        <w:spacing w:after="0" w:line="114" w:lineRule="exact"/>
        <w:rPr>
          <w:rFonts w:ascii="Times New Roman" w:cs="Times New Roman" w:eastAsia="Times New Roman" w:hAnsi="Times New Roman"/>
          <w:sz w:val="12"/>
          <w:szCs w:val="12"/>
          <w:i w:val="1"/>
          <w:iCs w:val="1"/>
          <w:color w:val="auto"/>
        </w:rPr>
      </w:pPr>
    </w:p>
    <w:p>
      <w:pPr>
        <w:ind w:left="320" w:hanging="220"/>
        <w:spacing w:after="0"/>
        <w:tabs>
          <w:tab w:leader="none" w:pos="320" w:val="left"/>
        </w:tabs>
        <w:numPr>
          <w:ilvl w:val="0"/>
          <w:numId w:val="10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Loans held for investment: </w:t>
      </w:r>
      <w:r>
        <w:rPr>
          <w:rFonts w:ascii="Times New Roman" w:cs="Times New Roman" w:eastAsia="Times New Roman" w:hAnsi="Times New Roman"/>
          <w:sz w:val="12"/>
          <w:szCs w:val="12"/>
          <w:color w:val="auto"/>
        </w:rPr>
        <w:t>Loans are reported within each business segment based on product or customer type served by that business segment.</w:t>
      </w:r>
    </w:p>
    <w:p>
      <w:pPr>
        <w:spacing w:after="0" w:line="114" w:lineRule="exact"/>
        <w:rPr>
          <w:rFonts w:ascii="Times New Roman" w:cs="Times New Roman" w:eastAsia="Times New Roman" w:hAnsi="Times New Roman"/>
          <w:sz w:val="12"/>
          <w:szCs w:val="12"/>
          <w:i w:val="1"/>
          <w:iCs w:val="1"/>
          <w:color w:val="auto"/>
        </w:rPr>
      </w:pPr>
    </w:p>
    <w:p>
      <w:pPr>
        <w:ind w:left="320" w:hanging="220"/>
        <w:spacing w:after="0"/>
        <w:tabs>
          <w:tab w:leader="none" w:pos="32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Deposits: </w:t>
      </w:r>
      <w:r>
        <w:rPr>
          <w:rFonts w:ascii="Times New Roman" w:cs="Times New Roman" w:eastAsia="Times New Roman" w:hAnsi="Times New Roman"/>
          <w:sz w:val="12"/>
          <w:szCs w:val="12"/>
          <w:color w:val="auto"/>
        </w:rPr>
        <w:t>Deposits are reported within each business segment based on product or customer type served by that business segment.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Results and Reconciliation</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may periodically change our business segments or reclassify business segment results based on modifications to our management reporting methodologies or changes in organizational alignment. The following table presents our business segment results for the years ended December 31, 2022, 2021 and 2020, selected balance sheet data as of December 31, 2022 and 2021, and a reconciliation of our total business segment results to our reported consolidated income from continuing operations, loans held for investment and deposits.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17.1: Segment Results and Reconciliation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Year Ended December 31, 2022</w:t>
            </w: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35"/>
        </w:trPr>
        <w:tc>
          <w:tcPr>
            <w:tcW w:w="5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00" w:type="dxa"/>
            <w:vAlign w:val="bottom"/>
          </w:tcPr>
          <w:p>
            <w:pPr>
              <w:spacing w:after="0"/>
              <w:rPr>
                <w:sz w:val="11"/>
                <w:szCs w:val="11"/>
                <w:color w:val="auto"/>
              </w:rPr>
            </w:pP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w w:val="98"/>
              </w:rPr>
              <w:t>Consumer Banking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0"/>
                <w:szCs w:val="10"/>
                <w:b w:val="1"/>
                <w:bCs w:val="1"/>
                <w:color w:val="auto"/>
              </w:rPr>
              <w:t>Commercial Banking</w:t>
            </w:r>
            <w:r>
              <w:rPr>
                <w:rFonts w:ascii="Times New Roman" w:cs="Times New Roman" w:eastAsia="Times New Roman" w:hAnsi="Times New Roman"/>
                <w:sz w:val="12"/>
                <w:szCs w:val="12"/>
                <w:b w:val="1"/>
                <w:bCs w:val="1"/>
                <w:color w:val="auto"/>
                <w:vertAlign w:val="superscript"/>
              </w:rPr>
              <w:t>(1)</w:t>
            </w:r>
          </w:p>
        </w:tc>
        <w:tc>
          <w:tcPr>
            <w:tcW w:w="2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spacing w:after="0"/>
              <w:rPr>
                <w:sz w:val="11"/>
                <w:szCs w:val="11"/>
                <w:color w:val="auto"/>
              </w:rPr>
            </w:pPr>
          </w:p>
        </w:tc>
        <w:tc>
          <w:tcPr>
            <w:tcW w:w="1000" w:type="dxa"/>
            <w:vAlign w:val="bottom"/>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w w:val="98"/>
              </w:rPr>
              <w:t>Consolidated Total</w:t>
            </w:r>
          </w:p>
        </w:tc>
      </w:tr>
      <w:tr>
        <w:trPr>
          <w:trHeight w:val="133"/>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interest income (loss)</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16,584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8,965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2,461</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(896)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27,114</w:t>
            </w:r>
          </w:p>
        </w:tc>
      </w:tr>
      <w:tr>
        <w:trPr>
          <w:trHeight w:val="143"/>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income (loss)</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5,771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469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1,129</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7,136</w:t>
            </w:r>
          </w:p>
        </w:tc>
      </w:tr>
      <w:tr>
        <w:trPr>
          <w:trHeight w:val="134"/>
        </w:trPr>
        <w:tc>
          <w:tcPr>
            <w:tcW w:w="532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1"/>
                <w:szCs w:val="11"/>
                <w:color w:val="auto"/>
              </w:rPr>
              <w:t>Total net revenue (loss)</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22,355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3,590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(1,129)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34,250</w:t>
            </w:r>
          </w:p>
        </w:tc>
      </w:tr>
      <w:tr>
        <w:trPr>
          <w:trHeight w:val="143"/>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Provision (benefit) for credit losses</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4,265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1,173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5,847</w:t>
            </w:r>
          </w:p>
        </w:tc>
      </w:tr>
      <w:tr>
        <w:trPr>
          <w:trHeight w:val="145"/>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11,627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5,312</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2,070</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154</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19,163</w:t>
            </w:r>
          </w:p>
        </w:tc>
      </w:tr>
      <w:tr>
        <w:trPr>
          <w:trHeight w:val="132"/>
        </w:trPr>
        <w:tc>
          <w:tcPr>
            <w:tcW w:w="532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Income (loss) from continuing operations before income taxes</w:t>
            </w: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6,463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1,105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9,240</w:t>
            </w:r>
          </w:p>
        </w:tc>
      </w:tr>
      <w:tr>
        <w:trPr>
          <w:trHeight w:val="145"/>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provision (benefit)</w:t>
            </w: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1,536</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699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262</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(617)</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1,880</w:t>
            </w:r>
          </w:p>
        </w:tc>
      </w:tr>
      <w:tr>
        <w:trPr>
          <w:trHeight w:val="149"/>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(loss) from continuing operations, net of tax</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4,927</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2,250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843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7,360</w:t>
            </w:r>
          </w:p>
        </w:tc>
      </w:tr>
      <w:tr>
        <w:trPr>
          <w:trHeight w:val="144"/>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137,730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79,925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94,676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312,331</w:t>
            </w:r>
          </w:p>
        </w:tc>
      </w:tr>
      <w:tr>
        <w:trPr>
          <w:trHeight w:val="142"/>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Deposits</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270,592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40,808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21,592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332,992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198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7203440"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99" w:name="page200"/>
    <w:bookmarkEnd w:id="19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58"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Year Ended December 31, 2021</w:t>
            </w: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35"/>
        </w:trPr>
        <w:tc>
          <w:tcPr>
            <w:tcW w:w="5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00" w:type="dxa"/>
            <w:vAlign w:val="bottom"/>
          </w:tcPr>
          <w:p>
            <w:pPr>
              <w:spacing w:after="0"/>
              <w:rPr>
                <w:sz w:val="11"/>
                <w:szCs w:val="11"/>
                <w:color w:val="auto"/>
              </w:rPr>
            </w:pP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w w:val="98"/>
              </w:rPr>
              <w:t>Consumer Banking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0"/>
                <w:szCs w:val="10"/>
                <w:b w:val="1"/>
                <w:bCs w:val="1"/>
                <w:color w:val="auto"/>
              </w:rPr>
              <w:t>Commercial Banking</w:t>
            </w:r>
            <w:r>
              <w:rPr>
                <w:rFonts w:ascii="Times New Roman" w:cs="Times New Roman" w:eastAsia="Times New Roman" w:hAnsi="Times New Roman"/>
                <w:sz w:val="12"/>
                <w:szCs w:val="12"/>
                <w:b w:val="1"/>
                <w:bCs w:val="1"/>
                <w:color w:val="auto"/>
                <w:vertAlign w:val="superscript"/>
              </w:rPr>
              <w:t>(1)</w:t>
            </w:r>
          </w:p>
        </w:tc>
        <w:tc>
          <w:tcPr>
            <w:tcW w:w="2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spacing w:after="0"/>
              <w:rPr>
                <w:sz w:val="11"/>
                <w:szCs w:val="11"/>
                <w:color w:val="auto"/>
              </w:rPr>
            </w:pPr>
          </w:p>
        </w:tc>
        <w:tc>
          <w:tcPr>
            <w:tcW w:w="1000" w:type="dxa"/>
            <w:vAlign w:val="bottom"/>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w w:val="98"/>
              </w:rPr>
              <w:t>Consolidated Total</w:t>
            </w:r>
          </w:p>
        </w:tc>
      </w:tr>
      <w:tr>
        <w:trPr>
          <w:trHeight w:val="133"/>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interest income (loss)</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14,074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24,171</w:t>
            </w:r>
          </w:p>
        </w:tc>
      </w:tr>
      <w:tr>
        <w:trPr>
          <w:trHeight w:val="142"/>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income (loss)</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4,806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6,264</w:t>
            </w:r>
          </w:p>
        </w:tc>
      </w:tr>
      <w:tr>
        <w:trPr>
          <w:trHeight w:val="135"/>
        </w:trPr>
        <w:tc>
          <w:tcPr>
            <w:tcW w:w="5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Total net revenue (loss)</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30,435</w:t>
            </w:r>
          </w:p>
        </w:tc>
      </w:tr>
      <w:tr>
        <w:trPr>
          <w:trHeight w:val="142"/>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Benefit for credit losses</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(1,944)</w:t>
            </w:r>
          </w:p>
        </w:tc>
      </w:tr>
      <w:tr>
        <w:trPr>
          <w:trHeight w:val="14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9,621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4,711</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16,570</w:t>
            </w:r>
          </w:p>
        </w:tc>
      </w:tr>
      <w:tr>
        <w:trPr>
          <w:trHeight w:val="131"/>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(loss) from continuing operations before income taxes</w:t>
            </w: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15,809</w:t>
            </w:r>
          </w:p>
        </w:tc>
      </w:tr>
      <w:tr>
        <w:trPr>
          <w:trHeight w:val="14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provision (benefit)</w:t>
            </w: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2,403</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3,415</w:t>
            </w:r>
          </w:p>
        </w:tc>
      </w:tr>
      <w:tr>
        <w:trPr>
          <w:trHeight w:val="149"/>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(loss) from continuing operations, net of tax</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7,758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3,676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12,394</w:t>
            </w:r>
          </w:p>
        </w:tc>
      </w:tr>
      <w:tr>
        <w:trPr>
          <w:trHeight w:val="144"/>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Loans held for investment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114,772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77,646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84,922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277,340</w:t>
            </w:r>
          </w:p>
        </w:tc>
      </w:tr>
      <w:tr>
        <w:trPr>
          <w:trHeight w:val="140"/>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Deposits</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256,407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44,809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310,980</w:t>
            </w:r>
          </w:p>
        </w:tc>
      </w:tr>
      <w:tr>
        <w:trPr>
          <w:trHeight w:val="317"/>
        </w:trPr>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Year Ended December 31, 2020</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35"/>
        </w:trPr>
        <w:tc>
          <w:tcPr>
            <w:tcW w:w="53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00" w:type="dxa"/>
            <w:vAlign w:val="bottom"/>
          </w:tcPr>
          <w:p>
            <w:pPr>
              <w:spacing w:after="0"/>
              <w:rPr>
                <w:sz w:val="11"/>
                <w:szCs w:val="11"/>
                <w:color w:val="auto"/>
              </w:rPr>
            </w:pP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w w:val="98"/>
              </w:rPr>
              <w:t>Consumer Banking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0"/>
                <w:szCs w:val="10"/>
                <w:b w:val="1"/>
                <w:bCs w:val="1"/>
                <w:color w:val="auto"/>
              </w:rPr>
              <w:t>Commercial Banking</w:t>
            </w:r>
            <w:r>
              <w:rPr>
                <w:rFonts w:ascii="Times New Roman" w:cs="Times New Roman" w:eastAsia="Times New Roman" w:hAnsi="Times New Roman"/>
                <w:sz w:val="12"/>
                <w:szCs w:val="12"/>
                <w:b w:val="1"/>
                <w:bCs w:val="1"/>
                <w:color w:val="auto"/>
                <w:vertAlign w:val="superscript"/>
              </w:rPr>
              <w:t>(1)</w:t>
            </w:r>
          </w:p>
        </w:tc>
        <w:tc>
          <w:tcPr>
            <w:tcW w:w="22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(1)</w:t>
            </w:r>
          </w:p>
        </w:tc>
        <w:tc>
          <w:tcPr>
            <w:tcW w:w="120" w:type="dxa"/>
            <w:vAlign w:val="bottom"/>
          </w:tcPr>
          <w:p>
            <w:pPr>
              <w:spacing w:after="0"/>
              <w:rPr>
                <w:sz w:val="11"/>
                <w:szCs w:val="11"/>
                <w:color w:val="auto"/>
              </w:rPr>
            </w:pPr>
          </w:p>
        </w:tc>
        <w:tc>
          <w:tcPr>
            <w:tcW w:w="1000" w:type="dxa"/>
            <w:vAlign w:val="bottom"/>
          </w:tcPr>
          <w:p>
            <w:pPr>
              <w:jc w:val="right"/>
              <w:ind w:right="127"/>
              <w:spacing w:after="0"/>
              <w:rPr>
                <w:sz w:val="20"/>
                <w:szCs w:val="20"/>
                <w:color w:val="auto"/>
              </w:rPr>
            </w:pPr>
            <w:r>
              <w:rPr>
                <w:rFonts w:ascii="Times New Roman" w:cs="Times New Roman" w:eastAsia="Times New Roman" w:hAnsi="Times New Roman"/>
                <w:sz w:val="10"/>
                <w:szCs w:val="10"/>
                <w:b w:val="1"/>
                <w:bCs w:val="1"/>
                <w:color w:val="auto"/>
                <w:w w:val="98"/>
              </w:rPr>
              <w:t>Consolidated Total</w:t>
            </w:r>
          </w:p>
        </w:tc>
      </w:tr>
      <w:tr>
        <w:trPr>
          <w:trHeight w:val="133"/>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interest income (loss)</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13,776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2,048</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22,913</w:t>
            </w:r>
          </w:p>
        </w:tc>
      </w:tr>
      <w:tr>
        <w:trPr>
          <w:trHeight w:val="142"/>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5,610</w:t>
            </w:r>
          </w:p>
        </w:tc>
      </w:tr>
      <w:tr>
        <w:trPr>
          <w:trHeight w:val="135"/>
        </w:trPr>
        <w:tc>
          <w:tcPr>
            <w:tcW w:w="5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1"/>
                <w:szCs w:val="11"/>
                <w:color w:val="auto"/>
              </w:rPr>
              <w:t>Total net revenue</w:t>
            </w:r>
            <w:r>
              <w:rPr>
                <w:rFonts w:ascii="Times New Roman" w:cs="Times New Roman" w:eastAsia="Times New Roman" w:hAnsi="Times New Roman"/>
                <w:sz w:val="14"/>
                <w:szCs w:val="14"/>
                <w:color w:val="auto"/>
                <w:vertAlign w:val="superscript"/>
              </w:rPr>
              <w:t>(2)</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28,523</w:t>
            </w:r>
          </w:p>
        </w:tc>
      </w:tr>
      <w:tr>
        <w:trPr>
          <w:trHeight w:val="142"/>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10,264</w:t>
            </w:r>
          </w:p>
        </w:tc>
      </w:tr>
      <w:tr>
        <w:trPr>
          <w:trHeight w:val="14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8,491</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4,159</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15,056</w:t>
            </w:r>
          </w:p>
        </w:tc>
      </w:tr>
      <w:tr>
        <w:trPr>
          <w:trHeight w:val="131"/>
        </w:trPr>
        <w:tc>
          <w:tcPr>
            <w:tcW w:w="532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Income (loss) from continuing operations before income taxes</w:t>
            </w: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3,203</w:t>
            </w:r>
          </w:p>
        </w:tc>
      </w:tr>
      <w:tr>
        <w:trPr>
          <w:trHeight w:val="14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provision (benefit)</w:t>
            </w: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w:t>
            </w:r>
          </w:p>
        </w:tc>
      </w:tr>
      <w:tr>
        <w:trPr>
          <w:trHeight w:val="165"/>
        </w:trPr>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Income (loss) from continuing operations, net of tax</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1,367</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2,717</w:t>
            </w:r>
          </w:p>
        </w:tc>
      </w:tr>
      <w:tr>
        <w:trPr>
          <w:trHeight w:val="133"/>
        </w:trPr>
        <w:tc>
          <w:tcPr>
            <w:tcW w:w="5320" w:type="dxa"/>
            <w:vAlign w:val="bottom"/>
            <w:tcBorders>
              <w:top w:val="single" w:sz="8" w:color="CCEEFF"/>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Loans held for investment</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106,956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68,888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75,780</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251,624</w:t>
            </w:r>
          </w:p>
        </w:tc>
      </w:tr>
      <w:tr>
        <w:trPr>
          <w:trHeight w:val="140"/>
        </w:trPr>
        <w:tc>
          <w:tcPr>
            <w:tcW w:w="53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Deposits</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305,442</w:t>
            </w:r>
          </w:p>
        </w:tc>
      </w:tr>
    </w:tbl>
    <w:p>
      <w:pPr>
        <w:spacing w:after="0" w:line="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110" w:lineRule="exact"/>
        <w:rPr>
          <w:sz w:val="20"/>
          <w:szCs w:val="20"/>
          <w:color w:val="auto"/>
        </w:rPr>
      </w:pPr>
    </w:p>
    <w:p>
      <w:pPr>
        <w:ind w:left="208" w:hanging="208"/>
        <w:spacing w:after="0" w:line="261" w:lineRule="auto"/>
        <w:tabs>
          <w:tab w:leader="none" w:pos="200" w:val="left"/>
        </w:tabs>
        <w:numPr>
          <w:ilvl w:val="0"/>
          <w:numId w:val="10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5"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10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Total net revenue was reduced by $946 million, $629 million and $1.1 billion for the years ended December 31, 2022, 2021 and 2020, respectively, for credit card finance charges and fees charged off as uncollectible.</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Revenue from Contracts with Customers</w:t>
      </w:r>
    </w:p>
    <w:p>
      <w:pPr>
        <w:spacing w:after="0" w:line="109" w:lineRule="exact"/>
        <w:rPr>
          <w:sz w:val="20"/>
          <w:szCs w:val="20"/>
          <w:color w:val="auto"/>
        </w:rPr>
      </w:pPr>
    </w:p>
    <w:p>
      <w:pPr>
        <w:jc w:val="both"/>
        <w:ind w:left="8"/>
        <w:spacing w:after="0" w:line="237" w:lineRule="auto"/>
        <w:rPr>
          <w:sz w:val="20"/>
          <w:szCs w:val="20"/>
          <w:color w:val="auto"/>
        </w:rPr>
      </w:pPr>
      <w:r>
        <w:rPr>
          <w:rFonts w:ascii="Times New Roman" w:cs="Times New Roman" w:eastAsia="Times New Roman" w:hAnsi="Times New Roman"/>
          <w:sz w:val="12"/>
          <w:szCs w:val="12"/>
          <w:color w:val="auto"/>
        </w:rPr>
        <w:t>The majority of our revenue from contracts with customers consists of interchange fees, service charges and other customer-related fees, and other contract revenue. Interchange fees are primarily from our Credit Card business and are recognized upon settlement with the interchange networks, net of rewards earned by customers. Service charges and other customer-related fees within our Consumer Banking business are primarily related to fees earned on consumer deposit accounts for account maintenance and various transaction-based services such as automated teller machine (“ATM”) usage. Service charges and other customer-related fees within our Commercial Banking business are mostly related to fees earned on treasury management and capital markets services. Other contract revenue in our Credit Card business consists primarily of revenue from our partnership arrangements. Other contract revenue in our Consumer Banking business consists primarily of revenue earned on certain marketing and promotional events from our auto dealers. Revenue from contracts with customers is included in non-interest income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199</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200" w:name="page201"/>
    <w:bookmarkEnd w:id="200"/>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3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revenue from contracts with customers and a reconciliation to non-interest income by business segment for the years ended December 31, 2022, 2021 and 2020.</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17.2: Revenue from Contracts with Customers and Reconciliation to Segment Results</w:t>
      </w:r>
    </w:p>
    <w:p>
      <w:pPr>
        <w:spacing w:after="0" w:line="35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5"/>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w w:val="96"/>
              </w:rPr>
              <w:t>Year Ended December 31, 2022</w:t>
            </w: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35"/>
        </w:trPr>
        <w:tc>
          <w:tcPr>
            <w:tcW w:w="5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00" w:type="dxa"/>
            <w:vAlign w:val="bottom"/>
          </w:tcPr>
          <w:p>
            <w:pPr>
              <w:spacing w:after="0"/>
              <w:rPr>
                <w:sz w:val="11"/>
                <w:szCs w:val="11"/>
                <w:color w:val="auto"/>
              </w:rPr>
            </w:pP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w w:val="98"/>
              </w:rPr>
              <w:t>Consumer Banking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Commercial Banking</w:t>
            </w:r>
            <w:r>
              <w:rPr>
                <w:rFonts w:ascii="Times New Roman" w:cs="Times New Roman" w:eastAsia="Times New Roman" w:hAnsi="Times New Roman"/>
                <w:sz w:val="12"/>
                <w:szCs w:val="12"/>
                <w:b w:val="1"/>
                <w:bCs w:val="1"/>
                <w:color w:val="auto"/>
                <w:vertAlign w:val="superscript"/>
              </w:rPr>
              <w:t>(1)</w:t>
            </w:r>
          </w:p>
        </w:tc>
        <w:tc>
          <w:tcPr>
            <w:tcW w:w="240" w:type="dxa"/>
            <w:vAlign w:val="bottom"/>
          </w:tcPr>
          <w:p>
            <w:pPr>
              <w:spacing w:after="0"/>
              <w:rPr>
                <w:sz w:val="11"/>
                <w:szCs w:val="11"/>
                <w:color w:val="auto"/>
              </w:rPr>
            </w:pPr>
          </w:p>
        </w:tc>
        <w:tc>
          <w:tcPr>
            <w:tcW w:w="9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(1)</w:t>
            </w:r>
          </w:p>
        </w:tc>
        <w:tc>
          <w:tcPr>
            <w:tcW w:w="140" w:type="dxa"/>
            <w:vAlign w:val="bottom"/>
          </w:tcPr>
          <w:p>
            <w:pPr>
              <w:spacing w:after="0"/>
              <w:rPr>
                <w:sz w:val="11"/>
                <w:szCs w:val="11"/>
                <w:color w:val="auto"/>
              </w:rPr>
            </w:pPr>
          </w:p>
        </w:tc>
        <w:tc>
          <w:tcPr>
            <w:tcW w:w="1040" w:type="dxa"/>
            <w:vAlign w:val="bottom"/>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Consolidated Total</w:t>
            </w:r>
          </w:p>
        </w:tc>
      </w:tr>
      <w:tr>
        <w:trPr>
          <w:trHeight w:val="133"/>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 revenue:</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r>
      <w:tr>
        <w:trPr>
          <w:trHeight w:val="144"/>
        </w:trPr>
        <w:tc>
          <w:tcPr>
            <w:tcW w:w="53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Interchange fees, net</w:t>
            </w:r>
            <w:r>
              <w:rPr>
                <w:rFonts w:ascii="Times New Roman" w:cs="Times New Roman" w:eastAsia="Times New Roman" w:hAnsi="Times New Roman"/>
                <w:sz w:val="14"/>
                <w:szCs w:val="14"/>
                <w:color w:val="auto"/>
                <w:vertAlign w:val="superscript"/>
              </w:rPr>
              <w:t>(2)</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4,178</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109</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4,606</w:t>
            </w:r>
          </w:p>
        </w:tc>
      </w:tr>
      <w:tr>
        <w:trPr>
          <w:trHeight w:val="144"/>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Service charges and other customer-related fees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327</w:t>
            </w:r>
          </w:p>
        </w:tc>
      </w:tr>
      <w:tr>
        <w:trPr>
          <w:trHeight w:val="143"/>
        </w:trPr>
        <w:tc>
          <w:tcPr>
            <w:tcW w:w="5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484</w:t>
            </w:r>
          </w:p>
        </w:tc>
      </w:tr>
      <w:tr>
        <w:trPr>
          <w:trHeight w:val="134"/>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contract revenue (loss)</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4,573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5,417</w:t>
            </w:r>
          </w:p>
        </w:tc>
      </w:tr>
      <w:tr>
        <w:trPr>
          <w:trHeight w:val="143"/>
        </w:trPr>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Revenue (reduction) from other sources</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1,198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768</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(231)</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1,719</w:t>
            </w:r>
          </w:p>
        </w:tc>
      </w:tr>
      <w:tr>
        <w:trPr>
          <w:trHeight w:val="141"/>
        </w:trPr>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non-interest income (loss)</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5,771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469</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1,129</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(233)</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7,136</w:t>
            </w: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302"/>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w w:val="96"/>
              </w:rPr>
              <w:t>Year Ended December 31, 2021</w:t>
            </w: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30"/>
        </w:trPr>
        <w:tc>
          <w:tcPr>
            <w:tcW w:w="5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00" w:type="dxa"/>
            <w:vAlign w:val="bottom"/>
          </w:tcPr>
          <w:p>
            <w:pPr>
              <w:spacing w:after="0"/>
              <w:rPr>
                <w:sz w:val="11"/>
                <w:szCs w:val="11"/>
                <w:color w:val="auto"/>
              </w:rPr>
            </w:pP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w w:val="98"/>
              </w:rPr>
              <w:t>Consumer Banking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Commercial Banking</w:t>
            </w:r>
            <w:r>
              <w:rPr>
                <w:rFonts w:ascii="Times New Roman" w:cs="Times New Roman" w:eastAsia="Times New Roman" w:hAnsi="Times New Roman"/>
                <w:sz w:val="6"/>
                <w:szCs w:val="6"/>
                <w:b w:val="1"/>
                <w:bCs w:val="1"/>
                <w:color w:val="auto"/>
              </w:rPr>
              <w:t>(1)</w:t>
            </w:r>
          </w:p>
        </w:tc>
        <w:tc>
          <w:tcPr>
            <w:tcW w:w="240" w:type="dxa"/>
            <w:vAlign w:val="bottom"/>
          </w:tcPr>
          <w:p>
            <w:pPr>
              <w:spacing w:after="0"/>
              <w:rPr>
                <w:sz w:val="11"/>
                <w:szCs w:val="11"/>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6"/>
                <w:szCs w:val="6"/>
                <w:b w:val="1"/>
                <w:bCs w:val="1"/>
                <w:color w:val="auto"/>
              </w:rPr>
              <w:t>(1)</w:t>
            </w:r>
          </w:p>
        </w:tc>
        <w:tc>
          <w:tcPr>
            <w:tcW w:w="140" w:type="dxa"/>
            <w:vAlign w:val="bottom"/>
          </w:tcPr>
          <w:p>
            <w:pPr>
              <w:spacing w:after="0"/>
              <w:rPr>
                <w:sz w:val="11"/>
                <w:szCs w:val="11"/>
                <w:color w:val="auto"/>
              </w:rPr>
            </w:pPr>
          </w:p>
        </w:tc>
        <w:tc>
          <w:tcPr>
            <w:tcW w:w="1040" w:type="dxa"/>
            <w:vAlign w:val="bottom"/>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Consolidated Total</w:t>
            </w:r>
          </w:p>
        </w:tc>
      </w:tr>
      <w:tr>
        <w:trPr>
          <w:trHeight w:val="138"/>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 revenue:</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r>
      <w:tr>
        <w:trPr>
          <w:trHeight w:val="144"/>
        </w:trPr>
        <w:tc>
          <w:tcPr>
            <w:tcW w:w="53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Interchange fees, net</w:t>
            </w:r>
            <w:r>
              <w:rPr>
                <w:rFonts w:ascii="Times New Roman" w:cs="Times New Roman" w:eastAsia="Times New Roman" w:hAnsi="Times New Roman"/>
                <w:sz w:val="14"/>
                <w:szCs w:val="14"/>
                <w:color w:val="auto"/>
                <w:vertAlign w:val="superscript"/>
              </w:rPr>
              <w:t>(2)</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3,497</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3,860</w:t>
            </w:r>
          </w:p>
        </w:tc>
      </w:tr>
      <w:tr>
        <w:trPr>
          <w:trHeight w:val="144"/>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Service charges and other customer-related fees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w:t>
            </w:r>
          </w:p>
        </w:tc>
      </w:tr>
      <w:tr>
        <w:trPr>
          <w:trHeight w:val="142"/>
        </w:trPr>
        <w:tc>
          <w:tcPr>
            <w:tcW w:w="5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w:t>
            </w:r>
          </w:p>
        </w:tc>
      </w:tr>
      <w:tr>
        <w:trPr>
          <w:trHeight w:val="135"/>
        </w:trPr>
        <w:tc>
          <w:tcPr>
            <w:tcW w:w="53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contract revenue (loss)</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4,780</w:t>
            </w:r>
          </w:p>
        </w:tc>
      </w:tr>
      <w:tr>
        <w:trPr>
          <w:trHeight w:val="142"/>
        </w:trPr>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Revenue (reduction) from other sources</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1,484</w:t>
            </w:r>
          </w:p>
        </w:tc>
      </w:tr>
      <w:tr>
        <w:trPr>
          <w:trHeight w:val="142"/>
        </w:trPr>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non-interest income (loss)</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6,264</w:t>
            </w: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302"/>
        </w:trPr>
        <w:tc>
          <w:tcPr>
            <w:tcW w:w="5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w w:val="96"/>
              </w:rPr>
              <w:t>Year Ended December 31, 2020</w:t>
            </w: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35"/>
        </w:trPr>
        <w:tc>
          <w:tcPr>
            <w:tcW w:w="53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8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Credit Card</w:t>
            </w:r>
          </w:p>
        </w:tc>
        <w:tc>
          <w:tcPr>
            <w:tcW w:w="100" w:type="dxa"/>
            <w:vAlign w:val="bottom"/>
          </w:tcPr>
          <w:p>
            <w:pPr>
              <w:spacing w:after="0"/>
              <w:rPr>
                <w:sz w:val="11"/>
                <w:szCs w:val="11"/>
                <w:color w:val="auto"/>
              </w:rPr>
            </w:pPr>
          </w:p>
        </w:tc>
        <w:tc>
          <w:tcPr>
            <w:tcW w:w="1000" w:type="dxa"/>
            <w:vAlign w:val="bottom"/>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w w:val="98"/>
              </w:rPr>
              <w:t>Consumer Banking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Commercial Banking</w:t>
            </w:r>
            <w:r>
              <w:rPr>
                <w:rFonts w:ascii="Times New Roman" w:cs="Times New Roman" w:eastAsia="Times New Roman" w:hAnsi="Times New Roman"/>
                <w:sz w:val="12"/>
                <w:szCs w:val="12"/>
                <w:b w:val="1"/>
                <w:bCs w:val="1"/>
                <w:color w:val="auto"/>
                <w:vertAlign w:val="superscript"/>
              </w:rPr>
              <w:t>(1)</w:t>
            </w:r>
          </w:p>
        </w:tc>
        <w:tc>
          <w:tcPr>
            <w:tcW w:w="240" w:type="dxa"/>
            <w:vAlign w:val="bottom"/>
          </w:tcPr>
          <w:p>
            <w:pPr>
              <w:spacing w:after="0"/>
              <w:rPr>
                <w:sz w:val="11"/>
                <w:szCs w:val="11"/>
                <w:color w:val="auto"/>
              </w:rPr>
            </w:pPr>
          </w:p>
        </w:tc>
        <w:tc>
          <w:tcPr>
            <w:tcW w:w="9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0"/>
                <w:szCs w:val="10"/>
                <w:b w:val="1"/>
                <w:bCs w:val="1"/>
                <w:color w:val="auto"/>
              </w:rPr>
              <w:t>Other</w:t>
            </w:r>
            <w:r>
              <w:rPr>
                <w:rFonts w:ascii="Times New Roman" w:cs="Times New Roman" w:eastAsia="Times New Roman" w:hAnsi="Times New Roman"/>
                <w:sz w:val="12"/>
                <w:szCs w:val="12"/>
                <w:b w:val="1"/>
                <w:bCs w:val="1"/>
                <w:color w:val="auto"/>
                <w:vertAlign w:val="superscript"/>
              </w:rPr>
              <w:t>(1)</w:t>
            </w:r>
          </w:p>
        </w:tc>
        <w:tc>
          <w:tcPr>
            <w:tcW w:w="140" w:type="dxa"/>
            <w:vAlign w:val="bottom"/>
          </w:tcPr>
          <w:p>
            <w:pPr>
              <w:spacing w:after="0"/>
              <w:rPr>
                <w:sz w:val="11"/>
                <w:szCs w:val="11"/>
                <w:color w:val="auto"/>
              </w:rPr>
            </w:pPr>
          </w:p>
        </w:tc>
        <w:tc>
          <w:tcPr>
            <w:tcW w:w="1040" w:type="dxa"/>
            <w:vAlign w:val="bottom"/>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Consolidated Total</w:t>
            </w:r>
          </w:p>
        </w:tc>
      </w:tr>
      <w:tr>
        <w:trPr>
          <w:trHeight w:val="133"/>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Contract revenue:</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r>
      <w:tr>
        <w:trPr>
          <w:trHeight w:val="144"/>
        </w:trPr>
        <w:tc>
          <w:tcPr>
            <w:tcW w:w="5340" w:type="dxa"/>
            <w:vAlign w:val="bottom"/>
            <w:gridSpan w:val="2"/>
          </w:tcPr>
          <w:p>
            <w:pPr>
              <w:ind w:left="140"/>
              <w:spacing w:after="0" w:line="144" w:lineRule="exact"/>
              <w:rPr>
                <w:sz w:val="20"/>
                <w:szCs w:val="20"/>
                <w:color w:val="auto"/>
              </w:rPr>
            </w:pPr>
            <w:r>
              <w:rPr>
                <w:rFonts w:ascii="Times New Roman" w:cs="Times New Roman" w:eastAsia="Times New Roman" w:hAnsi="Times New Roman"/>
                <w:sz w:val="11"/>
                <w:szCs w:val="11"/>
                <w:color w:val="auto"/>
              </w:rPr>
              <w:t>Interchange fees, net</w:t>
            </w:r>
            <w:r>
              <w:rPr>
                <w:rFonts w:ascii="Times New Roman" w:cs="Times New Roman" w:eastAsia="Times New Roman" w:hAnsi="Times New Roman"/>
                <w:sz w:val="14"/>
                <w:szCs w:val="14"/>
                <w:color w:val="auto"/>
                <w:vertAlign w:val="superscript"/>
              </w:rPr>
              <w:t>(2)</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2,747</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3,017</w:t>
            </w:r>
          </w:p>
        </w:tc>
      </w:tr>
      <w:tr>
        <w:trPr>
          <w:trHeight w:val="144"/>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Service charges and other customer-related fees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w:t>
            </w:r>
          </w:p>
        </w:tc>
      </w:tr>
      <w:tr>
        <w:trPr>
          <w:trHeight w:val="142"/>
        </w:trPr>
        <w:tc>
          <w:tcPr>
            <w:tcW w:w="5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358</w:t>
            </w:r>
          </w:p>
        </w:tc>
      </w:tr>
      <w:tr>
        <w:trPr>
          <w:trHeight w:val="135"/>
        </w:trPr>
        <w:tc>
          <w:tcPr>
            <w:tcW w:w="53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Total contract revenue (loss)</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3,737</w:t>
            </w:r>
          </w:p>
        </w:tc>
      </w:tr>
      <w:tr>
        <w:trPr>
          <w:trHeight w:val="142"/>
        </w:trPr>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Revenue from other sources</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1,873</w:t>
            </w:r>
          </w:p>
        </w:tc>
      </w:tr>
      <w:tr>
        <w:trPr>
          <w:trHeight w:val="151"/>
        </w:trPr>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non-interest income</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3,823</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5,610</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110" w:lineRule="exact"/>
        <w:rPr>
          <w:sz w:val="20"/>
          <w:szCs w:val="20"/>
          <w:color w:val="auto"/>
        </w:rPr>
      </w:pPr>
    </w:p>
    <w:p>
      <w:pPr>
        <w:ind w:left="208" w:hanging="208"/>
        <w:spacing w:after="0" w:line="219" w:lineRule="auto"/>
        <w:tabs>
          <w:tab w:leader="none" w:pos="200" w:val="left"/>
        </w:tabs>
        <w:numPr>
          <w:ilvl w:val="0"/>
          <w:numId w:val="10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Some of our commercial investments generate tax-exempt income, tax credits or other tax benefits. Accordingly, we present our Commercial Banking revenue and yields on a taxable-equivalent basis, calculated using the federal statutory tax rate of 21% and state taxes where applicable, with offsetting reductions to the Other category.</w:t>
      </w:r>
    </w:p>
    <w:p>
      <w:pPr>
        <w:spacing w:after="0" w:line="15"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0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Interchange fees are presented net of customer reward expenses of $7.6 billion, $6.4 billion and $4.9 billion for the years ended December 31, 2022, 2021 and 2020, respectively.</w:t>
      </w:r>
    </w:p>
    <w:p>
      <w:pPr>
        <w:spacing w:after="0" w:line="200" w:lineRule="exact"/>
        <w:rPr>
          <w:sz w:val="20"/>
          <w:szCs w:val="20"/>
          <w:color w:val="auto"/>
        </w:rPr>
      </w:pPr>
    </w:p>
    <w:p>
      <w:pPr>
        <w:spacing w:after="0" w:line="325"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200</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201" w:name="page202"/>
    <w:bookmarkEnd w:id="201"/>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7178040" cy="114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18—COMMITMENTS, CONTINGENCIES, GUARANTEES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178040" cy="114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Commitments to Lend</w:t>
      </w:r>
    </w:p>
    <w:p>
      <w:pPr>
        <w:spacing w:after="0" w:line="11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Our unfunded lending commitments primarily consist of credit card lines, loan commitments to customers of both our Commercial Banking and Consumer Banking businesses, as well as standby and commercial letters of credit. These commitments, other than credit card lines and certain other unconditionally cancellable lines of credit, are legally binding conditional agreements that have fixed expirations or termination dates and specified interest rates and purposes. The contractual amount of these commitments represents the maximum possible credit risk to us should the counterparty draw upon the commitment. We generally manage the potential risk of unfunded lending commitments by limiting the total amount of arrangements, monitoring the size and maturity structure of these portfolios and applying the same credit standards for all of our credit activities.</w:t>
      </w:r>
    </w:p>
    <w:p>
      <w:pPr>
        <w:spacing w:after="0" w:line="8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For unused credit card lines, we have not experienced and do not anticipate that all of our customers will access their entire available line at any given point in time. Commitments to extend credit other than credit card lines generally require customers to maintain certain credit standards. Collateral requirements and loan-to-value (“LTV”) ratios are the same as those for funded transactions and are established based on management’s credit assessment of the customer. These commitments may expire without being drawn upon; therefore, the total commitment amount does not necessarily represent future funding requirements.</w:t>
      </w:r>
    </w:p>
    <w:p>
      <w:pPr>
        <w:spacing w:after="0" w:line="83"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We also issue letters of credit, such as financial standby, performance standby and commercial letters of credit, to meet the financing needs of our customers. Standby letters of credit are conditional commitments issued by us to guarantee the performance of a customer to a third party in a borrowing arrangement. Commercial letters of credit are short-term commitments issued primarily to facilitate trade finance activities for customers and are generally collateralized by the goods being shipped to the customer. These collateral requirements are similar to those for funded transactions and are established based on management’s credit assessment of the customer. Management conducts regular reviews of all outstanding letters of credit and the results of these reviews are considered in assessing the adequacy of reserves for unfunded lending commitments.</w:t>
      </w:r>
    </w:p>
    <w:p>
      <w:pPr>
        <w:spacing w:after="0" w:line="86"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contractual amount and carrying value of our unfunded lending commitments as of December 31, 2022 and 2021. The carrying value represents our reserve and deferred revenue on legally binding commitments.</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Table 18.1: Unfunded Lending Commitments</w:t>
      </w:r>
    </w:p>
    <w:p>
      <w:pPr>
        <w:spacing w:after="0" w:line="57"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6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5"/>
          </w:tcPr>
          <w:p>
            <w:pPr>
              <w:ind w:left="700"/>
              <w:spacing w:after="0"/>
              <w:rPr>
                <w:sz w:val="20"/>
                <w:szCs w:val="20"/>
                <w:color w:val="auto"/>
              </w:rPr>
            </w:pPr>
            <w:r>
              <w:rPr>
                <w:rFonts w:ascii="Times New Roman" w:cs="Times New Roman" w:eastAsia="Times New Roman" w:hAnsi="Times New Roman"/>
                <w:sz w:val="10"/>
                <w:szCs w:val="10"/>
                <w:b w:val="1"/>
                <w:bCs w:val="1"/>
                <w:color w:val="auto"/>
              </w:rPr>
              <w:t>Contractual Amount</w:t>
            </w:r>
          </w:p>
        </w:tc>
        <w:tc>
          <w:tcPr>
            <w:tcW w:w="140" w:type="dxa"/>
            <w:vAlign w:val="bottom"/>
          </w:tcPr>
          <w:p>
            <w:pPr>
              <w:spacing w:after="0"/>
              <w:rPr>
                <w:sz w:val="11"/>
                <w:szCs w:val="11"/>
                <w:color w:val="auto"/>
              </w:rPr>
            </w:pPr>
          </w:p>
        </w:tc>
        <w:tc>
          <w:tcPr>
            <w:tcW w:w="2420" w:type="dxa"/>
            <w:vAlign w:val="bottom"/>
            <w:gridSpan w:val="4"/>
          </w:tcPr>
          <w:p>
            <w:pPr>
              <w:jc w:val="right"/>
              <w:ind w:right="907"/>
              <w:spacing w:after="0"/>
              <w:rPr>
                <w:sz w:val="20"/>
                <w:szCs w:val="20"/>
                <w:color w:val="auto"/>
              </w:rPr>
            </w:pPr>
            <w:r>
              <w:rPr>
                <w:rFonts w:ascii="Times New Roman" w:cs="Times New Roman" w:eastAsia="Times New Roman" w:hAnsi="Times New Roman"/>
                <w:sz w:val="10"/>
                <w:szCs w:val="10"/>
                <w:b w:val="1"/>
                <w:bCs w:val="1"/>
                <w:color w:val="auto"/>
              </w:rPr>
              <w:t>Carrying Value</w:t>
            </w:r>
          </w:p>
        </w:tc>
      </w:tr>
      <w:tr>
        <w:trPr>
          <w:trHeight w:val="130"/>
        </w:trPr>
        <w:tc>
          <w:tcPr>
            <w:tcW w:w="61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December 31, 2021</w:t>
            </w:r>
          </w:p>
        </w:tc>
      </w:tr>
      <w:tr>
        <w:trPr>
          <w:trHeight w:val="138"/>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Credit card lines</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359,507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368,508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N/A</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44"/>
        </w:trPr>
        <w:tc>
          <w:tcPr>
            <w:tcW w:w="612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Other loan commitments</w:t>
            </w:r>
            <w:r>
              <w:rPr>
                <w:rFonts w:ascii="Times New Roman" w:cs="Times New Roman" w:eastAsia="Times New Roman" w:hAnsi="Times New Roman"/>
                <w:sz w:val="14"/>
                <w:szCs w:val="14"/>
                <w:color w:val="auto"/>
                <w:vertAlign w:val="superscript"/>
              </w:rPr>
              <w:t>(1)</w:t>
            </w: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48,405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44,572</w:t>
            </w:r>
          </w:p>
        </w:tc>
        <w:tc>
          <w:tcPr>
            <w:tcW w:w="1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176</w:t>
            </w: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r>
      <w:tr>
        <w:trPr>
          <w:trHeight w:val="144"/>
        </w:trPr>
        <w:tc>
          <w:tcPr>
            <w:tcW w:w="612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Standby letters of credit and commercial letters of credit</w:t>
            </w:r>
            <w:r>
              <w:rPr>
                <w:rFonts w:ascii="Times New Roman" w:cs="Times New Roman" w:eastAsia="Times New Roman" w:hAnsi="Times New Roman"/>
                <w:sz w:val="14"/>
                <w:szCs w:val="14"/>
                <w:color w:val="auto"/>
                <w:vertAlign w:val="superscript"/>
              </w:rPr>
              <w:t>(2)</w:t>
            </w: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1,402</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28</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unfunded lending commitments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409,314</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414,499</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204</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w:t>
            </w:r>
          </w:p>
        </w:tc>
      </w:tr>
      <w:tr>
        <w:trPr>
          <w:trHeight w:val="20"/>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24" w:lineRule="exact"/>
        <w:rPr>
          <w:sz w:val="20"/>
          <w:szCs w:val="20"/>
          <w:color w:val="auto"/>
        </w:rPr>
      </w:pPr>
    </w:p>
    <w:p>
      <w:pPr>
        <w:ind w:left="208" w:hanging="208"/>
        <w:spacing w:after="0"/>
        <w:tabs>
          <w:tab w:leader="none" w:pos="208" w:val="left"/>
        </w:tabs>
        <w:numPr>
          <w:ilvl w:val="0"/>
          <w:numId w:val="1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$4.4 billion and $3.9 billion of advised lines of credit as of December 31, 2022 and 2021, respectively.</w:t>
      </w:r>
    </w:p>
    <w:p>
      <w:pPr>
        <w:spacing w:after="0" w:line="37" w:lineRule="exact"/>
        <w:rPr>
          <w:rFonts w:ascii="Times New Roman" w:cs="Times New Roman" w:eastAsia="Times New Roman" w:hAnsi="Times New Roman"/>
          <w:sz w:val="12"/>
          <w:szCs w:val="12"/>
          <w:color w:val="auto"/>
          <w:vertAlign w:val="superscript"/>
        </w:rPr>
      </w:pPr>
    </w:p>
    <w:p>
      <w:pPr>
        <w:ind w:left="208" w:hanging="208"/>
        <w:spacing w:after="0" w:line="201" w:lineRule="auto"/>
        <w:tabs>
          <w:tab w:leader="none" w:pos="208" w:val="left"/>
        </w:tabs>
        <w:numPr>
          <w:ilvl w:val="0"/>
          <w:numId w:val="1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These financial guarantees have expiration dates that range from 2022 to 2027 as of December 31, 2022.</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Loss Sharing Agreements</w:t>
      </w:r>
    </w:p>
    <w:p>
      <w:pPr>
        <w:spacing w:after="0" w:line="118"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Within our Commercial Banking business, we originate multifamily commercial real estate loans with the intent to sell them to the GSEs. We enter into loss sharing agreements with the GSEs upon the sale of these originated loans. Beginning January 1, 2020, we elected the fair value option on new loss sharing agreements entered into. Unrealized gains and losses are recorded in other non-interest income in our consolidated statements of income. For those loss sharing agreements entered into as of and prior to December 31, 2019, we amortize the liability recorded at inception into non-interest income as we are released from risk of having to make a payment and record our estimate of expected credit losses each period in provision for credit losses in our consolidated statements of income. The liability recognized on our consolidated balance sheets for these loss sharing agreements was $82 million and $90 million as of December 31, 2022 and 2021, respectively. See “Note 4—Allowance for Credit Losses and Reserve for Unfunded Lending Commitments” for more information related to our credit card partnership loss sharing arrangements.</w:t>
      </w:r>
    </w:p>
    <w:p>
      <w:pPr>
        <w:spacing w:after="0" w:line="200" w:lineRule="exact"/>
        <w:rPr>
          <w:sz w:val="20"/>
          <w:szCs w:val="20"/>
          <w:color w:val="auto"/>
        </w:rPr>
      </w:pPr>
    </w:p>
    <w:p>
      <w:pPr>
        <w:spacing w:after="0" w:line="282" w:lineRule="exact"/>
        <w:rPr>
          <w:sz w:val="20"/>
          <w:szCs w:val="20"/>
          <w:color w:val="auto"/>
        </w:rPr>
      </w:pPr>
    </w:p>
    <w:p>
      <w:pPr>
        <w:ind w:left="5568"/>
        <w:spacing w:after="0"/>
        <w:tabs>
          <w:tab w:leader="none" w:pos="9668" w:val="left"/>
        </w:tabs>
        <w:rPr>
          <w:sz w:val="20"/>
          <w:szCs w:val="20"/>
          <w:color w:val="auto"/>
        </w:rPr>
      </w:pPr>
      <w:r>
        <w:rPr>
          <w:rFonts w:ascii="Times New Roman" w:cs="Times New Roman" w:eastAsia="Times New Roman" w:hAnsi="Times New Roman"/>
          <w:sz w:val="8"/>
          <w:szCs w:val="8"/>
          <w:color w:val="auto"/>
        </w:rPr>
        <w:t>201</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20344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Litigation</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accordance with the current accounting standards for loss contingencies, we establish reserves for litigation-related matters that arise from the ordinary course of our business activities when it is probable that a loss associated with a claim or proceeding has been incurred and the amount of the loss can be reasonably estimated. None of the amounts we currently have recorded individually or in the aggregate are considered to be material to our financial condition. Litigation claims and proceedings of all types are subject to many uncertain factors that generally cannot be predicted with assurance. Below we provide a description of potentially material legal proceedings and claims.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For some of the matters disclosed below, we are able to estimate reasonably possible losses above existing reserves, and for other disclosed matters, such an estimate is not possible at this time. For those matters below where an estimate is possible, management currently estimates the reasonably possible future losses beyond our reserves as of December 31, 2022 are approximately $200 million. Our reserve and reasonably possible loss estimates involve considerable judgment and reflect that there is still significant uncertainty regarding numerous factors that may impact the ultimate loss levels. Notwithstanding, our attempt to estimate a reasonably possible range of loss beyond our current accrual levels for some litigation matters based on current information, it is possible that actual future losses will exceed both the current accrual level and the range of reasonably possible losses disclosed here. Given the inherent uncertainties involved in these matters, especially those involving governmental agencies, and the very large or indeterminate damages sought in some of these matters, there is significant uncertainty as to the ultimate liability we may incur from these litigation matters and an adverse outcome in one or more of these matters could be material to our results of operations or cash flows for any particular reporting period.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Interchange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2005, a putative class of retail merchants filed antitrust lawsuits against MasterCard and Visa and several issuing banks, including Capital One, seeking both injunctive relief and monetary damages for an alleged conspiracy by defendants to fix the level of interchange fees. Other merchants have asserted similar claims in separate lawsuits, and while these separate cases did not name any issuing banks, Visa, MasterCard and issuers, including Capital One, have entered settlement and judgment sharing agreements allocating the liabilities of any judgment or settlement arising from all interchange-related cases.</w:t>
      </w:r>
    </w:p>
    <w:p>
      <w:pPr>
        <w:spacing w:after="0" w:line="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lawsuits were consolidated before the U.S. District Court for the Eastern District of New York for certain purposes and were settled in 2012. The class settlement, however, was invalidated by the United States Court of Appeals for the Second Circuit in June 2016, and the suit was bifurcated into separate class actions seeking injunctive and monetary relief, respectively. In addition, numerous merchant groups opted out of the 2012 settlement and have pursued their own claims. The claims by the injunctive relief class have not been resolved, but the settlement of $5.5 billion for the monetary damages class received final approval from the trial court, and has been appealed to the U.S. Court of Appeals for the Second Circuit. Visa and MasterCard have also settled a number of the opt-out cases, which required non-material payments from issuing banks, including Capital One. Visa created a litigation escrow account following its initial public offering of stock in 2008 that funds settlements for its member banks, and any settlements related to MasterCard-allocated losses have either already been paid or are reflected in our reserves.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Cybersecurity Incident</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July 29, 2019, we announced that on March 22 and 23, 2019 an outside individual gained unauthorized access to our systems. This individual obtained certain types of personal information relating to people who had applied for our credit card products and to our credit card customers (the “Cybersecurity Incident”). As a result of the Cybersecurity Incident, we are subject to numerous legal proceedings and other inquiries and could be the subject of additional proceedings and inquiries in the future.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i w:val="1"/>
          <w:iCs w:val="1"/>
          <w:color w:val="auto"/>
        </w:rPr>
        <w:t>Consumer class actions</w:t>
      </w:r>
      <w:r>
        <w:rPr>
          <w:rFonts w:ascii="Times New Roman" w:cs="Times New Roman" w:eastAsia="Times New Roman" w:hAnsi="Times New Roman"/>
          <w:sz w:val="12"/>
          <w:szCs w:val="12"/>
          <w:color w:val="auto"/>
        </w:rPr>
        <w:t>. We were named as a defendant in approximately 75 putative consumer class action cases (primarily in U.S. courts with cases also in Canadian courts) alleging harm from the Cybersecurity Incident and seeking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various remedies, including monetary and injunctive relief. The lawsuits allege breach of contract, negligence, violations of various privacy laws and a variety of other legal causes of action. The U.S. consumer class actions were consolidated for pretrial proceedings before a multi-district litigation (“MDL”) panel in the U.S. District Court for the Eastern District of Virginia, Alexandria Division. In the fourth quarter of 2021, the parties agreed to a settlement of the U.S. consumer class action cases for an amount within existing reserves. The MDL court approved the settlement in September 2022, and the approval became final in the fourth quarter of 2022. The balance of the settlement was paid after the court approval became final in the fourth quarter of 2022, and the U.S. consumer class action is now concluded. Capital One maintained cyber insurance that covered this settlement. In</w:t>
      </w:r>
    </w:p>
    <w:p>
      <w:pPr>
        <w:spacing w:after="0" w:line="200" w:lineRule="exact"/>
        <w:rPr>
          <w:sz w:val="20"/>
          <w:szCs w:val="20"/>
          <w:color w:val="auto"/>
        </w:rPr>
      </w:pPr>
    </w:p>
    <w:p>
      <w:pPr>
        <w:spacing w:after="0" w:line="272"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202</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Canada, a trial court in British Columbia preliminarily certified a class of all impacted Canadian consumers except those in Quebec in the second quarter of 2022, which would allow the case to proceed with discovery on a classwide basis under Canadian law. The preliminary certification decision has been appealed.</w:t>
      </w:r>
    </w:p>
    <w:p>
      <w:pPr>
        <w:spacing w:after="0" w:line="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Securities class action</w:t>
      </w:r>
      <w:r>
        <w:rPr>
          <w:rFonts w:ascii="Times New Roman" w:cs="Times New Roman" w:eastAsia="Times New Roman" w:hAnsi="Times New Roman"/>
          <w:sz w:val="12"/>
          <w:szCs w:val="12"/>
          <w:color w:val="auto"/>
        </w:rPr>
        <w:t>. The Company and certain officers were also named as defendants in a putative class action pending in the MDL alleging violations of certain federal securities laws in connection with statements and alleged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omissions in securities filings relating to our information security standards and practices. The complaint sought certification of a class of all persons who purchased or otherwise acquired Capital One securities from July 23, 2015 to July 29, 2019, as well as unspecified monetary damages, costs and other relief. The MDL court granted the Company’s motion to dismiss in September 2022, and the dismissal became final in the fourth quarter of 2022. The securities class action is now concluded.</w:t>
      </w:r>
    </w:p>
    <w:p>
      <w:pPr>
        <w:spacing w:after="0" w:line="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Governmental inquiries</w:t>
      </w:r>
      <w:r>
        <w:rPr>
          <w:rFonts w:ascii="Times New Roman" w:cs="Times New Roman" w:eastAsia="Times New Roman" w:hAnsi="Times New Roman"/>
          <w:sz w:val="12"/>
          <w:szCs w:val="12"/>
          <w:color w:val="auto"/>
        </w:rPr>
        <w:t>. We have received inquiries and requests for information relating to the Cybersecurity Incident from Congress, federal regulators, relevant Canadian regulators, the Department of Justice, and the offices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approximately fourteen state Attorneys General. We have cooperated with these offices and responded to their inquiries.</w:t>
      </w:r>
    </w:p>
    <w:p>
      <w:pPr>
        <w:spacing w:after="0" w:line="7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August 2020, we entered into consent orders with the Federal Reserve and OCC resulting from regulatory reviews of the Cybersecurity Incident and relating to ongoing enhancements of our cybersecurity and operational risk management processes. We paid an $80 million penalty to the U.S. Treasury as part of the OCC agreement. The Federal Reserve agreement did not contain a monetary penalty. The OCC lifted its consent order on August 31,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U.K. PPI Litigation</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the U.K., we previously sold payment protection insurance (“PPI”). For several years leading up to the claims submission deadline of August 29, 2019 (as set by the U.K. Financial Conduct Authority), we received customer complaints and regulatory claims relating to PPI. COEP has materially resolved the PPI complaints and regulatory claims received prior to the deadline. Some of the claimants in the U.K. PPI regulatory claims process have subsequently initiated legal proceedings, seeking additional redress. We are responding to these proceedings as we receive them.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Pending and Threatened Litigation</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addition, we are commonly subject to various pending and threatened legal actions relating to the conduct of our normal business activities. In the opinion of management, the ultimate aggregate liability, if any, arising out of all such other pending or threatened legal actions is not expected to be material to our consolidated financial position or our results of operations.</w:t>
      </w:r>
    </w:p>
    <w:p>
      <w:pPr>
        <w:spacing w:after="0" w:line="200" w:lineRule="exact"/>
        <w:rPr>
          <w:sz w:val="20"/>
          <w:szCs w:val="20"/>
          <w:color w:val="auto"/>
        </w:rPr>
      </w:pPr>
    </w:p>
    <w:p>
      <w:pPr>
        <w:spacing w:after="0" w:line="259"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203</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19—CAPITAL ONE FINANCIAL CORPORATION (PARENT COMPANY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parent company only financial statements are prepared in accordance with Regulation S-X of the U.S. Securities and Exchange Commission (“SEC”).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19.1: Parent Company Statements of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8"/>
          </w:tcPr>
          <w:p>
            <w:pPr>
              <w:jc w:val="center"/>
              <w:ind w:left="347"/>
              <w:spacing w:after="0"/>
              <w:rPr>
                <w:sz w:val="20"/>
                <w:szCs w:val="20"/>
                <w:color w:val="auto"/>
              </w:rPr>
            </w:pPr>
            <w:r>
              <w:rPr>
                <w:rFonts w:ascii="Times New Roman" w:cs="Times New Roman" w:eastAsia="Times New Roman" w:hAnsi="Times New Roman"/>
                <w:sz w:val="10"/>
                <w:szCs w:val="10"/>
                <w:b w:val="1"/>
                <w:bCs w:val="1"/>
                <w:color w:val="auto"/>
                <w:w w:val="94"/>
              </w:rPr>
              <w:t>Year Ended December 31,</w:t>
            </w: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2020</w:t>
            </w:r>
          </w:p>
        </w:tc>
        <w:tc>
          <w:tcPr>
            <w:tcW w:w="0" w:type="dxa"/>
            <w:vAlign w:val="bottom"/>
          </w:tcPr>
          <w:p>
            <w:pPr>
              <w:spacing w:after="0"/>
              <w:rPr>
                <w:sz w:val="1"/>
                <w:szCs w:val="1"/>
                <w:color w:val="auto"/>
              </w:rPr>
            </w:pPr>
          </w:p>
        </w:tc>
      </w:tr>
      <w:tr>
        <w:trPr>
          <w:trHeight w:val="138"/>
        </w:trPr>
        <w:tc>
          <w:tcPr>
            <w:tcW w:w="8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143"/>
        </w:trPr>
        <w:tc>
          <w:tcPr>
            <w:tcW w:w="8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0" w:type="dxa"/>
            <w:vAlign w:val="bottom"/>
          </w:tcPr>
          <w:p>
            <w:pPr>
              <w:spacing w:after="0"/>
              <w:rPr>
                <w:sz w:val="1"/>
                <w:szCs w:val="1"/>
                <w:color w:val="auto"/>
              </w:rPr>
            </w:pPr>
          </w:p>
        </w:tc>
      </w:tr>
      <w:tr>
        <w:trPr>
          <w:trHeight w:val="145"/>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Benefit for Credit Losses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3"/>
        </w:trPr>
        <w:tc>
          <w:tcPr>
            <w:tcW w:w="8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Dividends from subsidiaries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4,352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2"/>
              </w:rPr>
              <w:t>13,970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3,003</w:t>
            </w:r>
          </w:p>
        </w:tc>
        <w:tc>
          <w:tcPr>
            <w:tcW w:w="0" w:type="dxa"/>
            <w:vAlign w:val="bottom"/>
          </w:tcPr>
          <w:p>
            <w:pPr>
              <w:spacing w:after="0"/>
              <w:rPr>
                <w:sz w:val="1"/>
                <w:szCs w:val="1"/>
                <w:color w:val="auto"/>
              </w:rPr>
            </w:pPr>
          </w:p>
        </w:tc>
      </w:tr>
      <w:tr>
        <w:trPr>
          <w:trHeight w:val="145"/>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Non-interest income (loss)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0" w:type="dxa"/>
            <w:vAlign w:val="bottom"/>
          </w:tcPr>
          <w:p>
            <w:pPr>
              <w:spacing w:after="0"/>
              <w:rPr>
                <w:sz w:val="1"/>
                <w:szCs w:val="1"/>
                <w:color w:val="auto"/>
              </w:rPr>
            </w:pPr>
          </w:p>
        </w:tc>
      </w:tr>
      <w:tr>
        <w:trPr>
          <w:trHeight w:val="143"/>
        </w:trPr>
        <w:tc>
          <w:tcPr>
            <w:tcW w:w="8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34"/>
        </w:trPr>
        <w:tc>
          <w:tcPr>
            <w:tcW w:w="860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Income before income taxes and equity in undistributed earnings of subsidiaries</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13,668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2,519</w:t>
            </w:r>
          </w:p>
        </w:tc>
        <w:tc>
          <w:tcPr>
            <w:tcW w:w="0" w:type="dxa"/>
            <w:vAlign w:val="bottom"/>
          </w:tcPr>
          <w:p>
            <w:pPr>
              <w:spacing w:after="0"/>
              <w:rPr>
                <w:sz w:val="1"/>
                <w:szCs w:val="1"/>
                <w:color w:val="auto"/>
              </w:rPr>
            </w:pPr>
          </w:p>
        </w:tc>
      </w:tr>
      <w:tr>
        <w:trPr>
          <w:trHeight w:val="143"/>
        </w:trPr>
        <w:tc>
          <w:tcPr>
            <w:tcW w:w="8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Income tax benefit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45"/>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 undistributed earnings of subsidiaries</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3,250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(1,360)</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0" w:type="dxa"/>
            <w:vAlign w:val="bottom"/>
          </w:tcPr>
          <w:p>
            <w:pPr>
              <w:spacing w:after="0"/>
              <w:rPr>
                <w:sz w:val="1"/>
                <w:szCs w:val="1"/>
                <w:color w:val="auto"/>
              </w:rPr>
            </w:pPr>
          </w:p>
        </w:tc>
      </w:tr>
      <w:tr>
        <w:trPr>
          <w:trHeight w:val="132"/>
        </w:trPr>
        <w:tc>
          <w:tcPr>
            <w:tcW w:w="86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7,360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2"/>
              </w:rPr>
              <w:t>12,390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2,714</w:t>
            </w:r>
          </w:p>
        </w:tc>
        <w:tc>
          <w:tcPr>
            <w:tcW w:w="0" w:type="dxa"/>
            <w:vAlign w:val="bottom"/>
          </w:tcPr>
          <w:p>
            <w:pPr>
              <w:spacing w:after="0"/>
              <w:rPr>
                <w:sz w:val="1"/>
                <w:szCs w:val="1"/>
                <w:color w:val="auto"/>
              </w:rPr>
            </w:pPr>
          </w:p>
        </w:tc>
      </w:tr>
      <w:tr>
        <w:trPr>
          <w:trHeight w:val="145"/>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 (loss), net of tax</w:t>
            </w: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(10,290)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(3,120)</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0" w:type="dxa"/>
            <w:vAlign w:val="bottom"/>
          </w:tcPr>
          <w:p>
            <w:pPr>
              <w:spacing w:after="0"/>
              <w:rPr>
                <w:sz w:val="1"/>
                <w:szCs w:val="1"/>
                <w:color w:val="auto"/>
              </w:rPr>
            </w:pPr>
          </w:p>
        </w:tc>
      </w:tr>
      <w:tr>
        <w:trPr>
          <w:trHeight w:val="131"/>
        </w:trPr>
        <w:tc>
          <w:tcPr>
            <w:tcW w:w="8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(2,930)</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9,270</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5,060</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Table 19.2: Parent Company Balance Sheets</w:t>
            </w: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4"/>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142"/>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46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22,006</w:t>
            </w:r>
          </w:p>
        </w:tc>
        <w:tc>
          <w:tcPr>
            <w:tcW w:w="340" w:type="dxa"/>
            <w:vAlign w:val="bottom"/>
            <w:gridSpan w:val="2"/>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16,910</w:t>
            </w:r>
          </w:p>
        </w:tc>
        <w:tc>
          <w:tcPr>
            <w:tcW w:w="0" w:type="dxa"/>
            <w:vAlign w:val="bottom"/>
          </w:tcPr>
          <w:p>
            <w:pPr>
              <w:spacing w:after="0"/>
              <w:rPr>
                <w:sz w:val="1"/>
                <w:szCs w:val="1"/>
                <w:color w:val="auto"/>
              </w:rPr>
            </w:pPr>
          </w:p>
        </w:tc>
      </w:tr>
      <w:tr>
        <w:trPr>
          <w:trHeight w:val="145"/>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Investments in subsidiaries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50,523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57,600</w:t>
            </w:r>
          </w:p>
        </w:tc>
        <w:tc>
          <w:tcPr>
            <w:tcW w:w="0" w:type="dxa"/>
            <w:vAlign w:val="bottom"/>
          </w:tcPr>
          <w:p>
            <w:pPr>
              <w:spacing w:after="0"/>
              <w:rPr>
                <w:sz w:val="1"/>
                <w:szCs w:val="1"/>
                <w:color w:val="auto"/>
              </w:rPr>
            </w:pPr>
          </w:p>
        </w:tc>
      </w:tr>
      <w:tr>
        <w:trPr>
          <w:trHeight w:val="143"/>
        </w:trPr>
        <w:tc>
          <w:tcPr>
            <w:tcW w:w="8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Loans to subsidiaries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6,710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7,849</w:t>
            </w:r>
          </w:p>
        </w:tc>
        <w:tc>
          <w:tcPr>
            <w:tcW w:w="0" w:type="dxa"/>
            <w:vAlign w:val="bottom"/>
          </w:tcPr>
          <w:p>
            <w:pPr>
              <w:spacing w:after="0"/>
              <w:rPr>
                <w:sz w:val="1"/>
                <w:szCs w:val="1"/>
                <w:color w:val="auto"/>
              </w:rPr>
            </w:pPr>
          </w:p>
        </w:tc>
      </w:tr>
      <w:tr>
        <w:trPr>
          <w:trHeight w:val="145"/>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0" w:type="dxa"/>
            <w:vAlign w:val="bottom"/>
          </w:tcPr>
          <w:p>
            <w:pPr>
              <w:spacing w:after="0"/>
              <w:rPr>
                <w:sz w:val="1"/>
                <w:szCs w:val="1"/>
                <w:color w:val="auto"/>
              </w:rPr>
            </w:pPr>
          </w:p>
        </w:tc>
      </w:tr>
      <w:tr>
        <w:trPr>
          <w:trHeight w:val="143"/>
        </w:trPr>
        <w:tc>
          <w:tcPr>
            <w:tcW w:w="8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2,281</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0" w:type="dxa"/>
            <w:vAlign w:val="bottom"/>
          </w:tcPr>
          <w:p>
            <w:pPr>
              <w:spacing w:after="0"/>
              <w:rPr>
                <w:sz w:val="1"/>
                <w:szCs w:val="1"/>
                <w:color w:val="auto"/>
              </w:rPr>
            </w:pPr>
          </w:p>
        </w:tc>
      </w:tr>
      <w:tr>
        <w:trPr>
          <w:trHeight w:val="150"/>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6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81,915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84,202</w:t>
            </w:r>
          </w:p>
        </w:tc>
        <w:tc>
          <w:tcPr>
            <w:tcW w:w="0" w:type="dxa"/>
            <w:vAlign w:val="bottom"/>
          </w:tcPr>
          <w:p>
            <w:pPr>
              <w:spacing w:after="0"/>
              <w:rPr>
                <w:sz w:val="1"/>
                <w:szCs w:val="1"/>
                <w:color w:val="auto"/>
              </w:rPr>
            </w:pPr>
          </w:p>
        </w:tc>
      </w:tr>
      <w:tr>
        <w:trPr>
          <w:trHeight w:val="126"/>
        </w:trPr>
        <w:tc>
          <w:tcPr>
            <w:tcW w:w="8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Senior and subordinated notes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46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28,970</w:t>
            </w:r>
          </w:p>
        </w:tc>
        <w:tc>
          <w:tcPr>
            <w:tcW w:w="340" w:type="dxa"/>
            <w:vAlign w:val="bottom"/>
            <w:gridSpan w:val="2"/>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23,017</w:t>
            </w:r>
          </w:p>
        </w:tc>
        <w:tc>
          <w:tcPr>
            <w:tcW w:w="0" w:type="dxa"/>
            <w:vAlign w:val="bottom"/>
          </w:tcPr>
          <w:p>
            <w:pPr>
              <w:spacing w:after="0"/>
              <w:rPr>
                <w:sz w:val="1"/>
                <w:szCs w:val="1"/>
                <w:color w:val="auto"/>
              </w:rPr>
            </w:pPr>
          </w:p>
        </w:tc>
      </w:tr>
      <w:tr>
        <w:trPr>
          <w:trHeight w:val="145"/>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363</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0" w:type="dxa"/>
            <w:vAlign w:val="bottom"/>
          </w:tcPr>
          <w:p>
            <w:pPr>
              <w:spacing w:after="0"/>
              <w:rPr>
                <w:sz w:val="1"/>
                <w:szCs w:val="1"/>
                <w:color w:val="auto"/>
              </w:rPr>
            </w:pPr>
          </w:p>
        </w:tc>
      </w:tr>
      <w:tr>
        <w:trPr>
          <w:trHeight w:val="132"/>
        </w:trPr>
        <w:tc>
          <w:tcPr>
            <w:tcW w:w="8600" w:type="dxa"/>
            <w:vAlign w:val="bottom"/>
            <w:tcBorders>
              <w:bottom w:val="single" w:sz="8" w:color="CCEEFF"/>
            </w:tcBorders>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29,333</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23,173</w:t>
            </w:r>
          </w:p>
        </w:tc>
        <w:tc>
          <w:tcPr>
            <w:tcW w:w="0" w:type="dxa"/>
            <w:vAlign w:val="bottom"/>
          </w:tcPr>
          <w:p>
            <w:pPr>
              <w:spacing w:after="0"/>
              <w:rPr>
                <w:sz w:val="1"/>
                <w:szCs w:val="1"/>
                <w:color w:val="auto"/>
              </w:rPr>
            </w:pPr>
          </w:p>
        </w:tc>
      </w:tr>
      <w:tr>
        <w:trPr>
          <w:trHeight w:val="134"/>
        </w:trPr>
        <w:tc>
          <w:tcPr>
            <w:tcW w:w="860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52,582</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61,029</w:t>
            </w:r>
          </w:p>
        </w:tc>
        <w:tc>
          <w:tcPr>
            <w:tcW w:w="0" w:type="dxa"/>
            <w:vAlign w:val="bottom"/>
          </w:tcPr>
          <w:p>
            <w:pPr>
              <w:spacing w:after="0"/>
              <w:rPr>
                <w:sz w:val="1"/>
                <w:szCs w:val="1"/>
                <w:color w:val="auto"/>
              </w:rPr>
            </w:pPr>
          </w:p>
        </w:tc>
      </w:tr>
      <w:tr>
        <w:trPr>
          <w:trHeight w:val="132"/>
        </w:trPr>
        <w:tc>
          <w:tcPr>
            <w:tcW w:w="8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81,915</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84,202</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8520" w:type="dxa"/>
            <w:vAlign w:val="bottom"/>
          </w:tcPr>
          <w:p>
            <w:pPr>
              <w:ind w:left="5560"/>
              <w:spacing w:after="0"/>
              <w:rPr>
                <w:sz w:val="20"/>
                <w:szCs w:val="20"/>
                <w:color w:val="auto"/>
              </w:rPr>
            </w:pPr>
            <w:r>
              <w:rPr>
                <w:rFonts w:ascii="Times New Roman" w:cs="Times New Roman" w:eastAsia="Times New Roman" w:hAnsi="Times New Roman"/>
                <w:sz w:val="10"/>
                <w:szCs w:val="10"/>
                <w:color w:val="auto"/>
              </w:rPr>
              <w:t>204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tcPr>
          <w:p>
            <w:pPr>
              <w:jc w:val="right"/>
              <w:spacing w:after="0"/>
              <w:rPr>
                <w:sz w:val="20"/>
                <w:szCs w:val="20"/>
                <w:color w:val="auto"/>
              </w:rPr>
            </w:pPr>
            <w:r>
              <w:rPr>
                <w:rFonts w:ascii="Times New Roman" w:cs="Times New Roman" w:eastAsia="Times New Roman" w:hAnsi="Times New Roman"/>
                <w:sz w:val="10"/>
                <w:szCs w:val="10"/>
                <w:color w:val="auto"/>
                <w:w w:val="96"/>
              </w:rPr>
              <w:t>Capital One Financial Corporation (COF)</w:t>
            </w:r>
          </w:p>
        </w:tc>
        <w:tc>
          <w:tcPr>
            <w:tcW w:w="0" w:type="dxa"/>
            <w:vAlign w:val="bottom"/>
          </w:tcPr>
          <w:p>
            <w:pPr>
              <w:spacing w:after="0"/>
              <w:rPr>
                <w:sz w:val="1"/>
                <w:szCs w:val="1"/>
                <w:color w:val="auto"/>
              </w:rPr>
            </w:pPr>
          </w:p>
        </w:tc>
      </w:tr>
      <w:tr>
        <w:trPr>
          <w:trHeight w:val="224"/>
        </w:trPr>
        <w:tc>
          <w:tcPr>
            <w:tcW w:w="85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Table 19.3: Parent Company Statements of Cash Flows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0"/>
        </w:trPr>
        <w:tc>
          <w:tcPr>
            <w:tcW w:w="854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(Dollars in millions)</w:t>
            </w:r>
          </w:p>
        </w:tc>
        <w:tc>
          <w:tcPr>
            <w:tcW w:w="200" w:type="dxa"/>
            <w:vAlign w:val="bottom"/>
          </w:tcPr>
          <w:p>
            <w:pPr>
              <w:spacing w:after="0"/>
              <w:rPr>
                <w:sz w:val="11"/>
                <w:szCs w:val="11"/>
                <w:color w:val="auto"/>
              </w:rPr>
            </w:pPr>
          </w:p>
        </w:tc>
        <w:tc>
          <w:tcPr>
            <w:tcW w:w="640" w:type="dxa"/>
            <w:vAlign w:val="bottom"/>
          </w:tcPr>
          <w:p>
            <w:pPr>
              <w:jc w:val="right"/>
              <w:ind w:right="26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Pr>
          <w:p>
            <w:pPr>
              <w:spacing w:after="0"/>
              <w:rPr>
                <w:sz w:val="11"/>
                <w:szCs w:val="11"/>
                <w:color w:val="auto"/>
              </w:rPr>
            </w:pPr>
          </w:p>
        </w:tc>
      </w:tr>
      <w:tr>
        <w:trPr>
          <w:trHeight w:val="138"/>
        </w:trPr>
        <w:tc>
          <w:tcPr>
            <w:tcW w:w="8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8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7,360</w:t>
            </w:r>
          </w:p>
        </w:tc>
        <w:tc>
          <w:tcPr>
            <w:tcW w:w="2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12,390</w:t>
            </w:r>
          </w:p>
        </w:tc>
        <w:tc>
          <w:tcPr>
            <w:tcW w:w="80" w:type="dxa"/>
            <w:vAlign w:val="bottom"/>
          </w:tcPr>
          <w:p>
            <w:pPr>
              <w:spacing w:after="0"/>
              <w:rPr>
                <w:sz w:val="12"/>
                <w:szCs w:val="12"/>
                <w:color w:val="auto"/>
              </w:rPr>
            </w:pPr>
          </w:p>
        </w:tc>
        <w:tc>
          <w:tcPr>
            <w:tcW w:w="20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2,714</w:t>
            </w:r>
          </w:p>
        </w:tc>
        <w:tc>
          <w:tcPr>
            <w:tcW w:w="20" w:type="dxa"/>
            <w:vAlign w:val="bottom"/>
          </w:tcPr>
          <w:p>
            <w:pPr>
              <w:spacing w:after="0"/>
              <w:rPr>
                <w:sz w:val="12"/>
                <w:szCs w:val="12"/>
                <w:color w:val="auto"/>
              </w:rPr>
            </w:pPr>
          </w:p>
        </w:tc>
      </w:tr>
      <w:tr>
        <w:trPr>
          <w:trHeight w:val="145"/>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Adjustments to reconcile net income to net cash from operating activities:</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Equity in undistributed earnings of subsidiaries</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1,360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20" w:type="dxa"/>
            <w:vAlign w:val="bottom"/>
          </w:tcPr>
          <w:p>
            <w:pPr>
              <w:spacing w:after="0"/>
              <w:rPr>
                <w:sz w:val="12"/>
                <w:szCs w:val="12"/>
                <w:color w:val="auto"/>
              </w:rPr>
            </w:pPr>
          </w:p>
        </w:tc>
      </w:tr>
      <w:tr>
        <w:trPr>
          <w:trHeight w:val="145"/>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operating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(2,429)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(4,523)</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w:t>
            </w:r>
          </w:p>
        </w:tc>
        <w:tc>
          <w:tcPr>
            <w:tcW w:w="20" w:type="dxa"/>
            <w:vAlign w:val="bottom"/>
          </w:tcPr>
          <w:p>
            <w:pPr>
              <w:spacing w:after="0"/>
              <w:rPr>
                <w:sz w:val="12"/>
                <w:szCs w:val="12"/>
                <w:color w:val="auto"/>
              </w:rPr>
            </w:pPr>
          </w:p>
        </w:tc>
      </w:tr>
      <w:tr>
        <w:trPr>
          <w:trHeight w:val="132"/>
        </w:trPr>
        <w:tc>
          <w:tcPr>
            <w:tcW w:w="8540" w:type="dxa"/>
            <w:vAlign w:val="bottom"/>
            <w:tcBorders>
              <w:bottom w:val="single" w:sz="8" w:color="CCEEFF"/>
            </w:tcBorders>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cash from operating activities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1,681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9,227</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3,829</w:t>
            </w:r>
          </w:p>
        </w:tc>
        <w:tc>
          <w:tcPr>
            <w:tcW w:w="20" w:type="dxa"/>
            <w:vAlign w:val="bottom"/>
          </w:tcPr>
          <w:p>
            <w:pPr>
              <w:spacing w:after="0"/>
              <w:rPr>
                <w:sz w:val="11"/>
                <w:szCs w:val="11"/>
                <w:color w:val="auto"/>
              </w:rPr>
            </w:pPr>
          </w:p>
        </w:tc>
      </w:tr>
      <w:tr>
        <w:trPr>
          <w:trHeight w:val="125"/>
        </w:trPr>
        <w:tc>
          <w:tcPr>
            <w:tcW w:w="854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Investing activities:</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Changes in investments in subsidiaries</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3,521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20" w:type="dxa"/>
            <w:vAlign w:val="bottom"/>
          </w:tcPr>
          <w:p>
            <w:pPr>
              <w:spacing w:after="0"/>
              <w:rPr>
                <w:sz w:val="12"/>
                <w:szCs w:val="12"/>
                <w:color w:val="auto"/>
              </w:rPr>
            </w:pPr>
          </w:p>
        </w:tc>
      </w:tr>
      <w:tr>
        <w:trPr>
          <w:trHeight w:val="145"/>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paydowns and maturities of securities available for sale</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20" w:type="dxa"/>
            <w:vAlign w:val="bottom"/>
          </w:tcPr>
          <w:p>
            <w:pPr>
              <w:spacing w:after="0"/>
              <w:rPr>
                <w:sz w:val="12"/>
                <w:szCs w:val="12"/>
                <w:color w:val="auto"/>
              </w:rPr>
            </w:pPr>
          </w:p>
        </w:tc>
      </w:tr>
      <w:tr>
        <w:trPr>
          <w:trHeight w:val="1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Purchases of securities available for sale</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r>
      <w:tr>
        <w:trPr>
          <w:trHeight w:val="145"/>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Changes in loans to subsidiaries</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1,139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(2,019)</w:t>
            </w:r>
          </w:p>
        </w:tc>
        <w:tc>
          <w:tcPr>
            <w:tcW w:w="20" w:type="dxa"/>
            <w:vAlign w:val="bottom"/>
          </w:tcPr>
          <w:p>
            <w:pPr>
              <w:spacing w:after="0"/>
              <w:rPr>
                <w:sz w:val="12"/>
                <w:szCs w:val="12"/>
                <w:color w:val="auto"/>
              </w:rPr>
            </w:pPr>
          </w:p>
        </w:tc>
      </w:tr>
      <w:tr>
        <w:trPr>
          <w:trHeight w:val="132"/>
        </w:trPr>
        <w:tc>
          <w:tcPr>
            <w:tcW w:w="8540" w:type="dxa"/>
            <w:vAlign w:val="bottom"/>
            <w:tcBorders>
              <w:bottom w:val="single" w:sz="8" w:color="CCEEFF"/>
            </w:tcBorders>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cash from investing activities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1,225</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1,737</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(2,119)</w:t>
            </w:r>
          </w:p>
        </w:tc>
        <w:tc>
          <w:tcPr>
            <w:tcW w:w="20" w:type="dxa"/>
            <w:vAlign w:val="bottom"/>
          </w:tcPr>
          <w:p>
            <w:pPr>
              <w:spacing w:after="0"/>
              <w:rPr>
                <w:sz w:val="11"/>
                <w:szCs w:val="11"/>
                <w:color w:val="auto"/>
              </w:rPr>
            </w:pPr>
          </w:p>
        </w:tc>
      </w:tr>
      <w:tr>
        <w:trPr>
          <w:trHeight w:val="125"/>
        </w:trPr>
        <w:tc>
          <w:tcPr>
            <w:tcW w:w="8540" w:type="dxa"/>
            <w:vAlign w:val="bottom"/>
            <w:gridSpan w:val="2"/>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Financing activities:</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8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Borrowings: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Issuance of senior and subordinated notes</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9,271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4,487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1,991</w:t>
            </w:r>
          </w:p>
        </w:tc>
        <w:tc>
          <w:tcPr>
            <w:tcW w:w="20" w:type="dxa"/>
            <w:vAlign w:val="bottom"/>
          </w:tcPr>
          <w:p>
            <w:pPr>
              <w:spacing w:after="0"/>
              <w:rPr>
                <w:sz w:val="12"/>
                <w:szCs w:val="12"/>
                <w:color w:val="auto"/>
              </w:rPr>
            </w:pPr>
          </w:p>
        </w:tc>
      </w:tr>
      <w:tr>
        <w:trPr>
          <w:trHeight w:val="1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Maturities and paydowns of senior and subordinated notes</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(2,900)</w:t>
            </w:r>
          </w:p>
        </w:tc>
        <w:tc>
          <w:tcPr>
            <w:tcW w:w="20" w:type="dxa"/>
            <w:vAlign w:val="bottom"/>
          </w:tcPr>
          <w:p>
            <w:pPr>
              <w:spacing w:after="0"/>
              <w:rPr>
                <w:sz w:val="12"/>
                <w:szCs w:val="12"/>
                <w:color w:val="auto"/>
              </w:rPr>
            </w:pPr>
          </w:p>
        </w:tc>
      </w:tr>
      <w:tr>
        <w:trPr>
          <w:trHeight w:val="145"/>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Net proceeds from issuances</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253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20" w:type="dxa"/>
            <w:vAlign w:val="bottom"/>
          </w:tcPr>
          <w:p>
            <w:pPr>
              <w:spacing w:after="0"/>
              <w:rPr>
                <w:sz w:val="12"/>
                <w:szCs w:val="12"/>
                <w:color w:val="auto"/>
              </w:rPr>
            </w:pPr>
          </w:p>
        </w:tc>
      </w:tr>
      <w:tr>
        <w:trPr>
          <w:trHeight w:val="145"/>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Dividends paid</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20" w:type="dxa"/>
            <w:vAlign w:val="bottom"/>
          </w:tcPr>
          <w:p>
            <w:pPr>
              <w:spacing w:after="0"/>
              <w:rPr>
                <w:sz w:val="12"/>
                <w:szCs w:val="12"/>
                <w:color w:val="auto"/>
              </w:rPr>
            </w:pPr>
          </w:p>
        </w:tc>
      </w:tr>
      <w:tr>
        <w:trPr>
          <w:trHeight w:val="142"/>
        </w:trPr>
        <w:tc>
          <w:tcPr>
            <w:tcW w:w="8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Preferred stock:</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proceeds from issuances</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2,052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20" w:type="dxa"/>
            <w:vAlign w:val="bottom"/>
          </w:tcPr>
          <w:p>
            <w:pPr>
              <w:spacing w:after="0"/>
              <w:rPr>
                <w:sz w:val="12"/>
                <w:szCs w:val="12"/>
                <w:color w:val="auto"/>
              </w:rPr>
            </w:pPr>
          </w:p>
        </w:tc>
      </w:tr>
      <w:tr>
        <w:trPr>
          <w:trHeight w:val="1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Dividends paid</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20" w:type="dxa"/>
            <w:vAlign w:val="bottom"/>
          </w:tcPr>
          <w:p>
            <w:pPr>
              <w:spacing w:after="0"/>
              <w:rPr>
                <w:sz w:val="12"/>
                <w:szCs w:val="12"/>
                <w:color w:val="auto"/>
              </w:rPr>
            </w:pPr>
          </w:p>
        </w:tc>
      </w:tr>
      <w:tr>
        <w:trPr>
          <w:trHeight w:val="145"/>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Redemptions</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(1,375)</w:t>
            </w:r>
          </w:p>
        </w:tc>
        <w:tc>
          <w:tcPr>
            <w:tcW w:w="20" w:type="dxa"/>
            <w:vAlign w:val="bottom"/>
          </w:tcPr>
          <w:p>
            <w:pPr>
              <w:spacing w:after="0"/>
              <w:rPr>
                <w:sz w:val="12"/>
                <w:szCs w:val="12"/>
                <w:color w:val="auto"/>
              </w:rPr>
            </w:pPr>
          </w:p>
        </w:tc>
      </w:tr>
      <w:tr>
        <w:trPr>
          <w:trHeight w:val="143"/>
        </w:trPr>
        <w:tc>
          <w:tcPr>
            <w:tcW w:w="8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(4,948)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20" w:type="dxa"/>
            <w:vAlign w:val="bottom"/>
          </w:tcPr>
          <w:p>
            <w:pPr>
              <w:spacing w:after="0"/>
              <w:rPr>
                <w:sz w:val="12"/>
                <w:szCs w:val="12"/>
                <w:color w:val="auto"/>
              </w:rPr>
            </w:pPr>
          </w:p>
        </w:tc>
      </w:tr>
      <w:tr>
        <w:trPr>
          <w:trHeight w:val="145"/>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share-based payment activities</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0" w:type="dxa"/>
            <w:vAlign w:val="bottom"/>
          </w:tcPr>
          <w:p>
            <w:pPr>
              <w:spacing w:after="0"/>
              <w:rPr>
                <w:sz w:val="12"/>
                <w:szCs w:val="12"/>
                <w:color w:val="auto"/>
              </w:rPr>
            </w:pPr>
          </w:p>
        </w:tc>
      </w:tr>
      <w:tr>
        <w:trPr>
          <w:trHeight w:val="132"/>
        </w:trPr>
        <w:tc>
          <w:tcPr>
            <w:tcW w:w="8540" w:type="dxa"/>
            <w:vAlign w:val="bottom"/>
            <w:tcBorders>
              <w:bottom w:val="single" w:sz="8" w:color="CCEEFF"/>
            </w:tcBorders>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cash from financing activities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2,190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(7,030)</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(1,784)</w:t>
            </w:r>
          </w:p>
        </w:tc>
        <w:tc>
          <w:tcPr>
            <w:tcW w:w="20" w:type="dxa"/>
            <w:vAlign w:val="bottom"/>
          </w:tcPr>
          <w:p>
            <w:pPr>
              <w:spacing w:after="0"/>
              <w:rPr>
                <w:sz w:val="11"/>
                <w:szCs w:val="11"/>
                <w:color w:val="auto"/>
              </w:rPr>
            </w:pPr>
          </w:p>
        </w:tc>
      </w:tr>
      <w:tr>
        <w:trPr>
          <w:trHeight w:val="134"/>
        </w:trPr>
        <w:tc>
          <w:tcPr>
            <w:tcW w:w="854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Changes in cash and cash equivalents</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5,096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3,934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20" w:type="dxa"/>
            <w:vAlign w:val="bottom"/>
          </w:tcPr>
          <w:p>
            <w:pPr>
              <w:spacing w:after="0"/>
              <w:rPr>
                <w:sz w:val="11"/>
                <w:szCs w:val="11"/>
                <w:color w:val="auto"/>
              </w:rPr>
            </w:pPr>
          </w:p>
        </w:tc>
      </w:tr>
      <w:tr>
        <w:trPr>
          <w:trHeight w:val="143"/>
        </w:trPr>
        <w:tc>
          <w:tcPr>
            <w:tcW w:w="8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Cash and cash equivalents, beginning of the period</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16,910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12,976</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13,050</w:t>
            </w:r>
          </w:p>
        </w:tc>
        <w:tc>
          <w:tcPr>
            <w:tcW w:w="20" w:type="dxa"/>
            <w:vAlign w:val="bottom"/>
          </w:tcPr>
          <w:p>
            <w:pPr>
              <w:spacing w:after="0"/>
              <w:rPr>
                <w:sz w:val="12"/>
                <w:szCs w:val="12"/>
                <w:color w:val="auto"/>
              </w:rPr>
            </w:pPr>
          </w:p>
        </w:tc>
      </w:tr>
      <w:tr>
        <w:trPr>
          <w:trHeight w:val="141"/>
        </w:trPr>
        <w:tc>
          <w:tcPr>
            <w:tcW w:w="8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end of the period</w:t>
            </w: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22,006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16,910</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center"/>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12,976</w:t>
            </w:r>
          </w:p>
        </w:tc>
        <w:tc>
          <w:tcPr>
            <w:tcW w:w="20" w:type="dxa"/>
            <w:vAlign w:val="bottom"/>
            <w:tcBorders>
              <w:bottom w:val="single" w:sz="8" w:color="CCEEFF"/>
            </w:tcBorders>
          </w:tcPr>
          <w:p>
            <w:pPr>
              <w:spacing w:after="0"/>
              <w:rPr>
                <w:sz w:val="12"/>
                <w:szCs w:val="12"/>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0"/>
        </w:trPr>
        <w:tc>
          <w:tcPr>
            <w:tcW w:w="8440" w:type="dxa"/>
            <w:vAlign w:val="bottom"/>
          </w:tcPr>
          <w:p>
            <w:pPr>
              <w:ind w:left="5560"/>
              <w:spacing w:after="0"/>
              <w:rPr>
                <w:sz w:val="20"/>
                <w:szCs w:val="20"/>
                <w:color w:val="auto"/>
              </w:rPr>
            </w:pPr>
            <w:r>
              <w:rPr>
                <w:rFonts w:ascii="Times New Roman" w:cs="Times New Roman" w:eastAsia="Times New Roman" w:hAnsi="Times New Roman"/>
                <w:sz w:val="10"/>
                <w:szCs w:val="10"/>
                <w:color w:val="auto"/>
              </w:rPr>
              <w:t>205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jc w:val="center"/>
              <w:ind w:left="7"/>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24"/>
        </w:trPr>
        <w:tc>
          <w:tcPr>
            <w:tcW w:w="84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78040" cy="114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20—RELATED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1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7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the ordinary course of business, we may have loans issued to our executive officers, directors and principal stockholders. Pursuant to our policy, such loans are issued on the same terms as those prevailing at the time for comparable loans to unrelated persons and do not involve more than the normal risk of collectability.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206</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 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required under applicable laws and regulations to maintain controls and procedures, which include disclosure controls and procedures as well as internal control over financial reporting, as further described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Disclosure Controls and Procedures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Disclosure controls and procedures refer to controls and other procedures designed to provide reasonable assurance that information required to be disclosed in our financial reports is recorded, processed, summarized and reported within the time periods specified by SEC rules and forms and that such information is accumulated and communicated to management, including our Chief Executive Officer and Chief Financial Officer, as appropriate, to allow timely decisions regarding our required disclosure. In designing and evaluating our disclosure controls and procedures, we recognize that any controls and procedures, no matter how well designed and operated, can provide only reasonable assurance of achieving the desired control objectives, and we must apply judgment in evaluating and implementing possible controls and procedures.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required by Rule 13a-15 of the Securities Exchange Act of 1934 (“Exchange Act”), our management, including the Chief Executive Officer and Chief Financial Officer, conducted an evaluation of the effectiveness of our disclosure controls and procedures (as that term is defined in Rules 13a-15(e) and 15d-15(e) of the Exchange Act) as of December 31, 2022, the end of the period covered by this Annual Report on Form 10-K. Based upon that evaluation, the Chief Executive Officer and Chief Financial Officer concluded that our disclosure controls and procedures were effective as of December 31, 2022, at a reasonable level of assurance, in recording, processing, summarizing and reporting information required to be disclosed within the time periods specified by the SEC rules and forms.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Changes in Internal Control Over Financial Reporting</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regularly review our disclosure controls and procedures and make changes intended to ensure the quality of our financial reporting. There have been no changes in internal control over financial reporting that occurred in the fourth quarter of 2022 which have materially affected, or are reasonably likely to materially affect, the Company’s internal control over financial reporting.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Management’s Report on Internal Control Over Financial Reporting</w:t>
      </w:r>
    </w:p>
    <w:p>
      <w:pPr>
        <w:spacing w:after="0" w:line="11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Management’s Report on Internal Control Over Financial Reporting is included in “Part II—Item 8. Financial Statements and Supplementary Data” and is incorporated herein by reference. The Report of Independent Registered Public Accounting Firm on Internal Control Over Financial Reporting also is included in “Part II—Item 8. Financial Statements and Supplementary Data” and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9B.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9C. Disclosure Regarding Foreign Jurisdictions that Prevent Inspections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207</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and Corporate Governance</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information required by Item 10 will be included in our Proxy Statement for the 2023 Annual Stockholder Meeting (“Proxy Statement”) under the heading “Election of Directors,” “Executive Officers,” “Process for Stockholder Recommendations of Director Candidates,” “Board Committees,” and “Delinquent Section 16(a) Reports,” and is incorporated herein by reference. The Proxy Statement will be filed with the Securities and Exchange Commission pursuant to Regulation 14A within 120 days of the end of our 2022 fiscal year. In addition, please see “Part I—Item 1. Business—Overview.”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11. Executive Compensation</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required by Item 11 will be included in the Proxy Statement under the headings “Director Compensation,” “Compensation Discussion and Analysis,” “Named Executive Officer Compensation” and “Compensation Committee Report,” and is incorporated herein by reference.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12. Security Ownership of Certain Beneficial Owners and Management and Related Stockholder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required by Item 12 will be included in the Proxy Statement under the headings “Security Ownership” and “Equity Compensation Plans,” and is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13. Certain Relationships and Related Transactions, and Director Independence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required by Item 13 will be included in the Proxy Statement under the headings “Related Person Transactions” and “Director Independence,” and is incorporated herein by reference.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14. Principal Accountant Fees and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required by Item 14 will be included in the Proxy Statement under the heading “Ratification of Selection of Our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208</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09" w:name="page210"/>
    <w:bookmarkEnd w:id="209"/>
    <w:p>
      <w:pPr>
        <w:ind w:left="8"/>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15. Exhibits and Financial Statement Schedules</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 Financial Statement Schedules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documents are filed as part of this Annual Report in Part II, Item 8 and are incorporated herein by reference.</w:t>
      </w:r>
    </w:p>
    <w:p>
      <w:pPr>
        <w:spacing w:after="0" w:line="114" w:lineRule="exact"/>
        <w:rPr>
          <w:sz w:val="20"/>
          <w:szCs w:val="20"/>
          <w:color w:val="auto"/>
        </w:rPr>
      </w:pPr>
    </w:p>
    <w:p>
      <w:pPr>
        <w:ind w:left="168" w:hanging="168"/>
        <w:spacing w:after="0"/>
        <w:tabs>
          <w:tab w:leader="none" w:pos="168"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Management’s Report on Internal Control Over Financial Reporting</w:t>
      </w:r>
    </w:p>
    <w:p>
      <w:pPr>
        <w:spacing w:after="0" w:line="114" w:lineRule="exact"/>
        <w:rPr>
          <w:rFonts w:ascii="Times New Roman" w:cs="Times New Roman" w:eastAsia="Times New Roman" w:hAnsi="Times New Roman"/>
          <w:sz w:val="12"/>
          <w:szCs w:val="12"/>
          <w:color w:val="auto"/>
        </w:rPr>
      </w:pPr>
    </w:p>
    <w:p>
      <w:pPr>
        <w:ind w:left="168" w:right="6100"/>
        <w:spacing w:after="0" w:line="43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 of Independent Registered Public Accounting Firm on Internal Control Over Financial Reporting Report of Independent Registered Public Accounting Firm on the Consolidated Financial Statements Consolidated Financial Statements:</w:t>
      </w: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Statements of Income for the years ended December 31, 2022, 2021 and 2020</w:t>
      </w:r>
    </w:p>
    <w:p>
      <w:pPr>
        <w:spacing w:after="0" w:line="114" w:lineRule="exact"/>
        <w:rPr>
          <w:rFonts w:ascii="Times New Roman" w:cs="Times New Roman" w:eastAsia="Times New Roman" w:hAnsi="Times New Roman"/>
          <w:sz w:val="12"/>
          <w:szCs w:val="12"/>
          <w:color w:val="auto"/>
        </w:rPr>
      </w:pPr>
    </w:p>
    <w:p>
      <w:pPr>
        <w:ind w:left="428" w:right="5680"/>
        <w:spacing w:after="0" w:line="43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Statements of Comprehensive Income for the years ended December 31, 2022, 2021 and 2020 Consolidated Balance Sheets as of December 31, 2022 and 2021</w:t>
      </w:r>
    </w:p>
    <w:p>
      <w:pPr>
        <w:ind w:left="428" w:right="5240"/>
        <w:spacing w:after="0" w:line="43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Statements of Changes in Stockholders’ Equity for the years ended December 31, 2022, 2021 and 2020 Consolidated Statements of Cash Flows for the years ended December 31, 2022, 2021 and 2020</w:t>
      </w:r>
    </w:p>
    <w:p>
      <w:pPr>
        <w:ind w:left="1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Notes to Consolidated Financial Statements</w:t>
      </w:r>
    </w:p>
    <w:p>
      <w:pPr>
        <w:spacing w:after="0" w:line="114" w:lineRule="exact"/>
        <w:rPr>
          <w:rFonts w:ascii="Times New Roman" w:cs="Times New Roman" w:eastAsia="Times New Roman" w:hAnsi="Times New Roman"/>
          <w:sz w:val="12"/>
          <w:szCs w:val="12"/>
          <w:color w:val="auto"/>
        </w:rPr>
      </w:pPr>
    </w:p>
    <w:p>
      <w:pPr>
        <w:ind w:left="168" w:right="10640" w:hanging="168"/>
        <w:spacing w:after="0" w:line="474" w:lineRule="auto"/>
        <w:tabs>
          <w:tab w:leader="none" w:pos="176" w:val="left"/>
        </w:tabs>
        <w:numPr>
          <w:ilvl w:val="0"/>
          <w:numId w:val="1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Schedules None.</w:t>
      </w:r>
    </w:p>
    <w:p>
      <w:pPr>
        <w:ind w:left="8"/>
        <w:spacing w:after="0"/>
        <w:rPr>
          <w:sz w:val="20"/>
          <w:szCs w:val="20"/>
          <w:color w:val="auto"/>
        </w:rPr>
      </w:pPr>
      <w:r>
        <w:rPr>
          <w:rFonts w:ascii="Times New Roman" w:cs="Times New Roman" w:eastAsia="Times New Roman" w:hAnsi="Times New Roman"/>
          <w:sz w:val="12"/>
          <w:szCs w:val="12"/>
          <w:b w:val="1"/>
          <w:bCs w:val="1"/>
          <w:color w:val="auto"/>
        </w:rPr>
        <w:t>(b) Exhibits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An index to exhibits has been filed as part of this Report and is incorporated herein by reference.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97" w:lineRule="exact"/>
        <w:rPr>
          <w:sz w:val="20"/>
          <w:szCs w:val="20"/>
          <w:color w:val="auto"/>
        </w:rPr>
      </w:pPr>
    </w:p>
    <w:p>
      <w:pPr>
        <w:jc w:val="both"/>
        <w:ind w:left="5568"/>
        <w:spacing w:after="0"/>
        <w:tabs>
          <w:tab w:leader="none" w:pos="9668" w:val="left"/>
        </w:tabs>
        <w:rPr>
          <w:sz w:val="20"/>
          <w:szCs w:val="20"/>
          <w:color w:val="auto"/>
        </w:rPr>
      </w:pPr>
      <w:r>
        <w:rPr>
          <w:rFonts w:ascii="Times New Roman" w:cs="Times New Roman" w:eastAsia="Times New Roman" w:hAnsi="Times New Roman"/>
          <w:sz w:val="10"/>
          <w:szCs w:val="10"/>
          <w:color w:val="auto"/>
        </w:rPr>
        <w:t>209</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134620</wp:posOffset>
            </wp:positionV>
            <wp:extent cx="7203440"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233" w:right="31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ANNUAL REPORT ON FORM 10-K</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DATED DECEMBER 31,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No. 001-13300</w:t>
      </w:r>
    </w:p>
    <w:p>
      <w:pPr>
        <w:spacing w:after="0" w:line="1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following exhibits are incorporated by reference or filed herewith. References to (i) the “2002 Form 10-K” are to the Company’s Annual Report on Form 10-K for the year ended December 31, 2002, filed on March 17, 2003; (ii) the “2003 Form 10-K” are to the Company’s Annual Report on Form 10-K for the year ended December 31, 2003, filed on March 5, 2004; (iii) the “2011 Form 10-K” are to the Company’s Annual Report on Form 10-K for the year ended December 31, 2011, filed on February 28, 2012; (iv) the “2012 Form 10-K” are to the Company’s Annual Report on Form 10-K for the year ended December 31, 2012, filed on February 28, 2013; (v) the “2013 Form 10-K” are to the Company’s Annual Report on Form 10-K for the year ended December 31, 2013, filed on February 27, 2014; (vi) the “2014 Form 10-K” are to the Company’s Annual Report on Form 10-K for the year ended December 31, 2014, filed on February 24, 2015; (vii) the “2015 Form 10-K” are to the Company’s Annual Report on Form 10-K for the year ended December 31, 2015, filed on February 25, 2016; (viii) the “2016 Form 10-K” are to the Company’s Annual Report on Form 10-K for the year ended December 31, 2016, filed on February 23, 2017; (ix) the “2018 Form 10-K” are to the Company’s Annual Report on Form 10-K for the year ended December 31, 2018, filed on February 20, 2019; (x) the “2019 Form 10-K” are to the Company’s Annual Report on Form 10-K for the year ended December 31, 2019, filed on February 20, 2020; (xi) the “2020 Form 10-K” are to the Company’s Annual Report on Form 10-K for the year ended December 31, 2020, filed on February 25, 2021; and (xii) the “2021 Form 10-K” are to the Company’s Annual Report on Form 10-K for the year ended December 31, 2021, filed on February 25,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6800" w:type="dxa"/>
            <w:vAlign w:val="bottom"/>
            <w:gridSpan w:val="7"/>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1100" w:type="dxa"/>
            <w:vAlign w:val="bottom"/>
            <w:tcBorders>
              <w:top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9"/>
                <w:szCs w:val="9"/>
                <w:color w:val="auto"/>
              </w:rPr>
            </w:pPr>
          </w:p>
        </w:tc>
        <w:tc>
          <w:tcPr>
            <w:tcW w:w="10100" w:type="dxa"/>
            <w:vAlign w:val="bottom"/>
            <w:tcBorders>
              <w:top w:val="single" w:sz="8" w:color="auto"/>
            </w:tcBorders>
            <w:gridSpan w:val="17"/>
          </w:tcPr>
          <w:p>
            <w:pPr>
              <w:ind w:left="20"/>
              <w:spacing w:after="0" w:line="108" w:lineRule="exact"/>
              <w:rPr>
                <w:rFonts w:ascii="Times New Roman" w:cs="Times New Roman" w:eastAsia="Times New Roman" w:hAnsi="Times New Roman"/>
                <w:sz w:val="11"/>
                <w:szCs w:val="11"/>
                <w:color w:val="0000FF"/>
              </w:rPr>
            </w:pPr>
            <w:hyperlink r:id="rId376">
              <w:r>
                <w:rPr>
                  <w:rFonts w:ascii="Times New Roman" w:cs="Times New Roman" w:eastAsia="Times New Roman" w:hAnsi="Times New Roman"/>
                  <w:sz w:val="11"/>
                  <w:szCs w:val="11"/>
                  <w:color w:val="0000FF"/>
                </w:rPr>
                <w:t>Restated Certificate of Incorporation of Capital One Financial Corporation (as restated May 1, 2020) (incorporated by reference to Exhibit 3.2 of the Current Report on Form 8-K, filed on May 4, 2020).</w:t>
              </w:r>
            </w:hyperlink>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377">
              <w:r>
                <w:rPr>
                  <w:rFonts w:ascii="Times New Roman" w:cs="Times New Roman" w:eastAsia="Times New Roman" w:hAnsi="Times New Roman"/>
                  <w:sz w:val="11"/>
                  <w:szCs w:val="11"/>
                  <w:color w:val="0000FF"/>
                </w:rPr>
                <w:t>Amended and Restated Bylaws of Capital One Financial Corporation, dated September 23, 2021 (incorporated by reference to Exhibit 3.1 of the Current Report on Form 8-K, filed on September 29, 2021).</w:t>
              </w:r>
            </w:hyperlink>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56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3.3.1</w:t>
            </w:r>
          </w:p>
        </w:tc>
        <w:tc>
          <w:tcPr>
            <w:tcW w:w="100" w:type="dxa"/>
            <w:vAlign w:val="bottom"/>
          </w:tcPr>
          <w:p>
            <w:pPr>
              <w:spacing w:after="0"/>
              <w:rPr>
                <w:sz w:val="10"/>
                <w:szCs w:val="10"/>
                <w:color w:val="auto"/>
              </w:rPr>
            </w:pPr>
          </w:p>
        </w:tc>
        <w:tc>
          <w:tcPr>
            <w:tcW w:w="9920" w:type="dxa"/>
            <w:vAlign w:val="bottom"/>
            <w:tcBorders>
              <w:bottom w:val="single" w:sz="8" w:color="0000FF"/>
            </w:tcBorders>
            <w:gridSpan w:val="14"/>
          </w:tcPr>
          <w:p>
            <w:pPr>
              <w:ind w:left="20"/>
              <w:spacing w:after="0" w:line="124" w:lineRule="exact"/>
              <w:rPr>
                <w:rFonts w:ascii="Times New Roman" w:cs="Times New Roman" w:eastAsia="Times New Roman" w:hAnsi="Times New Roman"/>
                <w:sz w:val="11"/>
                <w:szCs w:val="11"/>
                <w:color w:val="0000FF"/>
                <w:w w:val="97"/>
              </w:rPr>
            </w:pPr>
            <w:hyperlink r:id="rId378">
              <w:r>
                <w:rPr>
                  <w:rFonts w:ascii="Times New Roman" w:cs="Times New Roman" w:eastAsia="Times New Roman" w:hAnsi="Times New Roman"/>
                  <w:sz w:val="11"/>
                  <w:szCs w:val="11"/>
                  <w:color w:val="0000FF"/>
                  <w:w w:val="97"/>
                </w:rPr>
                <w:t>Certificate of Designations of Fixed Rate Non-Cumulative Perpetual Preferred Stock, Series I, dated September 10, 2019 (incorporated by reference to Exhibit 3.1 of the Current Report on Form 8-K, filed on September 11, 2019).</w:t>
              </w:r>
            </w:hyperlink>
          </w:p>
        </w:tc>
        <w:tc>
          <w:tcPr>
            <w:tcW w:w="180" w:type="dxa"/>
            <w:vAlign w:val="bottom"/>
            <w:gridSpan w:val="3"/>
          </w:tcPr>
          <w:p>
            <w:pPr>
              <w:spacing w:after="0"/>
              <w:rPr>
                <w:sz w:val="10"/>
                <w:szCs w:val="10"/>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3.3.2</w:t>
            </w:r>
          </w:p>
        </w:tc>
        <w:tc>
          <w:tcPr>
            <w:tcW w:w="100" w:type="dxa"/>
            <w:vAlign w:val="bottom"/>
          </w:tcPr>
          <w:p>
            <w:pPr>
              <w:spacing w:after="0"/>
              <w:rPr>
                <w:sz w:val="10"/>
                <w:szCs w:val="10"/>
                <w:color w:val="auto"/>
              </w:rPr>
            </w:pPr>
          </w:p>
        </w:tc>
        <w:tc>
          <w:tcPr>
            <w:tcW w:w="9680" w:type="dxa"/>
            <w:vAlign w:val="bottom"/>
            <w:tcBorders>
              <w:bottom w:val="single" w:sz="8" w:color="0000FF"/>
            </w:tcBorders>
            <w:gridSpan w:val="13"/>
          </w:tcPr>
          <w:p>
            <w:pPr>
              <w:ind w:left="20"/>
              <w:spacing w:after="0" w:line="124" w:lineRule="exact"/>
              <w:rPr>
                <w:rFonts w:ascii="Times New Roman" w:cs="Times New Roman" w:eastAsia="Times New Roman" w:hAnsi="Times New Roman"/>
                <w:sz w:val="11"/>
                <w:szCs w:val="11"/>
                <w:color w:val="0000FF"/>
                <w:w w:val="97"/>
              </w:rPr>
            </w:pPr>
            <w:hyperlink r:id="rId379">
              <w:r>
                <w:rPr>
                  <w:rFonts w:ascii="Times New Roman" w:cs="Times New Roman" w:eastAsia="Times New Roman" w:hAnsi="Times New Roman"/>
                  <w:sz w:val="11"/>
                  <w:szCs w:val="11"/>
                  <w:color w:val="0000FF"/>
                  <w:w w:val="97"/>
                </w:rPr>
                <w:t>Certificate of Designations of Fixed Rate Non-Cumulative Perpetual Preferred Stock, Series J, dated January 30, 2020 (incorporated by reference to Exhibit 3.1 of the Current Report on Form 8-K, filed on January 31, 2020).</w:t>
              </w:r>
            </w:hyperlink>
          </w:p>
        </w:tc>
        <w:tc>
          <w:tcPr>
            <w:tcW w:w="420" w:type="dxa"/>
            <w:vAlign w:val="bottom"/>
            <w:gridSpan w:val="4"/>
          </w:tcPr>
          <w:p>
            <w:pPr>
              <w:spacing w:after="0"/>
              <w:rPr>
                <w:sz w:val="10"/>
                <w:szCs w:val="10"/>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3.3.3</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9"/>
              </w:rPr>
            </w:pPr>
            <w:hyperlink r:id="rId380">
              <w:r>
                <w:rPr>
                  <w:rFonts w:ascii="Times New Roman" w:cs="Times New Roman" w:eastAsia="Times New Roman" w:hAnsi="Times New Roman"/>
                  <w:sz w:val="11"/>
                  <w:szCs w:val="11"/>
                  <w:color w:val="0000FF"/>
                  <w:w w:val="99"/>
                </w:rPr>
                <w:t>Certificate of Designations of Fixed Rate Non-Cumulative Perpetual Preferred Stock, Series K, dated September 16, 2020 (incorporated by reference to Exhibit 3.1 of the Current Report on Form 8-K, filed on September 17, 2020).</w:t>
              </w:r>
            </w:hyperlink>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3.3.4</w:t>
            </w:r>
          </w:p>
        </w:tc>
        <w:tc>
          <w:tcPr>
            <w:tcW w:w="100" w:type="dxa"/>
            <w:vAlign w:val="bottom"/>
          </w:tcPr>
          <w:p>
            <w:pPr>
              <w:spacing w:after="0"/>
              <w:rPr>
                <w:sz w:val="10"/>
                <w:szCs w:val="10"/>
                <w:color w:val="auto"/>
              </w:rPr>
            </w:pPr>
          </w:p>
        </w:tc>
        <w:tc>
          <w:tcPr>
            <w:tcW w:w="9320" w:type="dxa"/>
            <w:vAlign w:val="bottom"/>
            <w:tcBorders>
              <w:top w:val="single" w:sz="8" w:color="0000FF"/>
              <w:bottom w:val="single" w:sz="8" w:color="0000FF"/>
            </w:tcBorders>
            <w:gridSpan w:val="10"/>
          </w:tcPr>
          <w:p>
            <w:pPr>
              <w:ind w:left="20"/>
              <w:spacing w:after="0" w:line="124" w:lineRule="exact"/>
              <w:rPr>
                <w:rFonts w:ascii="Times New Roman" w:cs="Times New Roman" w:eastAsia="Times New Roman" w:hAnsi="Times New Roman"/>
                <w:sz w:val="11"/>
                <w:szCs w:val="11"/>
                <w:color w:val="0000FF"/>
                <w:w w:val="97"/>
              </w:rPr>
            </w:pPr>
            <w:hyperlink r:id="rId381">
              <w:r>
                <w:rPr>
                  <w:rFonts w:ascii="Times New Roman" w:cs="Times New Roman" w:eastAsia="Times New Roman" w:hAnsi="Times New Roman"/>
                  <w:sz w:val="11"/>
                  <w:szCs w:val="11"/>
                  <w:color w:val="0000FF"/>
                  <w:w w:val="97"/>
                </w:rPr>
                <w:t>Certificate of Designations of Fixed Rate Non-Cumulative Perpetual Preferred Stock, Series L, dated May 3, 2021 (incorporated by reference to Exhibit 3.1 of the Current Report on Form 8-K, filed on May 4, 2021).</w:t>
              </w:r>
            </w:hyperlink>
          </w:p>
        </w:tc>
        <w:tc>
          <w:tcPr>
            <w:tcW w:w="640" w:type="dxa"/>
            <w:vAlign w:val="bottom"/>
            <w:tcBorders>
              <w:top w:val="single" w:sz="8" w:color="0000FF"/>
            </w:tcBorders>
            <w:gridSpan w:val="5"/>
          </w:tcPr>
          <w:p>
            <w:pPr>
              <w:spacing w:after="0"/>
              <w:rPr>
                <w:sz w:val="10"/>
                <w:szCs w:val="10"/>
                <w:color w:val="auto"/>
              </w:rPr>
            </w:pPr>
          </w:p>
        </w:tc>
        <w:tc>
          <w:tcPr>
            <w:tcW w:w="140" w:type="dxa"/>
            <w:vAlign w:val="bottom"/>
            <w:gridSpan w:val="2"/>
          </w:tcPr>
          <w:p>
            <w:pPr>
              <w:spacing w:after="0"/>
              <w:rPr>
                <w:sz w:val="10"/>
                <w:szCs w:val="10"/>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3.3.5</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382">
              <w:r>
                <w:rPr>
                  <w:rFonts w:ascii="Times New Roman" w:cs="Times New Roman" w:eastAsia="Times New Roman" w:hAnsi="Times New Roman"/>
                  <w:sz w:val="11"/>
                  <w:szCs w:val="11"/>
                  <w:color w:val="0000FF"/>
                </w:rPr>
                <w:t>Certificate of Designations of Fixed Rate Reset Non-Cumulative Perpetual Preferred Stock, Series M, dated June 9, 2021 (incorporated by reference to Exhibit 3.1 of the Current Report on Form 8-K, filed on June 10, 2021).</w:t>
              </w:r>
            </w:hyperlink>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3.3.6</w:t>
            </w:r>
          </w:p>
        </w:tc>
        <w:tc>
          <w:tcPr>
            <w:tcW w:w="100" w:type="dxa"/>
            <w:vAlign w:val="bottom"/>
          </w:tcPr>
          <w:p>
            <w:pPr>
              <w:spacing w:after="0"/>
              <w:rPr>
                <w:sz w:val="10"/>
                <w:szCs w:val="10"/>
                <w:color w:val="auto"/>
              </w:rPr>
            </w:pPr>
          </w:p>
        </w:tc>
        <w:tc>
          <w:tcPr>
            <w:tcW w:w="9660" w:type="dxa"/>
            <w:vAlign w:val="bottom"/>
            <w:tcBorders>
              <w:top w:val="single" w:sz="8" w:color="0000FF"/>
            </w:tcBorders>
            <w:gridSpan w:val="12"/>
          </w:tcPr>
          <w:p>
            <w:pPr>
              <w:ind w:left="20"/>
              <w:spacing w:after="0" w:line="124" w:lineRule="exact"/>
              <w:rPr>
                <w:rFonts w:ascii="Times New Roman" w:cs="Times New Roman" w:eastAsia="Times New Roman" w:hAnsi="Times New Roman"/>
                <w:sz w:val="11"/>
                <w:szCs w:val="11"/>
                <w:color w:val="0000FF"/>
              </w:rPr>
            </w:pPr>
            <w:hyperlink r:id="rId383">
              <w:r>
                <w:rPr>
                  <w:rFonts w:ascii="Times New Roman" w:cs="Times New Roman" w:eastAsia="Times New Roman" w:hAnsi="Times New Roman"/>
                  <w:sz w:val="11"/>
                  <w:szCs w:val="11"/>
                  <w:color w:val="0000FF"/>
                </w:rPr>
                <w:t>Certificate of Designations of Fixed Rate Non-Cumulative Perpetual Preferred Stock, Series N, dated July 28, 2021 (incorporated by reference to Exhibit 3.1 of the Current Report on Form 8-K, filed on July 29, 2021).</w:t>
              </w:r>
            </w:hyperlink>
          </w:p>
        </w:tc>
        <w:tc>
          <w:tcPr>
            <w:tcW w:w="440" w:type="dxa"/>
            <w:vAlign w:val="bottom"/>
            <w:gridSpan w:val="5"/>
          </w:tcPr>
          <w:p>
            <w:pPr>
              <w:spacing w:after="0"/>
              <w:rPr>
                <w:sz w:val="10"/>
                <w:szCs w:val="10"/>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4.1.1</w:t>
            </w:r>
          </w:p>
        </w:tc>
        <w:tc>
          <w:tcPr>
            <w:tcW w:w="100" w:type="dxa"/>
            <w:vAlign w:val="bottom"/>
          </w:tcPr>
          <w:p>
            <w:pPr>
              <w:spacing w:after="0"/>
              <w:rPr>
                <w:sz w:val="10"/>
                <w:szCs w:val="10"/>
                <w:color w:val="auto"/>
              </w:rPr>
            </w:pPr>
          </w:p>
        </w:tc>
        <w:tc>
          <w:tcPr>
            <w:tcW w:w="6800" w:type="dxa"/>
            <w:vAlign w:val="bottom"/>
            <w:tcBorders>
              <w:top w:val="single" w:sz="8" w:color="0000FF"/>
              <w:bottom w:val="single" w:sz="8" w:color="0000FF"/>
            </w:tcBorders>
            <w:gridSpan w:val="7"/>
          </w:tcPr>
          <w:p>
            <w:pPr>
              <w:ind w:left="20"/>
              <w:spacing w:after="0" w:line="124" w:lineRule="exact"/>
              <w:rPr>
                <w:rFonts w:ascii="Times New Roman" w:cs="Times New Roman" w:eastAsia="Times New Roman" w:hAnsi="Times New Roman"/>
                <w:sz w:val="11"/>
                <w:szCs w:val="11"/>
                <w:color w:val="0000FF"/>
                <w:w w:val="97"/>
              </w:rPr>
            </w:pPr>
            <w:hyperlink r:id="rId384">
              <w:r>
                <w:rPr>
                  <w:rFonts w:ascii="Times New Roman" w:cs="Times New Roman" w:eastAsia="Times New Roman" w:hAnsi="Times New Roman"/>
                  <w:sz w:val="11"/>
                  <w:szCs w:val="11"/>
                  <w:color w:val="0000FF"/>
                  <w:w w:val="97"/>
                </w:rPr>
                <w:t>Specimen certificate representing the common stock of Capital One Financial Corporation (incorporated by reference to Exhibit 4.1 of the 2003 Form 10-K).</w:t>
              </w:r>
            </w:hyperlink>
          </w:p>
        </w:tc>
        <w:tc>
          <w:tcPr>
            <w:tcW w:w="19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4.1.2</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385">
              <w:r>
                <w:rPr>
                  <w:rFonts w:ascii="Times New Roman" w:cs="Times New Roman" w:eastAsia="Times New Roman" w:hAnsi="Times New Roman"/>
                  <w:sz w:val="11"/>
                  <w:szCs w:val="11"/>
                  <w:color w:val="0000FF"/>
                </w:rPr>
                <w:t>Warrant Agreement, dated December 3, 2009, between Capital One Financial Corporation and Computershare Trust Company, N.A. (incorporated by reference to the Exhibit 4.1 of the Form 8-A, filed on December 4, 2009).</w:t>
              </w:r>
            </w:hyperlink>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380" w:type="dxa"/>
            <w:vAlign w:val="bottom"/>
            <w:gridSpan w:val="7"/>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4.1.3</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86">
              <w:r>
                <w:rPr>
                  <w:rFonts w:ascii="Times New Roman" w:cs="Times New Roman" w:eastAsia="Times New Roman" w:hAnsi="Times New Roman"/>
                  <w:sz w:val="11"/>
                  <w:szCs w:val="11"/>
                  <w:color w:val="0000FF"/>
                  <w:w w:val="98"/>
                </w:rPr>
                <w:t>Deposit Agreement, dated September 11, 2019, by and among Capital One Financial Corporation, Computershare Trust Company, N.A., Computershare Inc. and the holders from time to time (incorporated by reference to Exhibit 4.1</w:t>
              </w:r>
            </w:hyperlink>
          </w:p>
        </w:tc>
      </w:tr>
      <w:tr>
        <w:trPr>
          <w:trHeight w:val="88"/>
        </w:trPr>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0" w:type="dxa"/>
            <w:vAlign w:val="bottom"/>
            <w:tcBorders>
              <w:top w:val="single" w:sz="8" w:color="0000FF"/>
            </w:tcBorders>
            <w:gridSpan w:val="7"/>
          </w:tcPr>
          <w:p>
            <w:pPr>
              <w:ind w:left="20"/>
              <w:spacing w:after="0" w:line="88" w:lineRule="exact"/>
              <w:rPr>
                <w:rFonts w:ascii="Times New Roman" w:cs="Times New Roman" w:eastAsia="Times New Roman" w:hAnsi="Times New Roman"/>
                <w:sz w:val="10"/>
                <w:szCs w:val="10"/>
                <w:color w:val="0000FF"/>
              </w:rPr>
            </w:pPr>
            <w:hyperlink r:id="rId386">
              <w:r>
                <w:rPr>
                  <w:rFonts w:ascii="Times New Roman" w:cs="Times New Roman" w:eastAsia="Times New Roman" w:hAnsi="Times New Roman"/>
                  <w:sz w:val="10"/>
                  <w:szCs w:val="10"/>
                  <w:color w:val="0000FF"/>
                </w:rPr>
                <w:t>of the Current Report on Form 8-K, filed on September 11, 2019).</w:t>
              </w:r>
            </w:hyperlink>
          </w:p>
        </w:tc>
        <w:tc>
          <w:tcPr>
            <w:tcW w:w="192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4.1.4</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87">
              <w:r>
                <w:rPr>
                  <w:rFonts w:ascii="Times New Roman" w:cs="Times New Roman" w:eastAsia="Times New Roman" w:hAnsi="Times New Roman"/>
                  <w:sz w:val="11"/>
                  <w:szCs w:val="11"/>
                  <w:color w:val="0000FF"/>
                  <w:w w:val="98"/>
                </w:rPr>
                <w:t>Deposit Agreement, dated January 31, 2020, by and among Capital One Financial Corporation, Computershare Trust Company, N.A., Computershare Inc. and the holders from time to time (incorporated by reference to Exhibit 4.1 of</w:t>
              </w:r>
            </w:hyperlink>
          </w:p>
        </w:tc>
      </w:tr>
      <w:tr>
        <w:trPr>
          <w:trHeight w:val="88"/>
        </w:trPr>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0" w:type="dxa"/>
            <w:vAlign w:val="bottom"/>
            <w:tcBorders>
              <w:top w:val="single" w:sz="8" w:color="0000FF"/>
            </w:tcBorders>
            <w:gridSpan w:val="7"/>
          </w:tcPr>
          <w:p>
            <w:pPr>
              <w:ind w:left="20"/>
              <w:spacing w:after="0" w:line="88" w:lineRule="exact"/>
              <w:rPr>
                <w:rFonts w:ascii="Times New Roman" w:cs="Times New Roman" w:eastAsia="Times New Roman" w:hAnsi="Times New Roman"/>
                <w:sz w:val="10"/>
                <w:szCs w:val="10"/>
                <w:color w:val="0000FF"/>
              </w:rPr>
            </w:pPr>
            <w:hyperlink r:id="rId387">
              <w:r>
                <w:rPr>
                  <w:rFonts w:ascii="Times New Roman" w:cs="Times New Roman" w:eastAsia="Times New Roman" w:hAnsi="Times New Roman"/>
                  <w:sz w:val="10"/>
                  <w:szCs w:val="10"/>
                  <w:color w:val="0000FF"/>
                </w:rPr>
                <w:t>the Current Report on Form 8-K, filed on January 31, 2020).</w:t>
              </w:r>
            </w:hyperlink>
          </w:p>
        </w:tc>
        <w:tc>
          <w:tcPr>
            <w:tcW w:w="192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4.1.5</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88">
              <w:r>
                <w:rPr>
                  <w:rFonts w:ascii="Times New Roman" w:cs="Times New Roman" w:eastAsia="Times New Roman" w:hAnsi="Times New Roman"/>
                  <w:sz w:val="11"/>
                  <w:szCs w:val="11"/>
                  <w:color w:val="0000FF"/>
                  <w:w w:val="98"/>
                </w:rPr>
                <w:t>Deposit Agreement, dated September 17, 2020, by and among Capital One Financial Corporation, Computershare Trust Company, N.A., Computershare Inc. and the holders from time to time (incorporated by reference to Exhibit 4.1</w:t>
              </w:r>
            </w:hyperlink>
          </w:p>
        </w:tc>
      </w:tr>
      <w:tr>
        <w:trPr>
          <w:trHeight w:val="88"/>
        </w:trPr>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80" w:type="dxa"/>
            <w:vAlign w:val="bottom"/>
            <w:tcBorders>
              <w:top w:val="single" w:sz="8" w:color="0000FF"/>
              <w:bottom w:val="single" w:sz="8" w:color="0000FF"/>
            </w:tcBorders>
            <w:gridSpan w:val="5"/>
          </w:tcPr>
          <w:p>
            <w:pPr>
              <w:ind w:left="20"/>
              <w:spacing w:after="0" w:line="88" w:lineRule="exact"/>
              <w:rPr>
                <w:rFonts w:ascii="Times New Roman" w:cs="Times New Roman" w:eastAsia="Times New Roman" w:hAnsi="Times New Roman"/>
                <w:sz w:val="10"/>
                <w:szCs w:val="10"/>
                <w:color w:val="0000FF"/>
              </w:rPr>
            </w:pPr>
            <w:hyperlink r:id="rId388">
              <w:r>
                <w:rPr>
                  <w:rFonts w:ascii="Times New Roman" w:cs="Times New Roman" w:eastAsia="Times New Roman" w:hAnsi="Times New Roman"/>
                  <w:sz w:val="10"/>
                  <w:szCs w:val="10"/>
                  <w:color w:val="0000FF"/>
                </w:rPr>
                <w:t>of the Current Report on Form 8-K, filed on September 17, 2020).</w:t>
              </w:r>
            </w:hyperlink>
          </w:p>
        </w:tc>
        <w:tc>
          <w:tcPr>
            <w:tcW w:w="3920" w:type="dxa"/>
            <w:vAlign w:val="bottom"/>
            <w:tcBorders>
              <w:top w:val="single" w:sz="8" w:color="0000FF"/>
            </w:tcBorders>
            <w:gridSpan w:val="2"/>
          </w:tcPr>
          <w:p>
            <w:pPr>
              <w:spacing w:after="0"/>
              <w:rPr>
                <w:sz w:val="7"/>
                <w:szCs w:val="7"/>
                <w:color w:val="auto"/>
              </w:rPr>
            </w:pPr>
          </w:p>
        </w:tc>
        <w:tc>
          <w:tcPr>
            <w:tcW w:w="192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4.1.6</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89">
              <w:r>
                <w:rPr>
                  <w:rFonts w:ascii="Times New Roman" w:cs="Times New Roman" w:eastAsia="Times New Roman" w:hAnsi="Times New Roman"/>
                  <w:sz w:val="11"/>
                  <w:szCs w:val="11"/>
                  <w:color w:val="0000FF"/>
                  <w:w w:val="98"/>
                </w:rPr>
                <w:t>Deposit Agreement, dated May 4, 2021, by and among Capital One Financial Corporation, Computershare Trust Company, N.A., Computershare Inc. and the holders from time to time (incorporated by reference to Exhibit 4.1 of the</w:t>
              </w:r>
            </w:hyperlink>
          </w:p>
        </w:tc>
      </w:tr>
      <w:tr>
        <w:trPr>
          <w:trHeight w:val="88"/>
        </w:trPr>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tcBorders>
              <w:top w:val="single" w:sz="8" w:color="0000FF"/>
              <w:bottom w:val="single" w:sz="8" w:color="0000FF"/>
            </w:tcBorders>
          </w:tcPr>
          <w:p>
            <w:pPr>
              <w:ind w:left="20"/>
              <w:spacing w:after="0" w:line="88" w:lineRule="exact"/>
              <w:rPr>
                <w:rFonts w:ascii="Times New Roman" w:cs="Times New Roman" w:eastAsia="Times New Roman" w:hAnsi="Times New Roman"/>
                <w:sz w:val="10"/>
                <w:szCs w:val="10"/>
                <w:color w:val="0000FF"/>
              </w:rPr>
            </w:pPr>
            <w:hyperlink r:id="rId389">
              <w:r>
                <w:rPr>
                  <w:rFonts w:ascii="Times New Roman" w:cs="Times New Roman" w:eastAsia="Times New Roman" w:hAnsi="Times New Roman"/>
                  <w:sz w:val="10"/>
                  <w:szCs w:val="10"/>
                  <w:color w:val="0000FF"/>
                </w:rPr>
                <w:t>Current Report on Form 8-K, filed on May 4, 2021).</w:t>
              </w:r>
            </w:hyperlink>
          </w:p>
        </w:tc>
        <w:tc>
          <w:tcPr>
            <w:tcW w:w="4520" w:type="dxa"/>
            <w:vAlign w:val="bottom"/>
            <w:tcBorders>
              <w:top w:val="single" w:sz="8" w:color="0000FF"/>
            </w:tcBorders>
            <w:gridSpan w:val="6"/>
          </w:tcPr>
          <w:p>
            <w:pPr>
              <w:spacing w:after="0"/>
              <w:rPr>
                <w:sz w:val="7"/>
                <w:szCs w:val="7"/>
                <w:color w:val="auto"/>
              </w:rPr>
            </w:pPr>
          </w:p>
        </w:tc>
        <w:tc>
          <w:tcPr>
            <w:tcW w:w="192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4.1.7</w:t>
            </w:r>
          </w:p>
        </w:tc>
        <w:tc>
          <w:tcPr>
            <w:tcW w:w="100" w:type="dxa"/>
            <w:vAlign w:val="bottom"/>
          </w:tcPr>
          <w:p>
            <w:pPr>
              <w:spacing w:after="0"/>
              <w:rPr>
                <w:sz w:val="10"/>
                <w:szCs w:val="10"/>
                <w:color w:val="auto"/>
              </w:rPr>
            </w:pP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90">
              <w:r>
                <w:rPr>
                  <w:rFonts w:ascii="Times New Roman" w:cs="Times New Roman" w:eastAsia="Times New Roman" w:hAnsi="Times New Roman"/>
                  <w:sz w:val="11"/>
                  <w:szCs w:val="11"/>
                  <w:color w:val="0000FF"/>
                  <w:w w:val="98"/>
                </w:rPr>
                <w:t>Deposit Agreement, dated July 29, 2021, by and among Capital One Financial Corporation, Computershare Trust Company, N.A., Computershare Inc. and the holders from time to time (incorporated by reference to Exhibit 4.1 of the</w:t>
              </w:r>
            </w:hyperlink>
          </w:p>
        </w:tc>
      </w:tr>
      <w:tr>
        <w:trPr>
          <w:trHeight w:val="88"/>
        </w:trPr>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tcBorders>
              <w:top w:val="single" w:sz="8" w:color="0000FF"/>
              <w:bottom w:val="single" w:sz="8" w:color="0000FF"/>
            </w:tcBorders>
            <w:gridSpan w:val="2"/>
          </w:tcPr>
          <w:p>
            <w:pPr>
              <w:ind w:left="20"/>
              <w:spacing w:after="0" w:line="88" w:lineRule="exact"/>
              <w:rPr>
                <w:rFonts w:ascii="Times New Roman" w:cs="Times New Roman" w:eastAsia="Times New Roman" w:hAnsi="Times New Roman"/>
                <w:sz w:val="10"/>
                <w:szCs w:val="10"/>
                <w:color w:val="0000FF"/>
              </w:rPr>
            </w:pPr>
            <w:hyperlink r:id="rId390">
              <w:r>
                <w:rPr>
                  <w:rFonts w:ascii="Times New Roman" w:cs="Times New Roman" w:eastAsia="Times New Roman" w:hAnsi="Times New Roman"/>
                  <w:sz w:val="10"/>
                  <w:szCs w:val="10"/>
                  <w:color w:val="0000FF"/>
                </w:rPr>
                <w:t>Current Report on Form 8-K, filed on July 29, 2021).</w:t>
              </w:r>
            </w:hyperlink>
          </w:p>
        </w:tc>
        <w:tc>
          <w:tcPr>
            <w:tcW w:w="4480" w:type="dxa"/>
            <w:vAlign w:val="bottom"/>
            <w:tcBorders>
              <w:top w:val="single" w:sz="8" w:color="0000FF"/>
            </w:tcBorders>
            <w:gridSpan w:val="5"/>
          </w:tcPr>
          <w:p>
            <w:pPr>
              <w:spacing w:after="0"/>
              <w:rPr>
                <w:sz w:val="7"/>
                <w:szCs w:val="7"/>
                <w:color w:val="auto"/>
              </w:rPr>
            </w:pPr>
          </w:p>
        </w:tc>
        <w:tc>
          <w:tcPr>
            <w:tcW w:w="1920" w:type="dxa"/>
            <w:vAlign w:val="bottom"/>
            <w:tcBorders>
              <w:top w:val="single" w:sz="8" w:color="0000FF"/>
            </w:tcBorders>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47"/>
        </w:trPr>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2"/>
                <w:szCs w:val="12"/>
                <w:color w:val="auto"/>
              </w:rPr>
            </w:pPr>
          </w:p>
        </w:tc>
        <w:tc>
          <w:tcPr>
            <w:tcW w:w="10100" w:type="dxa"/>
            <w:vAlign w:val="bottom"/>
            <w:gridSpan w:val="17"/>
          </w:tcPr>
          <w:p>
            <w:pPr>
              <w:ind w:left="20"/>
              <w:spacing w:after="0"/>
              <w:rPr>
                <w:sz w:val="20"/>
                <w:szCs w:val="20"/>
                <w:color w:val="auto"/>
              </w:rPr>
            </w:pPr>
            <w:r>
              <w:rPr>
                <w:rFonts w:ascii="Times New Roman" w:cs="Times New Roman" w:eastAsia="Times New Roman" w:hAnsi="Times New Roman"/>
                <w:sz w:val="11"/>
                <w:szCs w:val="11"/>
                <w:color w:val="auto"/>
              </w:rPr>
              <w:t>Pursuant to Item 601(b)(4)(iii)(A) of Regulation S-K, copies of instruments defining the rights of holders of long-term debt are not filed. The Company agrees to furnish a copy thereof to the SEC upon request.</w:t>
            </w:r>
          </w:p>
        </w:tc>
      </w:tr>
      <w:tr>
        <w:trPr>
          <w:trHeight w:val="121"/>
        </w:trPr>
        <w:tc>
          <w:tcPr>
            <w:tcW w:w="11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color w:val="auto"/>
                <w:w w:val="93"/>
              </w:rPr>
              <w:t>4.3*</w:t>
            </w:r>
          </w:p>
        </w:tc>
        <w:tc>
          <w:tcPr>
            <w:tcW w:w="100" w:type="dxa"/>
            <w:vAlign w:val="bottom"/>
          </w:tcPr>
          <w:p>
            <w:pPr>
              <w:spacing w:after="0"/>
              <w:rPr>
                <w:sz w:val="10"/>
                <w:szCs w:val="10"/>
                <w:color w:val="auto"/>
              </w:rPr>
            </w:pPr>
          </w:p>
        </w:tc>
        <w:tc>
          <w:tcPr>
            <w:tcW w:w="3300" w:type="dxa"/>
            <w:vAlign w:val="bottom"/>
            <w:tcBorders>
              <w:bottom w:val="single" w:sz="8" w:color="0000FF"/>
            </w:tcBorders>
            <w:gridSpan w:val="6"/>
          </w:tcPr>
          <w:p>
            <w:pPr>
              <w:ind w:left="20"/>
              <w:spacing w:after="0" w:line="121" w:lineRule="exact"/>
              <w:rPr>
                <w:sz w:val="20"/>
                <w:szCs w:val="20"/>
                <w:color w:val="auto"/>
              </w:rPr>
            </w:pPr>
            <w:r>
              <w:rPr>
                <w:rFonts w:ascii="Times New Roman" w:cs="Times New Roman" w:eastAsia="Times New Roman" w:hAnsi="Times New Roman"/>
                <w:sz w:val="11"/>
                <w:szCs w:val="11"/>
                <w:color w:val="0000FF"/>
                <w:w w:val="97"/>
              </w:rPr>
              <w:t>Description of Securities Registered Under Section 12 of the Exchange Act.</w:t>
            </w:r>
          </w:p>
        </w:tc>
        <w:tc>
          <w:tcPr>
            <w:tcW w:w="35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674"/>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gridSpan w:val="7"/>
          </w:tcPr>
          <w:p>
            <w:pPr>
              <w:ind w:left="4360"/>
              <w:spacing w:after="0"/>
              <w:rPr>
                <w:sz w:val="20"/>
                <w:szCs w:val="20"/>
                <w:color w:val="auto"/>
              </w:rPr>
            </w:pPr>
            <w:r>
              <w:rPr>
                <w:rFonts w:ascii="Times New Roman" w:cs="Times New Roman" w:eastAsia="Times New Roman" w:hAnsi="Times New Roman"/>
                <w:sz w:val="10"/>
                <w:szCs w:val="10"/>
                <w:color w:val="auto"/>
              </w:rPr>
              <w:t>210</w:t>
            </w:r>
          </w:p>
        </w:tc>
        <w:tc>
          <w:tcPr>
            <w:tcW w:w="3300" w:type="dxa"/>
            <w:vAlign w:val="bottom"/>
            <w:gridSpan w:val="10"/>
          </w:tcPr>
          <w:p>
            <w:pPr>
              <w:ind w:left="168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24"/>
        </w:trPr>
        <w:tc>
          <w:tcPr>
            <w:tcW w:w="1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3500" w:type="dxa"/>
            <w:vAlign w:val="bottom"/>
            <w:tcBorders>
              <w:bottom w:val="single" w:sz="8" w:color="9A9A9A"/>
            </w:tcBorders>
          </w:tcPr>
          <w:p>
            <w:pPr>
              <w:spacing w:after="0"/>
              <w:rPr>
                <w:sz w:val="19"/>
                <w:szCs w:val="19"/>
                <w:color w:val="auto"/>
              </w:rPr>
            </w:pPr>
          </w:p>
        </w:tc>
        <w:tc>
          <w:tcPr>
            <w:tcW w:w="19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rPr>
              <w:t>10.1+</w:t>
            </w:r>
          </w:p>
        </w:tc>
        <w:tc>
          <w:tcPr>
            <w:tcW w:w="8340" w:type="dxa"/>
            <w:vAlign w:val="bottom"/>
            <w:gridSpan w:val="13"/>
          </w:tcPr>
          <w:p>
            <w:pPr>
              <w:ind w:left="20"/>
              <w:spacing w:after="0"/>
              <w:rPr>
                <w:rFonts w:ascii="Times New Roman" w:cs="Times New Roman" w:eastAsia="Times New Roman" w:hAnsi="Times New Roman"/>
                <w:sz w:val="11"/>
                <w:szCs w:val="11"/>
                <w:color w:val="0000FF"/>
              </w:rPr>
            </w:pPr>
            <w:hyperlink r:id="rId393">
              <w:r>
                <w:rPr>
                  <w:rFonts w:ascii="Times New Roman" w:cs="Times New Roman" w:eastAsia="Times New Roman" w:hAnsi="Times New Roman"/>
                  <w:sz w:val="11"/>
                  <w:szCs w:val="11"/>
                  <w:color w:val="0000FF"/>
                </w:rPr>
                <w:t>Sixth Amended and Restated 2004 Stock Incentive Plan (incorporated by reference to Exhibit 10.1 of the Current Report on Form 8-K, filed on May 7, 2021).</w:t>
              </w:r>
            </w:hyperlink>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10.2.1+</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94">
              <w:r>
                <w:rPr>
                  <w:rFonts w:ascii="Times New Roman" w:cs="Times New Roman" w:eastAsia="Times New Roman" w:hAnsi="Times New Roman"/>
                  <w:sz w:val="11"/>
                  <w:szCs w:val="11"/>
                  <w:color w:val="0000FF"/>
                  <w:w w:val="98"/>
                </w:rPr>
                <w:t>Nonstatutory Stock Option Award Agreement, dated January 30, 2014, by and between Capital One Financial Corporation and Richard D. Fairbank under the Second Amended and Restated 2004 Stock Incentive Plan (incorporated</w:t>
              </w:r>
            </w:hyperlink>
          </w:p>
        </w:tc>
      </w:tr>
      <w:tr>
        <w:trPr>
          <w:trHeight w:val="88"/>
        </w:trPr>
        <w:tc>
          <w:tcPr>
            <w:tcW w:w="1200" w:type="dxa"/>
            <w:vAlign w:val="bottom"/>
          </w:tcPr>
          <w:p>
            <w:pPr>
              <w:spacing w:after="0"/>
              <w:rPr>
                <w:sz w:val="7"/>
                <w:szCs w:val="7"/>
                <w:color w:val="auto"/>
              </w:rPr>
            </w:pPr>
          </w:p>
        </w:tc>
        <w:tc>
          <w:tcPr>
            <w:tcW w:w="8340" w:type="dxa"/>
            <w:vAlign w:val="bottom"/>
            <w:tcBorders>
              <w:top w:val="single" w:sz="8" w:color="0000FF"/>
            </w:tcBorders>
            <w:gridSpan w:val="13"/>
          </w:tcPr>
          <w:p>
            <w:pPr>
              <w:ind w:left="20"/>
              <w:spacing w:after="0" w:line="88" w:lineRule="exact"/>
              <w:rPr>
                <w:rFonts w:ascii="Times New Roman" w:cs="Times New Roman" w:eastAsia="Times New Roman" w:hAnsi="Times New Roman"/>
                <w:sz w:val="10"/>
                <w:szCs w:val="10"/>
                <w:color w:val="0000FF"/>
              </w:rPr>
            </w:pPr>
            <w:hyperlink r:id="rId394">
              <w:r>
                <w:rPr>
                  <w:rFonts w:ascii="Times New Roman" w:cs="Times New Roman" w:eastAsia="Times New Roman" w:hAnsi="Times New Roman"/>
                  <w:sz w:val="10"/>
                  <w:szCs w:val="10"/>
                  <w:color w:val="0000FF"/>
                </w:rPr>
                <w:t>by reference to Exhibit 10.2.15 of the 2013 Form 10-K).</w:t>
              </w:r>
            </w:hyperlink>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10.2.2+</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95">
              <w:r>
                <w:rPr>
                  <w:rFonts w:ascii="Times New Roman" w:cs="Times New Roman" w:eastAsia="Times New Roman" w:hAnsi="Times New Roman"/>
                  <w:sz w:val="11"/>
                  <w:szCs w:val="11"/>
                  <w:color w:val="0000FF"/>
                  <w:w w:val="98"/>
                </w:rPr>
                <w:t>Nonstatutory Stock Option Award Agreement, dated January 29, 2015, by and between Capital One Financial Corporation and Richard D. Fairbank under the Third Amended and Restated 2004 Stock Incentive Plan (incorporated by</w:t>
              </w:r>
            </w:hyperlink>
          </w:p>
        </w:tc>
      </w:tr>
      <w:tr>
        <w:trPr>
          <w:trHeight w:val="88"/>
        </w:trPr>
        <w:tc>
          <w:tcPr>
            <w:tcW w:w="1200" w:type="dxa"/>
            <w:vAlign w:val="bottom"/>
          </w:tcPr>
          <w:p>
            <w:pPr>
              <w:spacing w:after="0"/>
              <w:rPr>
                <w:sz w:val="7"/>
                <w:szCs w:val="7"/>
                <w:color w:val="auto"/>
              </w:rPr>
            </w:pPr>
          </w:p>
        </w:tc>
        <w:tc>
          <w:tcPr>
            <w:tcW w:w="2320" w:type="dxa"/>
            <w:vAlign w:val="bottom"/>
            <w:tcBorders>
              <w:top w:val="single" w:sz="8" w:color="0000FF"/>
              <w:bottom w:val="single" w:sz="8" w:color="0000FF"/>
            </w:tcBorders>
            <w:gridSpan w:val="7"/>
          </w:tcPr>
          <w:p>
            <w:pPr>
              <w:ind w:left="20"/>
              <w:spacing w:after="0" w:line="88" w:lineRule="exact"/>
              <w:rPr>
                <w:rFonts w:ascii="Times New Roman" w:cs="Times New Roman" w:eastAsia="Times New Roman" w:hAnsi="Times New Roman"/>
                <w:sz w:val="10"/>
                <w:szCs w:val="10"/>
                <w:color w:val="0000FF"/>
              </w:rPr>
            </w:pPr>
            <w:hyperlink r:id="rId395">
              <w:r>
                <w:rPr>
                  <w:rFonts w:ascii="Times New Roman" w:cs="Times New Roman" w:eastAsia="Times New Roman" w:hAnsi="Times New Roman"/>
                  <w:sz w:val="10"/>
                  <w:szCs w:val="10"/>
                  <w:color w:val="0000FF"/>
                </w:rPr>
                <w:t>reference to Exhibit 10.2.14 of the 2014 Form 10-K).</w:t>
              </w:r>
            </w:hyperlink>
          </w:p>
        </w:tc>
        <w:tc>
          <w:tcPr>
            <w:tcW w:w="6020" w:type="dxa"/>
            <w:vAlign w:val="bottom"/>
            <w:tcBorders>
              <w:top w:val="single" w:sz="8" w:color="0000FF"/>
            </w:tcBorders>
            <w:gridSpan w:val="6"/>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10.2.3+</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96">
              <w:r>
                <w:rPr>
                  <w:rFonts w:ascii="Times New Roman" w:cs="Times New Roman" w:eastAsia="Times New Roman" w:hAnsi="Times New Roman"/>
                  <w:sz w:val="11"/>
                  <w:szCs w:val="11"/>
                  <w:color w:val="0000FF"/>
                  <w:w w:val="98"/>
                </w:rPr>
                <w:t>Nonstatutory Stock Option Award Agreement, dated February 4, 2016, by and between Capital One Financial Corporation and Richard D. Fairbank under the Third Amended and Restated 2004 Stock Incentive Plan (incorporated by</w:t>
              </w:r>
            </w:hyperlink>
          </w:p>
        </w:tc>
      </w:tr>
      <w:tr>
        <w:trPr>
          <w:trHeight w:val="88"/>
        </w:trPr>
        <w:tc>
          <w:tcPr>
            <w:tcW w:w="1200" w:type="dxa"/>
            <w:vAlign w:val="bottom"/>
          </w:tcPr>
          <w:p>
            <w:pPr>
              <w:spacing w:after="0"/>
              <w:rPr>
                <w:sz w:val="7"/>
                <w:szCs w:val="7"/>
                <w:color w:val="auto"/>
              </w:rPr>
            </w:pPr>
          </w:p>
        </w:tc>
        <w:tc>
          <w:tcPr>
            <w:tcW w:w="2320" w:type="dxa"/>
            <w:vAlign w:val="bottom"/>
            <w:tcBorders>
              <w:top w:val="single" w:sz="8" w:color="0000FF"/>
              <w:bottom w:val="single" w:sz="8" w:color="0000FF"/>
            </w:tcBorders>
            <w:gridSpan w:val="7"/>
          </w:tcPr>
          <w:p>
            <w:pPr>
              <w:ind w:left="20"/>
              <w:spacing w:after="0" w:line="88" w:lineRule="exact"/>
              <w:rPr>
                <w:rFonts w:ascii="Times New Roman" w:cs="Times New Roman" w:eastAsia="Times New Roman" w:hAnsi="Times New Roman"/>
                <w:sz w:val="10"/>
                <w:szCs w:val="10"/>
                <w:color w:val="0000FF"/>
              </w:rPr>
            </w:pPr>
            <w:hyperlink r:id="rId396">
              <w:r>
                <w:rPr>
                  <w:rFonts w:ascii="Times New Roman" w:cs="Times New Roman" w:eastAsia="Times New Roman" w:hAnsi="Times New Roman"/>
                  <w:sz w:val="10"/>
                  <w:szCs w:val="10"/>
                  <w:color w:val="0000FF"/>
                </w:rPr>
                <w:t>reference to Exhibit 10.2.17 of the 2015 Form 10-K).</w:t>
              </w:r>
            </w:hyperlink>
          </w:p>
        </w:tc>
        <w:tc>
          <w:tcPr>
            <w:tcW w:w="6020" w:type="dxa"/>
            <w:vAlign w:val="bottom"/>
            <w:tcBorders>
              <w:top w:val="single" w:sz="8" w:color="0000FF"/>
            </w:tcBorders>
            <w:gridSpan w:val="6"/>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10.2.4+</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396">
              <w:r>
                <w:rPr>
                  <w:rFonts w:ascii="Times New Roman" w:cs="Times New Roman" w:eastAsia="Times New Roman" w:hAnsi="Times New Roman"/>
                  <w:sz w:val="11"/>
                  <w:szCs w:val="11"/>
                  <w:color w:val="0000FF"/>
                </w:rPr>
                <w:t>Form of Nonstatutory Stock Option Award Agreement granted to our executive officers under the Third Amended and Restated 2004 Stock Incentive Plan on February 4, 2016 (incorporated by reference to Exhibit 10.2.17 of the</w:t>
              </w:r>
            </w:hyperlink>
          </w:p>
        </w:tc>
      </w:tr>
      <w:tr>
        <w:trPr>
          <w:trHeight w:val="68"/>
        </w:trPr>
        <w:tc>
          <w:tcPr>
            <w:tcW w:w="1200" w:type="dxa"/>
            <w:vAlign w:val="bottom"/>
          </w:tcPr>
          <w:p>
            <w:pPr>
              <w:spacing w:after="0"/>
              <w:rPr>
                <w:sz w:val="5"/>
                <w:szCs w:val="5"/>
                <w:color w:val="auto"/>
              </w:rPr>
            </w:pPr>
          </w:p>
        </w:tc>
        <w:tc>
          <w:tcPr>
            <w:tcW w:w="800" w:type="dxa"/>
            <w:vAlign w:val="bottom"/>
            <w:tcBorders>
              <w:top w:val="single" w:sz="8" w:color="0000FF"/>
              <w:bottom w:val="single" w:sz="8" w:color="0000FF"/>
            </w:tcBorders>
            <w:gridSpan w:val="3"/>
          </w:tcPr>
          <w:p>
            <w:pPr>
              <w:ind w:left="20"/>
              <w:spacing w:after="0"/>
              <w:rPr>
                <w:rFonts w:ascii="Times New Roman" w:cs="Times New Roman" w:eastAsia="Times New Roman" w:hAnsi="Times New Roman"/>
                <w:sz w:val="6"/>
                <w:szCs w:val="6"/>
                <w:color w:val="0000FF"/>
              </w:rPr>
            </w:pPr>
            <w:hyperlink r:id="rId396">
              <w:r>
                <w:rPr>
                  <w:rFonts w:ascii="Times New Roman" w:cs="Times New Roman" w:eastAsia="Times New Roman" w:hAnsi="Times New Roman"/>
                  <w:sz w:val="6"/>
                  <w:szCs w:val="6"/>
                  <w:color w:val="0000FF"/>
                </w:rPr>
                <w:t>2015 Form 10-K).</w:t>
              </w:r>
            </w:hyperlink>
          </w:p>
        </w:tc>
        <w:tc>
          <w:tcPr>
            <w:tcW w:w="1640" w:type="dxa"/>
            <w:vAlign w:val="bottom"/>
            <w:tcBorders>
              <w:top w:val="single" w:sz="8" w:color="0000FF"/>
            </w:tcBorders>
            <w:gridSpan w:val="5"/>
          </w:tcPr>
          <w:p>
            <w:pPr>
              <w:spacing w:after="0"/>
              <w:rPr>
                <w:sz w:val="5"/>
                <w:szCs w:val="5"/>
                <w:color w:val="auto"/>
              </w:rPr>
            </w:pPr>
          </w:p>
        </w:tc>
        <w:tc>
          <w:tcPr>
            <w:tcW w:w="12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940" w:type="dxa"/>
            <w:vAlign w:val="bottom"/>
            <w:tcBorders>
              <w:top w:val="single" w:sz="8" w:color="0000FF"/>
            </w:tcBorders>
          </w:tcPr>
          <w:p>
            <w:pPr>
              <w:spacing w:after="0"/>
              <w:rPr>
                <w:sz w:val="5"/>
                <w:szCs w:val="5"/>
                <w:color w:val="auto"/>
              </w:rPr>
            </w:pPr>
          </w:p>
        </w:tc>
        <w:tc>
          <w:tcPr>
            <w:tcW w:w="138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6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10.2.5+</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97">
              <w:r>
                <w:rPr>
                  <w:rFonts w:ascii="Times New Roman" w:cs="Times New Roman" w:eastAsia="Times New Roman" w:hAnsi="Times New Roman"/>
                  <w:sz w:val="11"/>
                  <w:szCs w:val="11"/>
                  <w:color w:val="0000FF"/>
                  <w:w w:val="98"/>
                </w:rPr>
                <w:t>Nonstatutory Stock Option Award Agreement, dated February 2, 2017, by and between Capital One Financial Corporation and Richard D. Fairbank under the Third Amended and Restated 2004 Stock Incentive Plan (incorporated by</w:t>
              </w:r>
            </w:hyperlink>
          </w:p>
        </w:tc>
      </w:tr>
      <w:tr>
        <w:trPr>
          <w:trHeight w:val="88"/>
        </w:trPr>
        <w:tc>
          <w:tcPr>
            <w:tcW w:w="1200" w:type="dxa"/>
            <w:vAlign w:val="bottom"/>
          </w:tcPr>
          <w:p>
            <w:pPr>
              <w:spacing w:after="0"/>
              <w:rPr>
                <w:sz w:val="7"/>
                <w:szCs w:val="7"/>
                <w:color w:val="auto"/>
              </w:rPr>
            </w:pPr>
          </w:p>
        </w:tc>
        <w:tc>
          <w:tcPr>
            <w:tcW w:w="8340" w:type="dxa"/>
            <w:vAlign w:val="bottom"/>
            <w:tcBorders>
              <w:top w:val="single" w:sz="8" w:color="0000FF"/>
            </w:tcBorders>
            <w:gridSpan w:val="13"/>
          </w:tcPr>
          <w:p>
            <w:pPr>
              <w:ind w:left="20"/>
              <w:spacing w:after="0" w:line="88" w:lineRule="exact"/>
              <w:rPr>
                <w:rFonts w:ascii="Times New Roman" w:cs="Times New Roman" w:eastAsia="Times New Roman" w:hAnsi="Times New Roman"/>
                <w:sz w:val="10"/>
                <w:szCs w:val="10"/>
                <w:color w:val="0000FF"/>
              </w:rPr>
            </w:pPr>
            <w:hyperlink r:id="rId397">
              <w:r>
                <w:rPr>
                  <w:rFonts w:ascii="Times New Roman" w:cs="Times New Roman" w:eastAsia="Times New Roman" w:hAnsi="Times New Roman"/>
                  <w:sz w:val="10"/>
                  <w:szCs w:val="10"/>
                  <w:color w:val="0000FF"/>
                </w:rPr>
                <w:t>reference to Exhibit 10.2.19 of the 2016 Form 10-K)</w:t>
              </w:r>
              <w:r>
                <w:rPr>
                  <w:rFonts w:ascii="Times New Roman" w:cs="Times New Roman" w:eastAsia="Times New Roman" w:hAnsi="Times New Roman"/>
                  <w:sz w:val="10"/>
                  <w:szCs w:val="10"/>
                  <w:color w:val="000000"/>
                </w:rPr>
                <w:t>.</w:t>
              </w:r>
            </w:hyperlink>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10.2.6+</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397">
              <w:r>
                <w:rPr>
                  <w:rFonts w:ascii="Times New Roman" w:cs="Times New Roman" w:eastAsia="Times New Roman" w:hAnsi="Times New Roman"/>
                  <w:sz w:val="11"/>
                  <w:szCs w:val="11"/>
                  <w:color w:val="0000FF"/>
                </w:rPr>
                <w:t>Form of Nonstatutory Stock Option Award Agreement granted to our executive officers under the Third Amended and Restated 2004 Stock Incentive Plan on February 2, 2017 (incorporated by reference to Exhibit 10.2.19 of the</w:t>
              </w:r>
            </w:hyperlink>
          </w:p>
        </w:tc>
      </w:tr>
      <w:tr>
        <w:trPr>
          <w:trHeight w:val="88"/>
        </w:trPr>
        <w:tc>
          <w:tcPr>
            <w:tcW w:w="1200" w:type="dxa"/>
            <w:vAlign w:val="bottom"/>
          </w:tcPr>
          <w:p>
            <w:pPr>
              <w:spacing w:after="0"/>
              <w:rPr>
                <w:sz w:val="7"/>
                <w:szCs w:val="7"/>
                <w:color w:val="auto"/>
              </w:rPr>
            </w:pPr>
          </w:p>
        </w:tc>
        <w:tc>
          <w:tcPr>
            <w:tcW w:w="800" w:type="dxa"/>
            <w:vAlign w:val="bottom"/>
            <w:tcBorders>
              <w:top w:val="single" w:sz="8" w:color="0000FF"/>
              <w:bottom w:val="single" w:sz="8" w:color="0000FF"/>
            </w:tcBorders>
            <w:gridSpan w:val="3"/>
          </w:tcPr>
          <w:p>
            <w:pPr>
              <w:ind w:left="20"/>
              <w:spacing w:after="0" w:line="88" w:lineRule="exact"/>
              <w:rPr>
                <w:rFonts w:ascii="Times New Roman" w:cs="Times New Roman" w:eastAsia="Times New Roman" w:hAnsi="Times New Roman"/>
                <w:sz w:val="10"/>
                <w:szCs w:val="10"/>
                <w:color w:val="0000FF"/>
              </w:rPr>
            </w:pPr>
            <w:hyperlink r:id="rId397">
              <w:r>
                <w:rPr>
                  <w:rFonts w:ascii="Times New Roman" w:cs="Times New Roman" w:eastAsia="Times New Roman" w:hAnsi="Times New Roman"/>
                  <w:sz w:val="10"/>
                  <w:szCs w:val="10"/>
                  <w:color w:val="0000FF"/>
                </w:rPr>
                <w:t>2016 Form 10-K).</w:t>
              </w:r>
            </w:hyperlink>
          </w:p>
        </w:tc>
        <w:tc>
          <w:tcPr>
            <w:tcW w:w="7540" w:type="dxa"/>
            <w:vAlign w:val="bottom"/>
            <w:tcBorders>
              <w:top w:val="single" w:sz="8" w:color="0000FF"/>
            </w:tcBorders>
            <w:gridSpan w:val="10"/>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10.2.7+</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98">
              <w:r>
                <w:rPr>
                  <w:rFonts w:ascii="Times New Roman" w:cs="Times New Roman" w:eastAsia="Times New Roman" w:hAnsi="Times New Roman"/>
                  <w:sz w:val="11"/>
                  <w:szCs w:val="11"/>
                  <w:color w:val="0000FF"/>
                  <w:w w:val="98"/>
                </w:rPr>
                <w:t>Performance Unit Award Agreement, dated January 30, 2020, by and between Capital One Financial Corporation and Richard D. Fairbank under the Fifth Amended and Restated 2004 Stock Incentive Plan (incorporated by reference</w:t>
              </w:r>
            </w:hyperlink>
          </w:p>
        </w:tc>
      </w:tr>
      <w:tr>
        <w:trPr>
          <w:trHeight w:val="88"/>
        </w:trPr>
        <w:tc>
          <w:tcPr>
            <w:tcW w:w="1200" w:type="dxa"/>
            <w:vAlign w:val="bottom"/>
          </w:tcPr>
          <w:p>
            <w:pPr>
              <w:spacing w:after="0"/>
              <w:rPr>
                <w:sz w:val="7"/>
                <w:szCs w:val="7"/>
                <w:color w:val="auto"/>
              </w:rPr>
            </w:pPr>
          </w:p>
        </w:tc>
        <w:tc>
          <w:tcPr>
            <w:tcW w:w="8340" w:type="dxa"/>
            <w:vAlign w:val="bottom"/>
            <w:tcBorders>
              <w:top w:val="single" w:sz="8" w:color="0000FF"/>
            </w:tcBorders>
            <w:gridSpan w:val="13"/>
          </w:tcPr>
          <w:p>
            <w:pPr>
              <w:ind w:left="20"/>
              <w:spacing w:after="0" w:line="88" w:lineRule="exact"/>
              <w:rPr>
                <w:rFonts w:ascii="Times New Roman" w:cs="Times New Roman" w:eastAsia="Times New Roman" w:hAnsi="Times New Roman"/>
                <w:sz w:val="10"/>
                <w:szCs w:val="10"/>
                <w:color w:val="0000FF"/>
              </w:rPr>
            </w:pPr>
            <w:hyperlink r:id="rId398">
              <w:r>
                <w:rPr>
                  <w:rFonts w:ascii="Times New Roman" w:cs="Times New Roman" w:eastAsia="Times New Roman" w:hAnsi="Times New Roman"/>
                  <w:sz w:val="10"/>
                  <w:szCs w:val="10"/>
                  <w:color w:val="0000FF"/>
                </w:rPr>
                <w:t>to Exhibit 10.2.23 of the 2019 Form 10-K).</w:t>
              </w:r>
            </w:hyperlink>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10.2.8+</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9"/>
              </w:rPr>
            </w:pPr>
            <w:hyperlink r:id="rId398">
              <w:r>
                <w:rPr>
                  <w:rFonts w:ascii="Times New Roman" w:cs="Times New Roman" w:eastAsia="Times New Roman" w:hAnsi="Times New Roman"/>
                  <w:sz w:val="11"/>
                  <w:szCs w:val="11"/>
                  <w:color w:val="0000FF"/>
                  <w:w w:val="99"/>
                </w:rPr>
                <w:t>Form of Performance Unit Award Agreement granted to our executive officers under the Fifth Amended and Restated 2004 Stock Incentive Plan on January 30, 2020 (incorporated by reference to Exhibit 10.2.23 of the 2019 Form</w:t>
              </w:r>
            </w:hyperlink>
          </w:p>
        </w:tc>
      </w:tr>
      <w:tr>
        <w:trPr>
          <w:trHeight w:val="88"/>
        </w:trPr>
        <w:tc>
          <w:tcPr>
            <w:tcW w:w="1200" w:type="dxa"/>
            <w:vAlign w:val="bottom"/>
          </w:tcPr>
          <w:p>
            <w:pPr>
              <w:spacing w:after="0"/>
              <w:rPr>
                <w:sz w:val="7"/>
                <w:szCs w:val="7"/>
                <w:color w:val="auto"/>
              </w:rPr>
            </w:pPr>
          </w:p>
        </w:tc>
        <w:tc>
          <w:tcPr>
            <w:tcW w:w="300" w:type="dxa"/>
            <w:vAlign w:val="bottom"/>
            <w:tcBorders>
              <w:top w:val="single" w:sz="8" w:color="0000FF"/>
              <w:bottom w:val="single" w:sz="8" w:color="0000FF"/>
            </w:tcBorders>
          </w:tcPr>
          <w:p>
            <w:pPr>
              <w:ind w:left="20"/>
              <w:spacing w:after="0" w:line="88" w:lineRule="exact"/>
              <w:rPr>
                <w:rFonts w:ascii="Times New Roman" w:cs="Times New Roman" w:eastAsia="Times New Roman" w:hAnsi="Times New Roman"/>
                <w:sz w:val="10"/>
                <w:szCs w:val="10"/>
                <w:color w:val="0000FF"/>
                <w:w w:val="98"/>
              </w:rPr>
            </w:pPr>
            <w:hyperlink r:id="rId398">
              <w:r>
                <w:rPr>
                  <w:rFonts w:ascii="Times New Roman" w:cs="Times New Roman" w:eastAsia="Times New Roman" w:hAnsi="Times New Roman"/>
                  <w:sz w:val="10"/>
                  <w:szCs w:val="10"/>
                  <w:color w:val="0000FF"/>
                  <w:w w:val="98"/>
                </w:rPr>
                <w:t>10-K).</w:t>
              </w:r>
            </w:hyperlink>
          </w:p>
        </w:tc>
        <w:tc>
          <w:tcPr>
            <w:tcW w:w="8040" w:type="dxa"/>
            <w:vAlign w:val="bottom"/>
            <w:tcBorders>
              <w:top w:val="single" w:sz="8" w:color="0000FF"/>
            </w:tcBorders>
            <w:gridSpan w:val="12"/>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10.2.9+</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399">
              <w:r>
                <w:rPr>
                  <w:rFonts w:ascii="Times New Roman" w:cs="Times New Roman" w:eastAsia="Times New Roman" w:hAnsi="Times New Roman"/>
                  <w:sz w:val="11"/>
                  <w:szCs w:val="11"/>
                  <w:color w:val="0000FF"/>
                  <w:w w:val="98"/>
                </w:rPr>
                <w:t>Form of Restricted Stock Unit Award Agreement, dated January 30, 2020, by and between Capital One Financial Corporation and Richard D. Fairbank under the Fifth Amended and Restated 2004 Stock Incentive Plan (incorporated</w:t>
              </w:r>
            </w:hyperlink>
          </w:p>
        </w:tc>
      </w:tr>
      <w:tr>
        <w:trPr>
          <w:trHeight w:val="88"/>
        </w:trPr>
        <w:tc>
          <w:tcPr>
            <w:tcW w:w="1200" w:type="dxa"/>
            <w:vAlign w:val="bottom"/>
          </w:tcPr>
          <w:p>
            <w:pPr>
              <w:spacing w:after="0"/>
              <w:rPr>
                <w:sz w:val="7"/>
                <w:szCs w:val="7"/>
                <w:color w:val="auto"/>
              </w:rPr>
            </w:pPr>
          </w:p>
        </w:tc>
        <w:tc>
          <w:tcPr>
            <w:tcW w:w="8340" w:type="dxa"/>
            <w:vAlign w:val="bottom"/>
            <w:tcBorders>
              <w:top w:val="single" w:sz="8" w:color="0000FF"/>
            </w:tcBorders>
            <w:gridSpan w:val="13"/>
          </w:tcPr>
          <w:p>
            <w:pPr>
              <w:ind w:left="20"/>
              <w:spacing w:after="0" w:line="88" w:lineRule="exact"/>
              <w:rPr>
                <w:rFonts w:ascii="Times New Roman" w:cs="Times New Roman" w:eastAsia="Times New Roman" w:hAnsi="Times New Roman"/>
                <w:sz w:val="10"/>
                <w:szCs w:val="10"/>
                <w:color w:val="0000FF"/>
              </w:rPr>
            </w:pPr>
            <w:hyperlink r:id="rId399">
              <w:r>
                <w:rPr>
                  <w:rFonts w:ascii="Times New Roman" w:cs="Times New Roman" w:eastAsia="Times New Roman" w:hAnsi="Times New Roman"/>
                  <w:sz w:val="10"/>
                  <w:szCs w:val="10"/>
                  <w:color w:val="0000FF"/>
                </w:rPr>
                <w:t>by reference to Exhibit 10.2.24 of the 2019 Form 10-K).</w:t>
              </w:r>
            </w:hyperlink>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10.2.10+</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399">
              <w:r>
                <w:rPr>
                  <w:rFonts w:ascii="Times New Roman" w:cs="Times New Roman" w:eastAsia="Times New Roman" w:hAnsi="Times New Roman"/>
                  <w:sz w:val="11"/>
                  <w:szCs w:val="11"/>
                  <w:color w:val="0000FF"/>
                </w:rPr>
                <w:t>Form of Restricted Stock Unit Award Agreements granted to our executive officers under the Fifth Amended and Restated 2004 Stock Incentive Plan on January 30, 2020 (incorporated by reference to Exhibit 10.2.24 of the 2019</w:t>
              </w:r>
            </w:hyperlink>
          </w:p>
        </w:tc>
      </w:tr>
      <w:tr>
        <w:trPr>
          <w:trHeight w:val="68"/>
        </w:trPr>
        <w:tc>
          <w:tcPr>
            <w:tcW w:w="1200" w:type="dxa"/>
            <w:vAlign w:val="bottom"/>
          </w:tcPr>
          <w:p>
            <w:pPr>
              <w:spacing w:after="0"/>
              <w:rPr>
                <w:sz w:val="5"/>
                <w:szCs w:val="5"/>
                <w:color w:val="auto"/>
              </w:rPr>
            </w:pPr>
          </w:p>
        </w:tc>
        <w:tc>
          <w:tcPr>
            <w:tcW w:w="560" w:type="dxa"/>
            <w:vAlign w:val="bottom"/>
            <w:tcBorders>
              <w:top w:val="single" w:sz="8" w:color="0000FF"/>
              <w:bottom w:val="single" w:sz="8" w:color="0000FF"/>
            </w:tcBorders>
            <w:gridSpan w:val="2"/>
          </w:tcPr>
          <w:p>
            <w:pPr>
              <w:ind w:left="20"/>
              <w:spacing w:after="0"/>
              <w:rPr>
                <w:rFonts w:ascii="Times New Roman" w:cs="Times New Roman" w:eastAsia="Times New Roman" w:hAnsi="Times New Roman"/>
                <w:sz w:val="6"/>
                <w:szCs w:val="6"/>
                <w:color w:val="0000FF"/>
              </w:rPr>
            </w:pPr>
            <w:hyperlink r:id="rId399">
              <w:r>
                <w:rPr>
                  <w:rFonts w:ascii="Times New Roman" w:cs="Times New Roman" w:eastAsia="Times New Roman" w:hAnsi="Times New Roman"/>
                  <w:sz w:val="6"/>
                  <w:szCs w:val="6"/>
                  <w:color w:val="0000FF"/>
                </w:rPr>
                <w:t>Form 10-K).</w:t>
              </w:r>
            </w:hyperlink>
          </w:p>
        </w:tc>
        <w:tc>
          <w:tcPr>
            <w:tcW w:w="3140" w:type="dxa"/>
            <w:vAlign w:val="bottom"/>
            <w:tcBorders>
              <w:top w:val="single" w:sz="8" w:color="0000FF"/>
            </w:tcBorders>
            <w:gridSpan w:val="7"/>
          </w:tcPr>
          <w:p>
            <w:pPr>
              <w:spacing w:after="0"/>
              <w:rPr>
                <w:sz w:val="5"/>
                <w:szCs w:val="5"/>
                <w:color w:val="auto"/>
              </w:rPr>
            </w:pPr>
          </w:p>
        </w:tc>
        <w:tc>
          <w:tcPr>
            <w:tcW w:w="4520" w:type="dxa"/>
            <w:vAlign w:val="bottom"/>
            <w:tcBorders>
              <w:top w:val="single" w:sz="8" w:color="0000FF"/>
            </w:tcBorders>
            <w:gridSpan w:val="3"/>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6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10.2.11+</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400">
              <w:r>
                <w:rPr>
                  <w:rFonts w:ascii="Times New Roman" w:cs="Times New Roman" w:eastAsia="Times New Roman" w:hAnsi="Times New Roman"/>
                  <w:sz w:val="11"/>
                  <w:szCs w:val="11"/>
                  <w:color w:val="0000FF"/>
                  <w:w w:val="98"/>
                </w:rPr>
                <w:t>Form of Performance Unit Award Agreement, dated February 4, 2021, by and between Capital One Financial Corporation and Richard D. Fairbank under the Fifth Amended and Restated 2004 Stock Incentive Plan (incorporated by</w:t>
              </w:r>
            </w:hyperlink>
          </w:p>
        </w:tc>
      </w:tr>
      <w:tr>
        <w:trPr>
          <w:trHeight w:val="88"/>
        </w:trPr>
        <w:tc>
          <w:tcPr>
            <w:tcW w:w="1200" w:type="dxa"/>
            <w:vAlign w:val="bottom"/>
          </w:tcPr>
          <w:p>
            <w:pPr>
              <w:spacing w:after="0"/>
              <w:rPr>
                <w:sz w:val="7"/>
                <w:szCs w:val="7"/>
                <w:color w:val="auto"/>
              </w:rPr>
            </w:pPr>
          </w:p>
        </w:tc>
        <w:tc>
          <w:tcPr>
            <w:tcW w:w="2320" w:type="dxa"/>
            <w:vAlign w:val="bottom"/>
            <w:tcBorders>
              <w:top w:val="single" w:sz="8" w:color="0000FF"/>
              <w:bottom w:val="single" w:sz="8" w:color="0000FF"/>
            </w:tcBorders>
            <w:gridSpan w:val="7"/>
          </w:tcPr>
          <w:p>
            <w:pPr>
              <w:ind w:left="20"/>
              <w:spacing w:after="0" w:line="88" w:lineRule="exact"/>
              <w:rPr>
                <w:rFonts w:ascii="Times New Roman" w:cs="Times New Roman" w:eastAsia="Times New Roman" w:hAnsi="Times New Roman"/>
                <w:sz w:val="10"/>
                <w:szCs w:val="10"/>
                <w:color w:val="0000FF"/>
              </w:rPr>
            </w:pPr>
            <w:hyperlink r:id="rId400">
              <w:r>
                <w:rPr>
                  <w:rFonts w:ascii="Times New Roman" w:cs="Times New Roman" w:eastAsia="Times New Roman" w:hAnsi="Times New Roman"/>
                  <w:sz w:val="10"/>
                  <w:szCs w:val="10"/>
                  <w:color w:val="0000FF"/>
                </w:rPr>
                <w:t>reference to Exhibit 10.2.25 of the 2020 Form 10-K).</w:t>
              </w:r>
            </w:hyperlink>
          </w:p>
        </w:tc>
        <w:tc>
          <w:tcPr>
            <w:tcW w:w="6020" w:type="dxa"/>
            <w:vAlign w:val="bottom"/>
            <w:tcBorders>
              <w:top w:val="single" w:sz="8" w:color="0000FF"/>
            </w:tcBorders>
            <w:gridSpan w:val="6"/>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10.2.12+</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9"/>
              </w:rPr>
            </w:pPr>
            <w:hyperlink r:id="rId400">
              <w:r>
                <w:rPr>
                  <w:rFonts w:ascii="Times New Roman" w:cs="Times New Roman" w:eastAsia="Times New Roman" w:hAnsi="Times New Roman"/>
                  <w:sz w:val="11"/>
                  <w:szCs w:val="11"/>
                  <w:color w:val="0000FF"/>
                  <w:w w:val="99"/>
                </w:rPr>
                <w:t>Form of Performance Unit Award Agreements granted to our executive officers under the Fifth Amended and Restated 2004 Stock Incentive Plan on February 4, 2021 (incorporated by reference to Exhibit 10.2.25 of the 2020 Form</w:t>
              </w:r>
            </w:hyperlink>
          </w:p>
        </w:tc>
      </w:tr>
      <w:tr>
        <w:trPr>
          <w:trHeight w:val="88"/>
        </w:trPr>
        <w:tc>
          <w:tcPr>
            <w:tcW w:w="1200" w:type="dxa"/>
            <w:vAlign w:val="bottom"/>
          </w:tcPr>
          <w:p>
            <w:pPr>
              <w:spacing w:after="0"/>
              <w:rPr>
                <w:sz w:val="7"/>
                <w:szCs w:val="7"/>
                <w:color w:val="auto"/>
              </w:rPr>
            </w:pPr>
          </w:p>
        </w:tc>
        <w:tc>
          <w:tcPr>
            <w:tcW w:w="300" w:type="dxa"/>
            <w:vAlign w:val="bottom"/>
            <w:tcBorders>
              <w:top w:val="single" w:sz="8" w:color="0000FF"/>
              <w:bottom w:val="single" w:sz="8" w:color="0000FF"/>
            </w:tcBorders>
          </w:tcPr>
          <w:p>
            <w:pPr>
              <w:ind w:left="20"/>
              <w:spacing w:after="0" w:line="88" w:lineRule="exact"/>
              <w:rPr>
                <w:rFonts w:ascii="Times New Roman" w:cs="Times New Roman" w:eastAsia="Times New Roman" w:hAnsi="Times New Roman"/>
                <w:sz w:val="10"/>
                <w:szCs w:val="10"/>
                <w:color w:val="0000FF"/>
                <w:w w:val="98"/>
              </w:rPr>
            </w:pPr>
            <w:hyperlink r:id="rId400">
              <w:r>
                <w:rPr>
                  <w:rFonts w:ascii="Times New Roman" w:cs="Times New Roman" w:eastAsia="Times New Roman" w:hAnsi="Times New Roman"/>
                  <w:sz w:val="10"/>
                  <w:szCs w:val="10"/>
                  <w:color w:val="0000FF"/>
                  <w:w w:val="98"/>
                </w:rPr>
                <w:t>10-K).</w:t>
              </w:r>
            </w:hyperlink>
          </w:p>
        </w:tc>
        <w:tc>
          <w:tcPr>
            <w:tcW w:w="8040" w:type="dxa"/>
            <w:vAlign w:val="bottom"/>
            <w:tcBorders>
              <w:top w:val="single" w:sz="8" w:color="0000FF"/>
            </w:tcBorders>
            <w:gridSpan w:val="12"/>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10.2.13+</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401">
              <w:r>
                <w:rPr>
                  <w:rFonts w:ascii="Times New Roman" w:cs="Times New Roman" w:eastAsia="Times New Roman" w:hAnsi="Times New Roman"/>
                  <w:sz w:val="11"/>
                  <w:szCs w:val="11"/>
                  <w:color w:val="0000FF"/>
                  <w:w w:val="98"/>
                </w:rPr>
                <w:t>Form Restricted Stock Unit Award Agreement, dated February 4, 2021, by and between Capital One Financial Corporation and Richard D. Fairbank under the Fifth Amended and Restated 2004 Stock Incentive Plan (incorporated by</w:t>
              </w:r>
            </w:hyperlink>
          </w:p>
        </w:tc>
      </w:tr>
      <w:tr>
        <w:trPr>
          <w:trHeight w:val="88"/>
        </w:trPr>
        <w:tc>
          <w:tcPr>
            <w:tcW w:w="1200" w:type="dxa"/>
            <w:vAlign w:val="bottom"/>
          </w:tcPr>
          <w:p>
            <w:pPr>
              <w:spacing w:after="0"/>
              <w:rPr>
                <w:sz w:val="7"/>
                <w:szCs w:val="7"/>
                <w:color w:val="auto"/>
              </w:rPr>
            </w:pPr>
          </w:p>
        </w:tc>
        <w:tc>
          <w:tcPr>
            <w:tcW w:w="2320" w:type="dxa"/>
            <w:vAlign w:val="bottom"/>
            <w:tcBorders>
              <w:top w:val="single" w:sz="8" w:color="0000FF"/>
              <w:bottom w:val="single" w:sz="8" w:color="0000FF"/>
            </w:tcBorders>
            <w:gridSpan w:val="7"/>
          </w:tcPr>
          <w:p>
            <w:pPr>
              <w:ind w:left="20"/>
              <w:spacing w:after="0" w:line="88" w:lineRule="exact"/>
              <w:rPr>
                <w:rFonts w:ascii="Times New Roman" w:cs="Times New Roman" w:eastAsia="Times New Roman" w:hAnsi="Times New Roman"/>
                <w:sz w:val="10"/>
                <w:szCs w:val="10"/>
                <w:color w:val="0000FF"/>
              </w:rPr>
            </w:pPr>
            <w:hyperlink r:id="rId401">
              <w:r>
                <w:rPr>
                  <w:rFonts w:ascii="Times New Roman" w:cs="Times New Roman" w:eastAsia="Times New Roman" w:hAnsi="Times New Roman"/>
                  <w:sz w:val="10"/>
                  <w:szCs w:val="10"/>
                  <w:color w:val="0000FF"/>
                </w:rPr>
                <w:t>reference to Exhibit 10.2.26 of the 2020 Form 10-K).</w:t>
              </w:r>
            </w:hyperlink>
          </w:p>
        </w:tc>
        <w:tc>
          <w:tcPr>
            <w:tcW w:w="6020" w:type="dxa"/>
            <w:vAlign w:val="bottom"/>
            <w:tcBorders>
              <w:top w:val="single" w:sz="8" w:color="0000FF"/>
            </w:tcBorders>
            <w:gridSpan w:val="6"/>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10.2.14+</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401">
              <w:r>
                <w:rPr>
                  <w:rFonts w:ascii="Times New Roman" w:cs="Times New Roman" w:eastAsia="Times New Roman" w:hAnsi="Times New Roman"/>
                  <w:sz w:val="11"/>
                  <w:szCs w:val="11"/>
                  <w:color w:val="0000FF"/>
                </w:rPr>
                <w:t>Form of Restricted Stock Unit Award Agreements granted to our executive officers under the Fifth Amended and Restated 2004 Stock Incentive Plan on February 4, 2021 (incorporated by reference to Exhibit 10.2.26 of the 2020</w:t>
              </w:r>
            </w:hyperlink>
          </w:p>
        </w:tc>
      </w:tr>
      <w:tr>
        <w:trPr>
          <w:trHeight w:val="88"/>
        </w:trPr>
        <w:tc>
          <w:tcPr>
            <w:tcW w:w="1200" w:type="dxa"/>
            <w:vAlign w:val="bottom"/>
          </w:tcPr>
          <w:p>
            <w:pPr>
              <w:spacing w:after="0"/>
              <w:rPr>
                <w:sz w:val="7"/>
                <w:szCs w:val="7"/>
                <w:color w:val="auto"/>
              </w:rPr>
            </w:pPr>
          </w:p>
        </w:tc>
        <w:tc>
          <w:tcPr>
            <w:tcW w:w="560" w:type="dxa"/>
            <w:vAlign w:val="bottom"/>
            <w:tcBorders>
              <w:top w:val="single" w:sz="8" w:color="0000FF"/>
              <w:bottom w:val="single" w:sz="8" w:color="0000FF"/>
            </w:tcBorders>
            <w:gridSpan w:val="2"/>
          </w:tcPr>
          <w:p>
            <w:pPr>
              <w:ind w:left="20"/>
              <w:spacing w:after="0" w:line="88" w:lineRule="exact"/>
              <w:rPr>
                <w:rFonts w:ascii="Times New Roman" w:cs="Times New Roman" w:eastAsia="Times New Roman" w:hAnsi="Times New Roman"/>
                <w:sz w:val="10"/>
                <w:szCs w:val="10"/>
                <w:color w:val="0000FF"/>
              </w:rPr>
            </w:pPr>
            <w:hyperlink r:id="rId401">
              <w:r>
                <w:rPr>
                  <w:rFonts w:ascii="Times New Roman" w:cs="Times New Roman" w:eastAsia="Times New Roman" w:hAnsi="Times New Roman"/>
                  <w:sz w:val="10"/>
                  <w:szCs w:val="10"/>
                  <w:color w:val="0000FF"/>
                </w:rPr>
                <w:t>Form 10-K).</w:t>
              </w:r>
            </w:hyperlink>
          </w:p>
        </w:tc>
        <w:tc>
          <w:tcPr>
            <w:tcW w:w="7780" w:type="dxa"/>
            <w:vAlign w:val="bottom"/>
            <w:tcBorders>
              <w:top w:val="single" w:sz="8" w:color="0000FF"/>
            </w:tcBorders>
            <w:gridSpan w:val="11"/>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10.2.15+</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402">
              <w:r>
                <w:rPr>
                  <w:rFonts w:ascii="Times New Roman" w:cs="Times New Roman" w:eastAsia="Times New Roman" w:hAnsi="Times New Roman"/>
                  <w:sz w:val="11"/>
                  <w:szCs w:val="11"/>
                  <w:color w:val="0000FF"/>
                </w:rPr>
                <w:t>Form of Total Shareholder Return Performance Unit Award Agreement granted to our Chief Executive Officer under the Fifth Amended and Restated 2004 Stock Incentive Plan on February 4, 2021 (incorporated by reference to</w:t>
              </w:r>
            </w:hyperlink>
          </w:p>
        </w:tc>
      </w:tr>
      <w:tr>
        <w:trPr>
          <w:trHeight w:val="88"/>
        </w:trPr>
        <w:tc>
          <w:tcPr>
            <w:tcW w:w="1200" w:type="dxa"/>
            <w:vAlign w:val="bottom"/>
          </w:tcPr>
          <w:p>
            <w:pPr>
              <w:spacing w:after="0"/>
              <w:rPr>
                <w:sz w:val="7"/>
                <w:szCs w:val="7"/>
                <w:color w:val="auto"/>
              </w:rPr>
            </w:pPr>
          </w:p>
        </w:tc>
        <w:tc>
          <w:tcPr>
            <w:tcW w:w="1780" w:type="dxa"/>
            <w:vAlign w:val="bottom"/>
            <w:tcBorders>
              <w:top w:val="single" w:sz="8" w:color="0000FF"/>
              <w:bottom w:val="single" w:sz="8" w:color="0000FF"/>
            </w:tcBorders>
            <w:gridSpan w:val="4"/>
          </w:tcPr>
          <w:p>
            <w:pPr>
              <w:ind w:left="20"/>
              <w:spacing w:after="0" w:line="88" w:lineRule="exact"/>
              <w:rPr>
                <w:rFonts w:ascii="Times New Roman" w:cs="Times New Roman" w:eastAsia="Times New Roman" w:hAnsi="Times New Roman"/>
                <w:sz w:val="10"/>
                <w:szCs w:val="10"/>
                <w:color w:val="0000FF"/>
              </w:rPr>
            </w:pPr>
            <w:hyperlink r:id="rId402">
              <w:r>
                <w:rPr>
                  <w:rFonts w:ascii="Times New Roman" w:cs="Times New Roman" w:eastAsia="Times New Roman" w:hAnsi="Times New Roman"/>
                  <w:sz w:val="10"/>
                  <w:szCs w:val="10"/>
                  <w:color w:val="0000FF"/>
                </w:rPr>
                <w:t>Exhibit 10.2.27 of the 2020 Form 10-K).</w:t>
              </w:r>
            </w:hyperlink>
          </w:p>
        </w:tc>
        <w:tc>
          <w:tcPr>
            <w:tcW w:w="6560" w:type="dxa"/>
            <w:vAlign w:val="bottom"/>
            <w:tcBorders>
              <w:top w:val="single" w:sz="8" w:color="0000FF"/>
            </w:tcBorders>
            <w:gridSpan w:val="9"/>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10.2.16+</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403">
              <w:r>
                <w:rPr>
                  <w:rFonts w:ascii="Times New Roman" w:cs="Times New Roman" w:eastAsia="Times New Roman" w:hAnsi="Times New Roman"/>
                  <w:sz w:val="11"/>
                  <w:szCs w:val="11"/>
                  <w:color w:val="0000FF"/>
                  <w:w w:val="98"/>
                </w:rPr>
                <w:t>Form of Performance Unit Award Agreement, dated February 3, 2022, by and between Capital One Financial Corporation and Richard D. Fairbank under the Sixth Amended and Restated 2004 Stock Incentive Plan (incorporated by</w:t>
              </w:r>
            </w:hyperlink>
          </w:p>
        </w:tc>
      </w:tr>
      <w:tr>
        <w:trPr>
          <w:trHeight w:val="88"/>
        </w:trPr>
        <w:tc>
          <w:tcPr>
            <w:tcW w:w="1200" w:type="dxa"/>
            <w:vAlign w:val="bottom"/>
          </w:tcPr>
          <w:p>
            <w:pPr>
              <w:spacing w:after="0"/>
              <w:rPr>
                <w:sz w:val="7"/>
                <w:szCs w:val="7"/>
                <w:color w:val="auto"/>
              </w:rPr>
            </w:pPr>
          </w:p>
        </w:tc>
        <w:tc>
          <w:tcPr>
            <w:tcW w:w="8340" w:type="dxa"/>
            <w:vAlign w:val="bottom"/>
            <w:tcBorders>
              <w:top w:val="single" w:sz="8" w:color="0000FF"/>
            </w:tcBorders>
            <w:gridSpan w:val="13"/>
          </w:tcPr>
          <w:p>
            <w:pPr>
              <w:ind w:left="20"/>
              <w:spacing w:after="0" w:line="88" w:lineRule="exact"/>
              <w:rPr>
                <w:rFonts w:ascii="Times New Roman" w:cs="Times New Roman" w:eastAsia="Times New Roman" w:hAnsi="Times New Roman"/>
                <w:sz w:val="10"/>
                <w:szCs w:val="10"/>
                <w:color w:val="0000FF"/>
              </w:rPr>
            </w:pPr>
            <w:hyperlink r:id="rId403">
              <w:r>
                <w:rPr>
                  <w:rFonts w:ascii="Times New Roman" w:cs="Times New Roman" w:eastAsia="Times New Roman" w:hAnsi="Times New Roman"/>
                  <w:sz w:val="10"/>
                  <w:szCs w:val="10"/>
                  <w:color w:val="0000FF"/>
                </w:rPr>
                <w:t>reference to Exhibit 10.2.13 of the 2021 Form 10-K)</w:t>
              </w:r>
            </w:hyperlink>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10.2.17+</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403">
              <w:r>
                <w:rPr>
                  <w:rFonts w:ascii="Times New Roman" w:cs="Times New Roman" w:eastAsia="Times New Roman" w:hAnsi="Times New Roman"/>
                  <w:sz w:val="11"/>
                  <w:szCs w:val="11"/>
                  <w:color w:val="0000FF"/>
                  <w:w w:val="98"/>
                </w:rPr>
                <w:t>Form of Performance Unit Award Agreements granted to our executive officers under the Sixth Amended and Restated 2004 Stock Incentive Plan on February 3, 2022 (incorporated by reference to Exhibit 10.2.13 of the 2021 Form</w:t>
              </w:r>
            </w:hyperlink>
          </w:p>
        </w:tc>
      </w:tr>
      <w:tr>
        <w:trPr>
          <w:trHeight w:val="88"/>
        </w:trPr>
        <w:tc>
          <w:tcPr>
            <w:tcW w:w="1200" w:type="dxa"/>
            <w:vAlign w:val="bottom"/>
          </w:tcPr>
          <w:p>
            <w:pPr>
              <w:spacing w:after="0"/>
              <w:rPr>
                <w:sz w:val="7"/>
                <w:szCs w:val="7"/>
                <w:color w:val="auto"/>
              </w:rPr>
            </w:pPr>
          </w:p>
        </w:tc>
        <w:tc>
          <w:tcPr>
            <w:tcW w:w="300" w:type="dxa"/>
            <w:vAlign w:val="bottom"/>
            <w:tcBorders>
              <w:top w:val="single" w:sz="8" w:color="0000FF"/>
              <w:bottom w:val="single" w:sz="8" w:color="0000FF"/>
            </w:tcBorders>
          </w:tcPr>
          <w:p>
            <w:pPr>
              <w:ind w:left="20"/>
              <w:spacing w:after="0" w:line="88" w:lineRule="exact"/>
              <w:rPr>
                <w:rFonts w:ascii="Times New Roman" w:cs="Times New Roman" w:eastAsia="Times New Roman" w:hAnsi="Times New Roman"/>
                <w:sz w:val="10"/>
                <w:szCs w:val="10"/>
                <w:color w:val="0000FF"/>
                <w:w w:val="98"/>
              </w:rPr>
            </w:pPr>
            <w:hyperlink r:id="rId403">
              <w:r>
                <w:rPr>
                  <w:rFonts w:ascii="Times New Roman" w:cs="Times New Roman" w:eastAsia="Times New Roman" w:hAnsi="Times New Roman"/>
                  <w:sz w:val="10"/>
                  <w:szCs w:val="10"/>
                  <w:color w:val="0000FF"/>
                  <w:w w:val="98"/>
                </w:rPr>
                <w:t>10-K).</w:t>
              </w:r>
            </w:hyperlink>
          </w:p>
        </w:tc>
        <w:tc>
          <w:tcPr>
            <w:tcW w:w="8040" w:type="dxa"/>
            <w:vAlign w:val="bottom"/>
            <w:tcBorders>
              <w:top w:val="single" w:sz="8" w:color="0000FF"/>
            </w:tcBorders>
            <w:gridSpan w:val="12"/>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10.2.18+</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8"/>
              </w:rPr>
            </w:pPr>
            <w:hyperlink r:id="rId404">
              <w:r>
                <w:rPr>
                  <w:rFonts w:ascii="Times New Roman" w:cs="Times New Roman" w:eastAsia="Times New Roman" w:hAnsi="Times New Roman"/>
                  <w:sz w:val="11"/>
                  <w:szCs w:val="11"/>
                  <w:color w:val="0000FF"/>
                  <w:w w:val="98"/>
                </w:rPr>
                <w:t>Form of Restricted Stock Unit Award Agreement, dated February 3, 2022, by and between Capital One Financial Corporation and Richard D. Fairbank under the Sixth Amended and Restated 2004 Stock Incentive Plan (incorporated</w:t>
              </w:r>
            </w:hyperlink>
          </w:p>
        </w:tc>
      </w:tr>
      <w:tr>
        <w:trPr>
          <w:trHeight w:val="88"/>
        </w:trPr>
        <w:tc>
          <w:tcPr>
            <w:tcW w:w="1200" w:type="dxa"/>
            <w:vAlign w:val="bottom"/>
          </w:tcPr>
          <w:p>
            <w:pPr>
              <w:spacing w:after="0"/>
              <w:rPr>
                <w:sz w:val="7"/>
                <w:szCs w:val="7"/>
                <w:color w:val="auto"/>
              </w:rPr>
            </w:pPr>
          </w:p>
        </w:tc>
        <w:tc>
          <w:tcPr>
            <w:tcW w:w="8340" w:type="dxa"/>
            <w:vAlign w:val="bottom"/>
            <w:tcBorders>
              <w:top w:val="single" w:sz="8" w:color="0000FF"/>
            </w:tcBorders>
            <w:gridSpan w:val="13"/>
          </w:tcPr>
          <w:p>
            <w:pPr>
              <w:ind w:left="20"/>
              <w:spacing w:after="0" w:line="88" w:lineRule="exact"/>
              <w:rPr>
                <w:rFonts w:ascii="Times New Roman" w:cs="Times New Roman" w:eastAsia="Times New Roman" w:hAnsi="Times New Roman"/>
                <w:sz w:val="10"/>
                <w:szCs w:val="10"/>
                <w:color w:val="0000FF"/>
              </w:rPr>
            </w:pPr>
            <w:hyperlink r:id="rId404">
              <w:r>
                <w:rPr>
                  <w:rFonts w:ascii="Times New Roman" w:cs="Times New Roman" w:eastAsia="Times New Roman" w:hAnsi="Times New Roman"/>
                  <w:sz w:val="10"/>
                  <w:szCs w:val="10"/>
                  <w:color w:val="0000FF"/>
                </w:rPr>
                <w:t>by reference to Exhibit 10.2.14 of the 2021 Form 10-K).</w:t>
              </w:r>
            </w:hyperlink>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2440" w:type="dxa"/>
            <w:vAlign w:val="bottom"/>
            <w:tcBorders>
              <w:right w:val="single" w:sz="8" w:color="0000FF"/>
            </w:tcBorders>
            <w:gridSpan w:val="8"/>
            <w:shd w:val="clear" w:color="auto" w:fill="0000FF"/>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4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10.2.19+</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w w:val="99"/>
              </w:rPr>
            </w:pPr>
            <w:hyperlink r:id="rId404">
              <w:r>
                <w:rPr>
                  <w:rFonts w:ascii="Times New Roman" w:cs="Times New Roman" w:eastAsia="Times New Roman" w:hAnsi="Times New Roman"/>
                  <w:sz w:val="11"/>
                  <w:szCs w:val="11"/>
                  <w:color w:val="0000FF"/>
                  <w:w w:val="99"/>
                </w:rPr>
                <w:t>Form of Restricted Stock Unit Award Agreements granted to our executive officers under the Sixth Amended and Restated 2004 Stock Incentive Plan on February 3, 2022 (incorporated by reference to Exhibit 10.2.14 of the 2021</w:t>
              </w:r>
            </w:hyperlink>
          </w:p>
        </w:tc>
      </w:tr>
      <w:tr>
        <w:trPr>
          <w:trHeight w:val="68"/>
        </w:trPr>
        <w:tc>
          <w:tcPr>
            <w:tcW w:w="1200" w:type="dxa"/>
            <w:vAlign w:val="bottom"/>
          </w:tcPr>
          <w:p>
            <w:pPr>
              <w:spacing w:after="0"/>
              <w:rPr>
                <w:sz w:val="5"/>
                <w:szCs w:val="5"/>
                <w:color w:val="auto"/>
              </w:rPr>
            </w:pPr>
          </w:p>
        </w:tc>
        <w:tc>
          <w:tcPr>
            <w:tcW w:w="560" w:type="dxa"/>
            <w:vAlign w:val="bottom"/>
            <w:tcBorders>
              <w:top w:val="single" w:sz="8" w:color="0000FF"/>
              <w:bottom w:val="single" w:sz="8" w:color="0000FF"/>
            </w:tcBorders>
            <w:gridSpan w:val="2"/>
          </w:tcPr>
          <w:p>
            <w:pPr>
              <w:ind w:left="20"/>
              <w:spacing w:after="0"/>
              <w:rPr>
                <w:rFonts w:ascii="Times New Roman" w:cs="Times New Roman" w:eastAsia="Times New Roman" w:hAnsi="Times New Roman"/>
                <w:sz w:val="6"/>
                <w:szCs w:val="6"/>
                <w:color w:val="0000FF"/>
              </w:rPr>
            </w:pPr>
            <w:hyperlink r:id="rId404">
              <w:r>
                <w:rPr>
                  <w:rFonts w:ascii="Times New Roman" w:cs="Times New Roman" w:eastAsia="Times New Roman" w:hAnsi="Times New Roman"/>
                  <w:sz w:val="6"/>
                  <w:szCs w:val="6"/>
                  <w:color w:val="0000FF"/>
                </w:rPr>
                <w:t>Form 10-K).</w:t>
              </w:r>
            </w:hyperlink>
          </w:p>
        </w:tc>
        <w:tc>
          <w:tcPr>
            <w:tcW w:w="3140" w:type="dxa"/>
            <w:vAlign w:val="bottom"/>
            <w:tcBorders>
              <w:top w:val="single" w:sz="8" w:color="0000FF"/>
            </w:tcBorders>
            <w:gridSpan w:val="7"/>
          </w:tcPr>
          <w:p>
            <w:pPr>
              <w:spacing w:after="0"/>
              <w:rPr>
                <w:sz w:val="5"/>
                <w:szCs w:val="5"/>
                <w:color w:val="auto"/>
              </w:rPr>
            </w:pPr>
          </w:p>
        </w:tc>
        <w:tc>
          <w:tcPr>
            <w:tcW w:w="4520" w:type="dxa"/>
            <w:vAlign w:val="bottom"/>
            <w:tcBorders>
              <w:top w:val="single" w:sz="8" w:color="0000FF"/>
            </w:tcBorders>
            <w:gridSpan w:val="3"/>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80" w:type="dxa"/>
            <w:vAlign w:val="bottom"/>
            <w:tcBorders>
              <w:top w:val="single" w:sz="8" w:color="0000FF"/>
            </w:tcBorders>
          </w:tcPr>
          <w:p>
            <w:pPr>
              <w:spacing w:after="0"/>
              <w:rPr>
                <w:sz w:val="5"/>
                <w:szCs w:val="5"/>
                <w:color w:val="auto"/>
              </w:rPr>
            </w:pPr>
          </w:p>
        </w:tc>
        <w:tc>
          <w:tcPr>
            <w:tcW w:w="520" w:type="dxa"/>
            <w:vAlign w:val="bottom"/>
            <w:tcBorders>
              <w:top w:val="single" w:sz="8" w:color="0000FF"/>
            </w:tcBorders>
          </w:tcPr>
          <w:p>
            <w:pPr>
              <w:spacing w:after="0"/>
              <w:rPr>
                <w:sz w:val="5"/>
                <w:szCs w:val="5"/>
                <w:color w:val="auto"/>
              </w:rPr>
            </w:pPr>
          </w:p>
        </w:tc>
        <w:tc>
          <w:tcPr>
            <w:tcW w:w="64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10.2.20+</w:t>
            </w:r>
          </w:p>
        </w:tc>
        <w:tc>
          <w:tcPr>
            <w:tcW w:w="10100" w:type="dxa"/>
            <w:vAlign w:val="bottom"/>
            <w:gridSpan w:val="17"/>
          </w:tcPr>
          <w:p>
            <w:pPr>
              <w:ind w:left="20"/>
              <w:spacing w:after="0" w:line="124" w:lineRule="exact"/>
              <w:rPr>
                <w:rFonts w:ascii="Times New Roman" w:cs="Times New Roman" w:eastAsia="Times New Roman" w:hAnsi="Times New Roman"/>
                <w:sz w:val="11"/>
                <w:szCs w:val="11"/>
                <w:color w:val="0000FF"/>
              </w:rPr>
            </w:pPr>
            <w:hyperlink r:id="rId405">
              <w:r>
                <w:rPr>
                  <w:rFonts w:ascii="Times New Roman" w:cs="Times New Roman" w:eastAsia="Times New Roman" w:hAnsi="Times New Roman"/>
                  <w:sz w:val="11"/>
                  <w:szCs w:val="11"/>
                  <w:color w:val="0000FF"/>
                </w:rPr>
                <w:t>Form of Total Shareholder Return Performance Unit Award Agreement granted to our Chief Executive Officer under the Sixth Amended and Restated 2004 Stock Incentive Plan on February 3, 2022 (incorporated by reference to</w:t>
              </w:r>
            </w:hyperlink>
          </w:p>
        </w:tc>
      </w:tr>
      <w:tr>
        <w:trPr>
          <w:trHeight w:val="88"/>
        </w:trPr>
        <w:tc>
          <w:tcPr>
            <w:tcW w:w="1200" w:type="dxa"/>
            <w:vAlign w:val="bottom"/>
          </w:tcPr>
          <w:p>
            <w:pPr>
              <w:spacing w:after="0"/>
              <w:rPr>
                <w:sz w:val="7"/>
                <w:szCs w:val="7"/>
                <w:color w:val="auto"/>
              </w:rPr>
            </w:pPr>
          </w:p>
        </w:tc>
        <w:tc>
          <w:tcPr>
            <w:tcW w:w="1780" w:type="dxa"/>
            <w:vAlign w:val="bottom"/>
            <w:tcBorders>
              <w:top w:val="single" w:sz="8" w:color="0000FF"/>
              <w:bottom w:val="single" w:sz="8" w:color="0000FF"/>
            </w:tcBorders>
            <w:gridSpan w:val="4"/>
          </w:tcPr>
          <w:p>
            <w:pPr>
              <w:ind w:left="20"/>
              <w:spacing w:after="0" w:line="88" w:lineRule="exact"/>
              <w:rPr>
                <w:rFonts w:ascii="Times New Roman" w:cs="Times New Roman" w:eastAsia="Times New Roman" w:hAnsi="Times New Roman"/>
                <w:sz w:val="10"/>
                <w:szCs w:val="10"/>
                <w:color w:val="0000FF"/>
              </w:rPr>
            </w:pPr>
            <w:hyperlink r:id="rId405">
              <w:r>
                <w:rPr>
                  <w:rFonts w:ascii="Times New Roman" w:cs="Times New Roman" w:eastAsia="Times New Roman" w:hAnsi="Times New Roman"/>
                  <w:sz w:val="10"/>
                  <w:szCs w:val="10"/>
                  <w:color w:val="0000FF"/>
                </w:rPr>
                <w:t>Exhibit 10.2.15 of the 2021 Form 10-K).</w:t>
              </w:r>
            </w:hyperlink>
          </w:p>
        </w:tc>
        <w:tc>
          <w:tcPr>
            <w:tcW w:w="6560" w:type="dxa"/>
            <w:vAlign w:val="bottom"/>
            <w:tcBorders>
              <w:top w:val="single" w:sz="8" w:color="0000FF"/>
            </w:tcBorders>
            <w:gridSpan w:val="9"/>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3"/>
              </w:rPr>
              <w:t>10.2.21*+</w:t>
            </w:r>
          </w:p>
        </w:tc>
        <w:tc>
          <w:tcPr>
            <w:tcW w:w="10100" w:type="dxa"/>
            <w:vAlign w:val="bottom"/>
            <w:gridSpan w:val="17"/>
          </w:tcPr>
          <w:p>
            <w:pPr>
              <w:ind w:left="20"/>
              <w:spacing w:after="0" w:line="124" w:lineRule="exact"/>
              <w:rPr>
                <w:sz w:val="20"/>
                <w:szCs w:val="20"/>
                <w:color w:val="auto"/>
              </w:rPr>
            </w:pPr>
            <w:r>
              <w:rPr>
                <w:rFonts w:ascii="Times New Roman" w:cs="Times New Roman" w:eastAsia="Times New Roman" w:hAnsi="Times New Roman"/>
                <w:sz w:val="11"/>
                <w:szCs w:val="11"/>
                <w:color w:val="0000FF"/>
              </w:rPr>
              <w:t>Form of Restricted Stock Unit Award Agreement, dated January 26, 2023, by and between Capital One Financial Corporation and Richard D. Fairbank under the Sixth Amended and Restated 2004 Stock Incentive Plan.</w:t>
            </w: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3"/>
              </w:rPr>
              <w:t>10.2.22*+</w:t>
            </w:r>
          </w:p>
        </w:tc>
        <w:tc>
          <w:tcPr>
            <w:tcW w:w="9440" w:type="dxa"/>
            <w:vAlign w:val="bottom"/>
            <w:tcBorders>
              <w:top w:val="single" w:sz="8" w:color="0000FF"/>
            </w:tcBorders>
            <w:gridSpan w:val="15"/>
          </w:tcPr>
          <w:p>
            <w:pPr>
              <w:ind w:left="20"/>
              <w:spacing w:after="0" w:line="124" w:lineRule="exact"/>
              <w:rPr>
                <w:sz w:val="20"/>
                <w:szCs w:val="20"/>
                <w:color w:val="auto"/>
              </w:rPr>
            </w:pPr>
            <w:r>
              <w:rPr>
                <w:rFonts w:ascii="Times New Roman" w:cs="Times New Roman" w:eastAsia="Times New Roman" w:hAnsi="Times New Roman"/>
                <w:sz w:val="11"/>
                <w:szCs w:val="11"/>
                <w:color w:val="0000FF"/>
              </w:rPr>
              <w:t>Performance Unit Award Agreement, dated January 26, 2023, by and between Capital One Financial Corporation and Richard D. Fairbank under the Sixth Amended and Restated 2004 Stock Incentive Plan.</w:t>
            </w:r>
          </w:p>
        </w:tc>
        <w:tc>
          <w:tcPr>
            <w:tcW w:w="660" w:type="dxa"/>
            <w:vAlign w:val="bottom"/>
            <w:gridSpan w:val="2"/>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3"/>
              </w:rPr>
              <w:t>10.2.23*+</w:t>
            </w:r>
          </w:p>
        </w:tc>
        <w:tc>
          <w:tcPr>
            <w:tcW w:w="8340" w:type="dxa"/>
            <w:vAlign w:val="bottom"/>
            <w:tcBorders>
              <w:top w:val="single" w:sz="8" w:color="0000FF"/>
            </w:tcBorders>
            <w:gridSpan w:val="13"/>
          </w:tcPr>
          <w:p>
            <w:pPr>
              <w:ind w:left="20"/>
              <w:spacing w:after="0" w:line="124" w:lineRule="exact"/>
              <w:rPr>
                <w:sz w:val="20"/>
                <w:szCs w:val="20"/>
                <w:color w:val="auto"/>
              </w:rPr>
            </w:pPr>
            <w:r>
              <w:rPr>
                <w:rFonts w:ascii="Times New Roman" w:cs="Times New Roman" w:eastAsia="Times New Roman" w:hAnsi="Times New Roman"/>
                <w:sz w:val="11"/>
                <w:szCs w:val="11"/>
                <w:color w:val="0000FF"/>
                <w:w w:val="99"/>
              </w:rPr>
              <w:t>Total Shareholder Return Performance Unit Award Agreement granted to our Chief Executive Officer under the Sixth Amended and Restated 2004 Stock Incentive Plan on January 26, 2023.</w:t>
            </w:r>
          </w:p>
        </w:tc>
        <w:tc>
          <w:tcPr>
            <w:tcW w:w="580" w:type="dxa"/>
            <w:vAlign w:val="bottom"/>
            <w:tcBorders>
              <w:top w:val="single" w:sz="8" w:color="0000FF"/>
            </w:tcBorders>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674"/>
        </w:trPr>
        <w:tc>
          <w:tcPr>
            <w:tcW w:w="1200" w:type="dxa"/>
            <w:vAlign w:val="bottom"/>
          </w:tcPr>
          <w:p>
            <w:pPr>
              <w:spacing w:after="0"/>
              <w:rPr>
                <w:sz w:val="24"/>
                <w:szCs w:val="24"/>
                <w:color w:val="auto"/>
              </w:rPr>
            </w:pPr>
          </w:p>
        </w:tc>
        <w:tc>
          <w:tcPr>
            <w:tcW w:w="6840" w:type="dxa"/>
            <w:vAlign w:val="bottom"/>
            <w:tcBorders>
              <w:top w:val="single" w:sz="8" w:color="0000FF"/>
            </w:tcBorders>
            <w:gridSpan w:val="11"/>
          </w:tcPr>
          <w:p>
            <w:pPr>
              <w:ind w:left="4360"/>
              <w:spacing w:after="0"/>
              <w:rPr>
                <w:sz w:val="20"/>
                <w:szCs w:val="20"/>
                <w:color w:val="auto"/>
              </w:rPr>
            </w:pPr>
            <w:r>
              <w:rPr>
                <w:rFonts w:ascii="Times New Roman" w:cs="Times New Roman" w:eastAsia="Times New Roman" w:hAnsi="Times New Roman"/>
                <w:sz w:val="10"/>
                <w:szCs w:val="10"/>
                <w:color w:val="auto"/>
              </w:rPr>
              <w:t>211</w:t>
            </w:r>
          </w:p>
        </w:tc>
        <w:tc>
          <w:tcPr>
            <w:tcW w:w="13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24"/>
        </w:trPr>
        <w:tc>
          <w:tcPr>
            <w:tcW w:w="12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94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3"/>
              </w:rPr>
              <w:t>10.2.24*+</w:t>
            </w: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1"/>
                <w:szCs w:val="11"/>
                <w:color w:val="0000FF"/>
              </w:rPr>
              <w:t>Form of Restricted Stock Unit Award Agreements granted to our executive officers under the Sixth Amended and Restated 2004 Stock Incentive Plan on January 26, 2023</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3"/>
              </w:rPr>
              <w:t>10.2.25*+</w:t>
            </w:r>
          </w:p>
        </w:tc>
        <w:tc>
          <w:tcPr>
            <w:tcW w:w="7380" w:type="dxa"/>
            <w:vAlign w:val="bottom"/>
            <w:tcBorders>
              <w:top w:val="single" w:sz="8" w:color="0000FF"/>
            </w:tcBorders>
            <w:gridSpan w:val="15"/>
          </w:tcPr>
          <w:p>
            <w:pPr>
              <w:ind w:left="20"/>
              <w:spacing w:after="0" w:line="124" w:lineRule="exact"/>
              <w:rPr>
                <w:sz w:val="20"/>
                <w:szCs w:val="20"/>
                <w:color w:val="auto"/>
              </w:rPr>
            </w:pPr>
            <w:r>
              <w:rPr>
                <w:rFonts w:ascii="Times New Roman" w:cs="Times New Roman" w:eastAsia="Times New Roman" w:hAnsi="Times New Roman"/>
                <w:sz w:val="11"/>
                <w:szCs w:val="11"/>
                <w:color w:val="0000FF"/>
                <w:w w:val="99"/>
              </w:rPr>
              <w:t>Form of Performance Unit Award Agreements granted to our executive officers under the Sixth Amended and Restated 2004 Stock Incentive Plan on January 26, 2023</w:t>
            </w:r>
          </w:p>
        </w:tc>
        <w:tc>
          <w:tcPr>
            <w:tcW w:w="1020" w:type="dxa"/>
            <w:vAlign w:val="bottom"/>
            <w:gridSpan w:val="3"/>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3"/>
              </w:rPr>
              <w:t>10.2.26*+</w:t>
            </w:r>
          </w:p>
        </w:tc>
        <w:tc>
          <w:tcPr>
            <w:tcW w:w="10100" w:type="dxa"/>
            <w:vAlign w:val="bottom"/>
            <w:gridSpan w:val="26"/>
          </w:tcPr>
          <w:p>
            <w:pPr>
              <w:ind w:left="20"/>
              <w:spacing w:after="0" w:line="124" w:lineRule="exact"/>
              <w:rPr>
                <w:sz w:val="20"/>
                <w:szCs w:val="20"/>
                <w:color w:val="auto"/>
              </w:rPr>
            </w:pPr>
            <w:r>
              <w:rPr>
                <w:rFonts w:ascii="Times New Roman" w:cs="Times New Roman" w:eastAsia="Times New Roman" w:hAnsi="Times New Roman"/>
                <w:sz w:val="11"/>
                <w:szCs w:val="11"/>
                <w:color w:val="0000FF"/>
              </w:rPr>
              <w:t>Restricted Stock Unit Award Agreement, dated January 31, 2022, by and between Capital One Financial Corporation and Neal Blinde under the Sixth Amended and Restated 2004 Stock Incentive Plan.</w:t>
            </w: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3"/>
              </w:rPr>
              <w:t>10.2.27*+</w:t>
            </w:r>
          </w:p>
        </w:tc>
        <w:tc>
          <w:tcPr>
            <w:tcW w:w="10100" w:type="dxa"/>
            <w:vAlign w:val="bottom"/>
            <w:gridSpan w:val="26"/>
          </w:tcPr>
          <w:p>
            <w:pPr>
              <w:ind w:left="20"/>
              <w:spacing w:after="0" w:line="124" w:lineRule="exact"/>
              <w:rPr>
                <w:sz w:val="20"/>
                <w:szCs w:val="20"/>
                <w:color w:val="auto"/>
              </w:rPr>
            </w:pPr>
            <w:r>
              <w:rPr>
                <w:rFonts w:ascii="Times New Roman" w:cs="Times New Roman" w:eastAsia="Times New Roman" w:hAnsi="Times New Roman"/>
                <w:sz w:val="11"/>
                <w:szCs w:val="11"/>
                <w:color w:val="0000FF"/>
              </w:rPr>
              <w:t>Restricted Stock Unit Award Agreement, dated January 31, 2022, by and between Capital One Financial Corporation and Neal Blinde under the Sixth Amended and Restated 2004 Stock Incentive Plan.</w:t>
            </w: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3"/>
              </w:rPr>
              <w:t>10.2.28*+</w:t>
            </w:r>
          </w:p>
        </w:tc>
        <w:tc>
          <w:tcPr>
            <w:tcW w:w="10100" w:type="dxa"/>
            <w:vAlign w:val="bottom"/>
            <w:gridSpan w:val="26"/>
          </w:tcPr>
          <w:p>
            <w:pPr>
              <w:ind w:left="20"/>
              <w:spacing w:after="0" w:line="124" w:lineRule="exact"/>
              <w:rPr>
                <w:sz w:val="20"/>
                <w:szCs w:val="20"/>
                <w:color w:val="auto"/>
              </w:rPr>
            </w:pPr>
            <w:r>
              <w:rPr>
                <w:rFonts w:ascii="Times New Roman" w:cs="Times New Roman" w:eastAsia="Times New Roman" w:hAnsi="Times New Roman"/>
                <w:sz w:val="11"/>
                <w:szCs w:val="11"/>
                <w:color w:val="0000FF"/>
              </w:rPr>
              <w:t>Restricted Stock Unit Award Agreement, dated January 31, 2022, by and between Capital One Financial Corporation and Neal Blinde under the Sixth Amended and Restated 2004 Stock Incentive Plan.</w:t>
            </w: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10.3.1+</w:t>
            </w:r>
          </w:p>
        </w:tc>
        <w:tc>
          <w:tcPr>
            <w:tcW w:w="8400" w:type="dxa"/>
            <w:vAlign w:val="bottom"/>
            <w:tcBorders>
              <w:top w:val="single" w:sz="8" w:color="0000FF"/>
            </w:tcBorders>
            <w:gridSpan w:val="18"/>
          </w:tcPr>
          <w:p>
            <w:pPr>
              <w:ind w:left="20"/>
              <w:spacing w:after="0" w:line="124" w:lineRule="exact"/>
              <w:rPr>
                <w:rFonts w:ascii="Times New Roman" w:cs="Times New Roman" w:eastAsia="Times New Roman" w:hAnsi="Times New Roman"/>
                <w:sz w:val="11"/>
                <w:szCs w:val="11"/>
                <w:color w:val="0000FF"/>
              </w:rPr>
            </w:pPr>
            <w:hyperlink r:id="rId408">
              <w:r>
                <w:rPr>
                  <w:rFonts w:ascii="Times New Roman" w:cs="Times New Roman" w:eastAsia="Times New Roman" w:hAnsi="Times New Roman"/>
                  <w:sz w:val="11"/>
                  <w:szCs w:val="11"/>
                  <w:color w:val="0000FF"/>
                </w:rPr>
                <w:t>Capital One Financial Corporation 1999 Non-Employee Directors Stock Incentive Plan, as amended (incorporated by reference to Exhibit 10.4 of the 2002 Form 10-K).</w:t>
              </w:r>
            </w:hyperlink>
          </w:p>
        </w:tc>
        <w:tc>
          <w:tcPr>
            <w:tcW w:w="30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10.3.2+</w:t>
            </w:r>
          </w:p>
        </w:tc>
        <w:tc>
          <w:tcPr>
            <w:tcW w:w="10100" w:type="dxa"/>
            <w:vAlign w:val="bottom"/>
            <w:gridSpan w:val="26"/>
          </w:tcPr>
          <w:p>
            <w:pPr>
              <w:ind w:left="20"/>
              <w:spacing w:after="0" w:line="124" w:lineRule="exact"/>
              <w:rPr>
                <w:rFonts w:ascii="Times New Roman" w:cs="Times New Roman" w:eastAsia="Times New Roman" w:hAnsi="Times New Roman"/>
                <w:sz w:val="11"/>
                <w:szCs w:val="11"/>
                <w:color w:val="0000FF"/>
                <w:w w:val="98"/>
              </w:rPr>
            </w:pPr>
            <w:hyperlink r:id="rId409">
              <w:r>
                <w:rPr>
                  <w:rFonts w:ascii="Times New Roman" w:cs="Times New Roman" w:eastAsia="Times New Roman" w:hAnsi="Times New Roman"/>
                  <w:sz w:val="11"/>
                  <w:szCs w:val="11"/>
                  <w:color w:val="0000FF"/>
                  <w:w w:val="98"/>
                </w:rPr>
                <w:t>Form of 1999 Non-Employee Directors Stock Incentive Plan Deferred Share Units Award Agreement between Capital One Financial Corporation and certain of its Directors (incorporated by reference to Exhibit 10.3 of the Quarterly</w:t>
              </w:r>
            </w:hyperlink>
          </w:p>
        </w:tc>
      </w:tr>
      <w:tr>
        <w:trPr>
          <w:trHeight w:val="88"/>
        </w:trPr>
        <w:tc>
          <w:tcPr>
            <w:tcW w:w="1200" w:type="dxa"/>
            <w:vAlign w:val="bottom"/>
          </w:tcPr>
          <w:p>
            <w:pPr>
              <w:spacing w:after="0"/>
              <w:rPr>
                <w:sz w:val="7"/>
                <w:szCs w:val="7"/>
                <w:color w:val="auto"/>
              </w:rPr>
            </w:pPr>
          </w:p>
        </w:tc>
        <w:tc>
          <w:tcPr>
            <w:tcW w:w="8400" w:type="dxa"/>
            <w:vAlign w:val="bottom"/>
            <w:tcBorders>
              <w:top w:val="single" w:sz="8" w:color="0000FF"/>
            </w:tcBorders>
            <w:gridSpan w:val="18"/>
          </w:tcPr>
          <w:p>
            <w:pPr>
              <w:ind w:left="20"/>
              <w:spacing w:after="0" w:line="88" w:lineRule="exact"/>
              <w:rPr>
                <w:rFonts w:ascii="Times New Roman" w:cs="Times New Roman" w:eastAsia="Times New Roman" w:hAnsi="Times New Roman"/>
                <w:sz w:val="10"/>
                <w:szCs w:val="10"/>
                <w:color w:val="0000FF"/>
              </w:rPr>
            </w:pPr>
            <w:hyperlink r:id="rId409">
              <w:r>
                <w:rPr>
                  <w:rFonts w:ascii="Times New Roman" w:cs="Times New Roman" w:eastAsia="Times New Roman" w:hAnsi="Times New Roman"/>
                  <w:sz w:val="10"/>
                  <w:szCs w:val="10"/>
                  <w:color w:val="0000FF"/>
                </w:rPr>
                <w:t>Report on Form 10-Q for the period ended September 30, 2004).</w:t>
              </w:r>
            </w:hyperlink>
          </w:p>
        </w:tc>
        <w:tc>
          <w:tcPr>
            <w:tcW w:w="3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9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10.3.3+</w:t>
            </w:r>
          </w:p>
        </w:tc>
        <w:tc>
          <w:tcPr>
            <w:tcW w:w="9160" w:type="dxa"/>
            <w:vAlign w:val="bottom"/>
            <w:tcBorders>
              <w:bottom w:val="single" w:sz="8" w:color="0000FF"/>
            </w:tcBorders>
            <w:gridSpan w:val="24"/>
          </w:tcPr>
          <w:p>
            <w:pPr>
              <w:ind w:left="20"/>
              <w:spacing w:after="0" w:line="124" w:lineRule="exact"/>
              <w:rPr>
                <w:rFonts w:ascii="Times New Roman" w:cs="Times New Roman" w:eastAsia="Times New Roman" w:hAnsi="Times New Roman"/>
                <w:sz w:val="11"/>
                <w:szCs w:val="11"/>
                <w:color w:val="0000FF"/>
                <w:w w:val="97"/>
              </w:rPr>
            </w:pPr>
            <w:hyperlink r:id="rId410">
              <w:r>
                <w:rPr>
                  <w:rFonts w:ascii="Times New Roman" w:cs="Times New Roman" w:eastAsia="Times New Roman" w:hAnsi="Times New Roman"/>
                  <w:sz w:val="11"/>
                  <w:szCs w:val="11"/>
                  <w:color w:val="0000FF"/>
                  <w:w w:val="97"/>
                </w:rPr>
                <w:t>Form of Restricted Stock Unit Award Agreement granted to our directors under the Second Amended and Restated 2004 Stock Incentive Plan (incorporated by reference to Exhibit 10.3.4 of the 2011 Form 10-K).</w:t>
              </w:r>
            </w:hyperlink>
          </w:p>
        </w:tc>
        <w:tc>
          <w:tcPr>
            <w:tcW w:w="940" w:type="dxa"/>
            <w:vAlign w:val="bottom"/>
            <w:gridSpan w:val="2"/>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10.3.4+</w:t>
            </w:r>
          </w:p>
        </w:tc>
        <w:tc>
          <w:tcPr>
            <w:tcW w:w="10100" w:type="dxa"/>
            <w:vAlign w:val="bottom"/>
            <w:gridSpan w:val="26"/>
          </w:tcPr>
          <w:p>
            <w:pPr>
              <w:ind w:left="20"/>
              <w:spacing w:after="0" w:line="124" w:lineRule="exact"/>
              <w:rPr>
                <w:rFonts w:ascii="Times New Roman" w:cs="Times New Roman" w:eastAsia="Times New Roman" w:hAnsi="Times New Roman"/>
                <w:sz w:val="11"/>
                <w:szCs w:val="11"/>
                <w:color w:val="0000FF"/>
                <w:w w:val="99"/>
              </w:rPr>
            </w:pPr>
            <w:hyperlink r:id="rId411">
              <w:r>
                <w:rPr>
                  <w:rFonts w:ascii="Times New Roman" w:cs="Times New Roman" w:eastAsia="Times New Roman" w:hAnsi="Times New Roman"/>
                  <w:sz w:val="11"/>
                  <w:szCs w:val="11"/>
                  <w:color w:val="0000FF"/>
                  <w:w w:val="99"/>
                </w:rPr>
                <w:t>Form of Restricted Stock Unit Award Agreement granted to our directors under the Fourth Amended and Restated 2004 Stock Incentive Plan (incorporated by reference to Exhibit 10.1 of the Quarterly Report on Form 10-Q for the</w:t>
              </w:r>
            </w:hyperlink>
          </w:p>
        </w:tc>
      </w:tr>
      <w:tr>
        <w:trPr>
          <w:trHeight w:val="88"/>
        </w:trPr>
        <w:tc>
          <w:tcPr>
            <w:tcW w:w="1200" w:type="dxa"/>
            <w:vAlign w:val="bottom"/>
          </w:tcPr>
          <w:p>
            <w:pPr>
              <w:spacing w:after="0"/>
              <w:rPr>
                <w:sz w:val="7"/>
                <w:szCs w:val="7"/>
                <w:color w:val="auto"/>
              </w:rPr>
            </w:pPr>
          </w:p>
        </w:tc>
        <w:tc>
          <w:tcPr>
            <w:tcW w:w="8400" w:type="dxa"/>
            <w:vAlign w:val="bottom"/>
            <w:tcBorders>
              <w:top w:val="single" w:sz="8" w:color="0000FF"/>
            </w:tcBorders>
            <w:gridSpan w:val="18"/>
          </w:tcPr>
          <w:p>
            <w:pPr>
              <w:ind w:left="20"/>
              <w:spacing w:after="0" w:line="88" w:lineRule="exact"/>
              <w:rPr>
                <w:rFonts w:ascii="Times New Roman" w:cs="Times New Roman" w:eastAsia="Times New Roman" w:hAnsi="Times New Roman"/>
                <w:sz w:val="10"/>
                <w:szCs w:val="10"/>
                <w:color w:val="0000FF"/>
              </w:rPr>
            </w:pPr>
            <w:hyperlink r:id="rId411">
              <w:r>
                <w:rPr>
                  <w:rFonts w:ascii="Times New Roman" w:cs="Times New Roman" w:eastAsia="Times New Roman" w:hAnsi="Times New Roman"/>
                  <w:sz w:val="10"/>
                  <w:szCs w:val="10"/>
                  <w:color w:val="0000FF"/>
                </w:rPr>
                <w:t>period ended June 30, 2018).</w:t>
              </w:r>
            </w:hyperlink>
          </w:p>
        </w:tc>
        <w:tc>
          <w:tcPr>
            <w:tcW w:w="3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9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10.3.5+</w:t>
            </w:r>
          </w:p>
        </w:tc>
        <w:tc>
          <w:tcPr>
            <w:tcW w:w="10100" w:type="dxa"/>
            <w:vAlign w:val="bottom"/>
            <w:gridSpan w:val="26"/>
          </w:tcPr>
          <w:p>
            <w:pPr>
              <w:ind w:left="20"/>
              <w:spacing w:after="0" w:line="124" w:lineRule="exact"/>
              <w:rPr>
                <w:rFonts w:ascii="Times New Roman" w:cs="Times New Roman" w:eastAsia="Times New Roman" w:hAnsi="Times New Roman"/>
                <w:sz w:val="11"/>
                <w:szCs w:val="11"/>
                <w:color w:val="0000FF"/>
              </w:rPr>
            </w:pPr>
            <w:hyperlink r:id="rId412">
              <w:r>
                <w:rPr>
                  <w:rFonts w:ascii="Times New Roman" w:cs="Times New Roman" w:eastAsia="Times New Roman" w:hAnsi="Times New Roman"/>
                  <w:sz w:val="11"/>
                  <w:szCs w:val="11"/>
                  <w:color w:val="0000FF"/>
                </w:rPr>
                <w:t>Form of Restricted Stock Unit Award Agreement granted to our directors under the Fifth Amended and Restated 2004 Stock Incentive Plan (incorporated by reference to Exhibit 10.2 of the Quarterly Report on Form 10-Q for the</w:t>
              </w:r>
            </w:hyperlink>
          </w:p>
        </w:tc>
      </w:tr>
      <w:tr>
        <w:trPr>
          <w:trHeight w:val="88"/>
        </w:trPr>
        <w:tc>
          <w:tcPr>
            <w:tcW w:w="1200" w:type="dxa"/>
            <w:vAlign w:val="bottom"/>
          </w:tcPr>
          <w:p>
            <w:pPr>
              <w:spacing w:after="0"/>
              <w:rPr>
                <w:sz w:val="7"/>
                <w:szCs w:val="7"/>
                <w:color w:val="auto"/>
              </w:rPr>
            </w:pPr>
          </w:p>
        </w:tc>
        <w:tc>
          <w:tcPr>
            <w:tcW w:w="8400" w:type="dxa"/>
            <w:vAlign w:val="bottom"/>
            <w:tcBorders>
              <w:top w:val="single" w:sz="8" w:color="0000FF"/>
            </w:tcBorders>
            <w:gridSpan w:val="18"/>
          </w:tcPr>
          <w:p>
            <w:pPr>
              <w:ind w:left="20"/>
              <w:spacing w:after="0" w:line="88" w:lineRule="exact"/>
              <w:rPr>
                <w:rFonts w:ascii="Times New Roman" w:cs="Times New Roman" w:eastAsia="Times New Roman" w:hAnsi="Times New Roman"/>
                <w:sz w:val="10"/>
                <w:szCs w:val="10"/>
                <w:color w:val="0000FF"/>
              </w:rPr>
            </w:pPr>
            <w:hyperlink r:id="rId412">
              <w:r>
                <w:rPr>
                  <w:rFonts w:ascii="Times New Roman" w:cs="Times New Roman" w:eastAsia="Times New Roman" w:hAnsi="Times New Roman"/>
                  <w:sz w:val="10"/>
                  <w:szCs w:val="10"/>
                  <w:color w:val="0000FF"/>
                </w:rPr>
                <w:t>period ended June 30, 2019).</w:t>
              </w:r>
            </w:hyperlink>
          </w:p>
        </w:tc>
        <w:tc>
          <w:tcPr>
            <w:tcW w:w="3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9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10.3.6+</w:t>
            </w:r>
          </w:p>
        </w:tc>
        <w:tc>
          <w:tcPr>
            <w:tcW w:w="10100" w:type="dxa"/>
            <w:vAlign w:val="bottom"/>
            <w:gridSpan w:val="26"/>
          </w:tcPr>
          <w:p>
            <w:pPr>
              <w:ind w:left="20"/>
              <w:spacing w:after="0" w:line="124" w:lineRule="exact"/>
              <w:rPr>
                <w:rFonts w:ascii="Times New Roman" w:cs="Times New Roman" w:eastAsia="Times New Roman" w:hAnsi="Times New Roman"/>
                <w:sz w:val="11"/>
                <w:szCs w:val="11"/>
                <w:color w:val="0000FF"/>
                <w:w w:val="99"/>
              </w:rPr>
            </w:pPr>
            <w:hyperlink r:id="rId413">
              <w:r>
                <w:rPr>
                  <w:rFonts w:ascii="Times New Roman" w:cs="Times New Roman" w:eastAsia="Times New Roman" w:hAnsi="Times New Roman"/>
                  <w:sz w:val="11"/>
                  <w:szCs w:val="11"/>
                  <w:color w:val="0000FF"/>
                  <w:w w:val="99"/>
                </w:rPr>
                <w:t>Form of Restricted Stock Unit Award Agreement granted to our directors under the Sixth Amended and Restated 2004 Stock Incentive Plan (incorporated by reference to Exhibit 10.1 of the Quarterly Report on Form 10-Q for the</w:t>
              </w:r>
            </w:hyperlink>
          </w:p>
        </w:tc>
      </w:tr>
      <w:tr>
        <w:trPr>
          <w:trHeight w:val="68"/>
        </w:trPr>
        <w:tc>
          <w:tcPr>
            <w:tcW w:w="1200" w:type="dxa"/>
            <w:vAlign w:val="bottom"/>
          </w:tcPr>
          <w:p>
            <w:pPr>
              <w:spacing w:after="0"/>
              <w:rPr>
                <w:sz w:val="5"/>
                <w:szCs w:val="5"/>
                <w:color w:val="auto"/>
              </w:rPr>
            </w:pPr>
          </w:p>
        </w:tc>
        <w:tc>
          <w:tcPr>
            <w:tcW w:w="6180" w:type="dxa"/>
            <w:vAlign w:val="bottom"/>
            <w:tcBorders>
              <w:top w:val="single" w:sz="8" w:color="0000FF"/>
            </w:tcBorders>
            <w:gridSpan w:val="11"/>
          </w:tcPr>
          <w:p>
            <w:pPr>
              <w:ind w:left="20"/>
              <w:spacing w:after="0"/>
              <w:rPr>
                <w:rFonts w:ascii="Times New Roman" w:cs="Times New Roman" w:eastAsia="Times New Roman" w:hAnsi="Times New Roman"/>
                <w:sz w:val="6"/>
                <w:szCs w:val="6"/>
                <w:color w:val="0000FF"/>
              </w:rPr>
            </w:pPr>
            <w:hyperlink r:id="rId413">
              <w:r>
                <w:rPr>
                  <w:rFonts w:ascii="Times New Roman" w:cs="Times New Roman" w:eastAsia="Times New Roman" w:hAnsi="Times New Roman"/>
                  <w:sz w:val="6"/>
                  <w:szCs w:val="6"/>
                  <w:color w:val="0000FF"/>
                </w:rPr>
                <w:t>period ended June 30, 2022)</w:t>
              </w:r>
              <w:r>
                <w:rPr>
                  <w:rFonts w:ascii="Times New Roman" w:cs="Times New Roman" w:eastAsia="Times New Roman" w:hAnsi="Times New Roman"/>
                  <w:sz w:val="6"/>
                  <w:szCs w:val="6"/>
                  <w:u w:val="single" w:color="auto"/>
                  <w:color w:val="0000FF"/>
                </w:rPr>
                <w:t>.</w:t>
              </w:r>
            </w:hyperlink>
          </w:p>
        </w:tc>
        <w:tc>
          <w:tcPr>
            <w:tcW w:w="660" w:type="dxa"/>
            <w:vAlign w:val="bottom"/>
            <w:tcBorders>
              <w:top w:val="single" w:sz="8" w:color="0000FF"/>
            </w:tcBorders>
          </w:tcPr>
          <w:p>
            <w:pPr>
              <w:spacing w:after="0"/>
              <w:rPr>
                <w:sz w:val="5"/>
                <w:szCs w:val="5"/>
                <w:color w:val="auto"/>
              </w:rPr>
            </w:pPr>
          </w:p>
        </w:tc>
        <w:tc>
          <w:tcPr>
            <w:tcW w:w="1020" w:type="dxa"/>
            <w:vAlign w:val="bottom"/>
            <w:tcBorders>
              <w:top w:val="single" w:sz="8" w:color="0000FF"/>
            </w:tcBorders>
            <w:gridSpan w:val="4"/>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9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10.4.1+</w:t>
            </w:r>
          </w:p>
        </w:tc>
        <w:tc>
          <w:tcPr>
            <w:tcW w:w="10100" w:type="dxa"/>
            <w:vAlign w:val="bottom"/>
            <w:gridSpan w:val="26"/>
          </w:tcPr>
          <w:p>
            <w:pPr>
              <w:ind w:left="20"/>
              <w:spacing w:after="0" w:line="124" w:lineRule="exact"/>
              <w:rPr>
                <w:rFonts w:ascii="Times New Roman" w:cs="Times New Roman" w:eastAsia="Times New Roman" w:hAnsi="Times New Roman"/>
                <w:sz w:val="11"/>
                <w:szCs w:val="11"/>
                <w:color w:val="0000FF"/>
              </w:rPr>
            </w:pPr>
            <w:hyperlink r:id="rId414">
              <w:r>
                <w:rPr>
                  <w:rFonts w:ascii="Times New Roman" w:cs="Times New Roman" w:eastAsia="Times New Roman" w:hAnsi="Times New Roman"/>
                  <w:sz w:val="11"/>
                  <w:szCs w:val="11"/>
                  <w:color w:val="0000FF"/>
                </w:rPr>
                <w:t>Amended and Restated Capital One Financial Corporation Executive Severance Plan (incorporated by reference to Exhibit 10.1 of the Quarterly Report on Form 10-Q for the period ended September 30, 2015).</w:t>
              </w:r>
            </w:hyperlink>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10.4.2*+</w:t>
            </w:r>
          </w:p>
        </w:tc>
        <w:tc>
          <w:tcPr>
            <w:tcW w:w="8400" w:type="dxa"/>
            <w:vAlign w:val="bottom"/>
            <w:tcBorders>
              <w:top w:val="single" w:sz="8" w:color="0000FF"/>
            </w:tcBorders>
            <w:gridSpan w:val="18"/>
          </w:tcPr>
          <w:p>
            <w:pPr>
              <w:ind w:left="20"/>
              <w:spacing w:after="0" w:line="124" w:lineRule="exact"/>
              <w:rPr>
                <w:sz w:val="20"/>
                <w:szCs w:val="20"/>
                <w:color w:val="auto"/>
              </w:rPr>
            </w:pPr>
            <w:r>
              <w:rPr>
                <w:rFonts w:ascii="Times New Roman" w:cs="Times New Roman" w:eastAsia="Times New Roman" w:hAnsi="Times New Roman"/>
                <w:sz w:val="11"/>
                <w:szCs w:val="11"/>
                <w:color w:val="0000FF"/>
              </w:rPr>
              <w:t>Amended and Restated Capital One Financial Corporation Executive Severance Plan</w:t>
            </w:r>
          </w:p>
        </w:tc>
        <w:tc>
          <w:tcPr>
            <w:tcW w:w="3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10.4.3*+</w:t>
            </w:r>
          </w:p>
        </w:tc>
        <w:tc>
          <w:tcPr>
            <w:tcW w:w="8400" w:type="dxa"/>
            <w:vAlign w:val="bottom"/>
            <w:gridSpan w:val="18"/>
          </w:tcPr>
          <w:p>
            <w:pPr>
              <w:ind w:left="20"/>
              <w:spacing w:after="0" w:line="124" w:lineRule="exact"/>
              <w:rPr>
                <w:sz w:val="20"/>
                <w:szCs w:val="20"/>
                <w:color w:val="auto"/>
              </w:rPr>
            </w:pPr>
            <w:r>
              <w:rPr>
                <w:rFonts w:ascii="Times New Roman" w:cs="Times New Roman" w:eastAsia="Times New Roman" w:hAnsi="Times New Roman"/>
                <w:sz w:val="11"/>
                <w:szCs w:val="11"/>
                <w:color w:val="0000FF"/>
              </w:rPr>
              <w:t>Amendment Number One to the Amended and Restated Capital One Financial Corporation Executive Severance Plan</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10.5+</w:t>
            </w:r>
          </w:p>
        </w:tc>
        <w:tc>
          <w:tcPr>
            <w:tcW w:w="6840" w:type="dxa"/>
            <w:vAlign w:val="bottom"/>
            <w:tcBorders>
              <w:bottom w:val="single" w:sz="8" w:color="0000FF"/>
            </w:tcBorders>
            <w:gridSpan w:val="12"/>
          </w:tcPr>
          <w:p>
            <w:pPr>
              <w:ind w:left="20"/>
              <w:spacing w:after="0" w:line="124" w:lineRule="exact"/>
              <w:rPr>
                <w:rFonts w:ascii="Times New Roman" w:cs="Times New Roman" w:eastAsia="Times New Roman" w:hAnsi="Times New Roman"/>
                <w:sz w:val="11"/>
                <w:szCs w:val="11"/>
                <w:color w:val="0000FF"/>
                <w:w w:val="97"/>
              </w:rPr>
            </w:pPr>
            <w:hyperlink r:id="rId415">
              <w:r>
                <w:rPr>
                  <w:rFonts w:ascii="Times New Roman" w:cs="Times New Roman" w:eastAsia="Times New Roman" w:hAnsi="Times New Roman"/>
                  <w:sz w:val="11"/>
                  <w:szCs w:val="11"/>
                  <w:color w:val="0000FF"/>
                  <w:w w:val="97"/>
                </w:rPr>
                <w:t>Capital One Financial Corporation Non-Employee Directors Deferred Compensation Plan (incorporated by reference to Exhibit 10.5 of the 2011 Form 10-K).</w:t>
              </w:r>
            </w:hyperlink>
          </w:p>
        </w:tc>
        <w:tc>
          <w:tcPr>
            <w:tcW w:w="1560" w:type="dxa"/>
            <w:vAlign w:val="bottom"/>
            <w:gridSpan w:val="6"/>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10.6.1+</w:t>
            </w:r>
          </w:p>
        </w:tc>
        <w:tc>
          <w:tcPr>
            <w:tcW w:w="7860" w:type="dxa"/>
            <w:vAlign w:val="bottom"/>
            <w:tcBorders>
              <w:bottom w:val="single" w:sz="8" w:color="0000FF"/>
            </w:tcBorders>
            <w:gridSpan w:val="16"/>
          </w:tcPr>
          <w:p>
            <w:pPr>
              <w:ind w:left="20"/>
              <w:spacing w:after="0" w:line="124" w:lineRule="exact"/>
              <w:rPr>
                <w:rFonts w:ascii="Times New Roman" w:cs="Times New Roman" w:eastAsia="Times New Roman" w:hAnsi="Times New Roman"/>
                <w:sz w:val="11"/>
                <w:szCs w:val="11"/>
                <w:color w:val="0000FF"/>
                <w:w w:val="97"/>
              </w:rPr>
            </w:pPr>
            <w:hyperlink r:id="rId416">
              <w:r>
                <w:rPr>
                  <w:rFonts w:ascii="Times New Roman" w:cs="Times New Roman" w:eastAsia="Times New Roman" w:hAnsi="Times New Roman"/>
                  <w:sz w:val="11"/>
                  <w:szCs w:val="11"/>
                  <w:color w:val="0000FF"/>
                  <w:w w:val="97"/>
                </w:rPr>
                <w:t>Amended and Restated Capital One Financial Corporation Voluntary Non-Qualified Deferred Compensation Plan (incorporated by reference to Exhibit 10.6 of the 2011 Form 10-K).</w:t>
              </w:r>
            </w:hyperlink>
          </w:p>
        </w:tc>
        <w:tc>
          <w:tcPr>
            <w:tcW w:w="54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10.6.2+</w:t>
            </w:r>
          </w:p>
        </w:tc>
        <w:tc>
          <w:tcPr>
            <w:tcW w:w="9000" w:type="dxa"/>
            <w:vAlign w:val="bottom"/>
            <w:tcBorders>
              <w:bottom w:val="single" w:sz="8" w:color="0000FF"/>
            </w:tcBorders>
            <w:gridSpan w:val="21"/>
          </w:tcPr>
          <w:p>
            <w:pPr>
              <w:ind w:left="20"/>
              <w:spacing w:after="0" w:line="124" w:lineRule="exact"/>
              <w:rPr>
                <w:rFonts w:ascii="Times New Roman" w:cs="Times New Roman" w:eastAsia="Times New Roman" w:hAnsi="Times New Roman"/>
                <w:sz w:val="11"/>
                <w:szCs w:val="11"/>
                <w:color w:val="0000FF"/>
                <w:w w:val="97"/>
              </w:rPr>
            </w:pPr>
            <w:hyperlink r:id="rId417">
              <w:r>
                <w:rPr>
                  <w:rFonts w:ascii="Times New Roman" w:cs="Times New Roman" w:eastAsia="Times New Roman" w:hAnsi="Times New Roman"/>
                  <w:sz w:val="11"/>
                  <w:szCs w:val="11"/>
                  <w:color w:val="0000FF"/>
                  <w:w w:val="97"/>
                </w:rPr>
                <w:t>First Amendment to the Amended and Restated Capital One Financial Corporation Voluntary Non-Qualified Deferred Compensation Plan (incorporated by reference to Exhibit 10.6.2 of the 2012 Form 10-K).</w:t>
              </w:r>
            </w:hyperlink>
          </w:p>
        </w:tc>
        <w:tc>
          <w:tcPr>
            <w:tcW w:w="1100" w:type="dxa"/>
            <w:vAlign w:val="bottom"/>
            <w:gridSpan w:val="5"/>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10.7.1+</w:t>
            </w:r>
          </w:p>
        </w:tc>
        <w:tc>
          <w:tcPr>
            <w:tcW w:w="10100" w:type="dxa"/>
            <w:vAlign w:val="bottom"/>
            <w:gridSpan w:val="26"/>
          </w:tcPr>
          <w:p>
            <w:pPr>
              <w:ind w:left="20"/>
              <w:spacing w:after="0" w:line="124" w:lineRule="exact"/>
              <w:rPr>
                <w:rFonts w:ascii="Times New Roman" w:cs="Times New Roman" w:eastAsia="Times New Roman" w:hAnsi="Times New Roman"/>
                <w:sz w:val="11"/>
                <w:szCs w:val="11"/>
                <w:color w:val="0000FF"/>
              </w:rPr>
            </w:pPr>
            <w:hyperlink r:id="rId418">
              <w:r>
                <w:rPr>
                  <w:rFonts w:ascii="Times New Roman" w:cs="Times New Roman" w:eastAsia="Times New Roman" w:hAnsi="Times New Roman"/>
                  <w:sz w:val="11"/>
                  <w:szCs w:val="11"/>
                  <w:color w:val="0000FF"/>
                </w:rPr>
                <w:t>Form of Change of Control Employment Agreement between Capital One Financial Corporation and each of its named executive officers, other than the Chief Executive Officer (incorporated by reference to Exhibit 10.8.2 of the</w:t>
              </w:r>
            </w:hyperlink>
          </w:p>
        </w:tc>
      </w:tr>
      <w:tr>
        <w:trPr>
          <w:trHeight w:val="88"/>
        </w:trPr>
        <w:tc>
          <w:tcPr>
            <w:tcW w:w="1200" w:type="dxa"/>
            <w:vAlign w:val="bottom"/>
          </w:tcPr>
          <w:p>
            <w:pPr>
              <w:spacing w:after="0"/>
              <w:rPr>
                <w:sz w:val="7"/>
                <w:szCs w:val="7"/>
                <w:color w:val="auto"/>
              </w:rPr>
            </w:pPr>
          </w:p>
        </w:tc>
        <w:tc>
          <w:tcPr>
            <w:tcW w:w="800" w:type="dxa"/>
            <w:vAlign w:val="bottom"/>
            <w:tcBorders>
              <w:top w:val="single" w:sz="8" w:color="0000FF"/>
              <w:bottom w:val="single" w:sz="8" w:color="0000FF"/>
            </w:tcBorders>
          </w:tcPr>
          <w:p>
            <w:pPr>
              <w:ind w:left="20"/>
              <w:spacing w:after="0" w:line="88" w:lineRule="exact"/>
              <w:rPr>
                <w:rFonts w:ascii="Times New Roman" w:cs="Times New Roman" w:eastAsia="Times New Roman" w:hAnsi="Times New Roman"/>
                <w:sz w:val="10"/>
                <w:szCs w:val="10"/>
                <w:color w:val="0000FF"/>
              </w:rPr>
            </w:pPr>
            <w:hyperlink r:id="rId418">
              <w:r>
                <w:rPr>
                  <w:rFonts w:ascii="Times New Roman" w:cs="Times New Roman" w:eastAsia="Times New Roman" w:hAnsi="Times New Roman"/>
                  <w:sz w:val="10"/>
                  <w:szCs w:val="10"/>
                  <w:color w:val="0000FF"/>
                </w:rPr>
                <w:t>2011 Form 10-K).</w:t>
              </w:r>
            </w:hyperlink>
          </w:p>
        </w:tc>
        <w:tc>
          <w:tcPr>
            <w:tcW w:w="7600" w:type="dxa"/>
            <w:vAlign w:val="bottom"/>
            <w:tcBorders>
              <w:top w:val="single" w:sz="8" w:color="0000FF"/>
            </w:tcBorders>
            <w:gridSpan w:val="17"/>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92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10.7.2+</w:t>
            </w:r>
          </w:p>
        </w:tc>
        <w:tc>
          <w:tcPr>
            <w:tcW w:w="10100" w:type="dxa"/>
            <w:vAlign w:val="bottom"/>
            <w:gridSpan w:val="26"/>
          </w:tcPr>
          <w:p>
            <w:pPr>
              <w:ind w:left="20"/>
              <w:spacing w:after="0" w:line="124" w:lineRule="exact"/>
              <w:rPr>
                <w:rFonts w:ascii="Times New Roman" w:cs="Times New Roman" w:eastAsia="Times New Roman" w:hAnsi="Times New Roman"/>
                <w:sz w:val="11"/>
                <w:szCs w:val="11"/>
                <w:color w:val="0000FF"/>
              </w:rPr>
            </w:pPr>
            <w:hyperlink r:id="rId419">
              <w:r>
                <w:rPr>
                  <w:rFonts w:ascii="Times New Roman" w:cs="Times New Roman" w:eastAsia="Times New Roman" w:hAnsi="Times New Roman"/>
                  <w:sz w:val="11"/>
                  <w:szCs w:val="11"/>
                  <w:color w:val="0000FF"/>
                </w:rPr>
                <w:t>Form of 2011 Change of Control Employment Agreement between Capital One Financial Corporation and certain executive officers (incorporated by reference to Exhibit 10.8.3 of the 2012 Form 10-K).</w:t>
              </w:r>
            </w:hyperlink>
          </w:p>
        </w:tc>
      </w:tr>
      <w:tr>
        <w:trPr>
          <w:trHeight w:val="20"/>
        </w:trPr>
        <w:tc>
          <w:tcPr>
            <w:tcW w:w="120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2920" w:type="dxa"/>
            <w:vAlign w:val="bottom"/>
            <w:gridSpan w:val="7"/>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10.7.3+</w:t>
            </w:r>
          </w:p>
        </w:tc>
        <w:tc>
          <w:tcPr>
            <w:tcW w:w="10100" w:type="dxa"/>
            <w:vAlign w:val="bottom"/>
            <w:gridSpan w:val="26"/>
          </w:tcPr>
          <w:p>
            <w:pPr>
              <w:ind w:left="20"/>
              <w:spacing w:after="0" w:line="124" w:lineRule="exact"/>
              <w:rPr>
                <w:rFonts w:ascii="Times New Roman" w:cs="Times New Roman" w:eastAsia="Times New Roman" w:hAnsi="Times New Roman"/>
                <w:sz w:val="11"/>
                <w:szCs w:val="11"/>
                <w:color w:val="0000FF"/>
              </w:rPr>
            </w:pPr>
            <w:hyperlink r:id="rId420">
              <w:r>
                <w:rPr>
                  <w:rFonts w:ascii="Times New Roman" w:cs="Times New Roman" w:eastAsia="Times New Roman" w:hAnsi="Times New Roman"/>
                  <w:sz w:val="11"/>
                  <w:szCs w:val="11"/>
                  <w:color w:val="0000FF"/>
                </w:rPr>
                <w:t>Change of Control Employment Agreement, dated December 10, 2013, between Capital One Financial Corporation and Richard D. Fairbank (incorporated by reference to Exhibit 10.7.3 of the 2013 Form 10-K).</w:t>
              </w:r>
            </w:hyperlink>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10.8.1+</w:t>
            </w:r>
          </w:p>
        </w:tc>
        <w:tc>
          <w:tcPr>
            <w:tcW w:w="8320" w:type="dxa"/>
            <w:vAlign w:val="bottom"/>
            <w:tcBorders>
              <w:top w:val="single" w:sz="8" w:color="0000FF"/>
              <w:bottom w:val="single" w:sz="8" w:color="0000FF"/>
            </w:tcBorders>
            <w:gridSpan w:val="17"/>
          </w:tcPr>
          <w:p>
            <w:pPr>
              <w:ind w:left="20"/>
              <w:spacing w:after="0" w:line="124" w:lineRule="exact"/>
              <w:rPr>
                <w:rFonts w:ascii="Times New Roman" w:cs="Times New Roman" w:eastAsia="Times New Roman" w:hAnsi="Times New Roman"/>
                <w:sz w:val="11"/>
                <w:szCs w:val="11"/>
                <w:color w:val="0000FF"/>
                <w:w w:val="97"/>
              </w:rPr>
            </w:pPr>
            <w:hyperlink r:id="rId421">
              <w:r>
                <w:rPr>
                  <w:rFonts w:ascii="Times New Roman" w:cs="Times New Roman" w:eastAsia="Times New Roman" w:hAnsi="Times New Roman"/>
                  <w:sz w:val="11"/>
                  <w:szCs w:val="11"/>
                  <w:color w:val="0000FF"/>
                  <w:w w:val="97"/>
                </w:rPr>
                <w:t>Form of Non-Competition Agreement between Capital One Financial Corporation and Andrew M. Young and Sanjiv Yajnik (incorporated by reference to Exhibit 10.9 of the 2012 Form 10-K).</w:t>
              </w:r>
            </w:hyperlink>
          </w:p>
        </w:tc>
        <w:tc>
          <w:tcPr>
            <w:tcW w:w="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6"/>
              </w:rPr>
              <w:t>10.9*+</w:t>
            </w:r>
          </w:p>
        </w:tc>
        <w:tc>
          <w:tcPr>
            <w:tcW w:w="8400" w:type="dxa"/>
            <w:vAlign w:val="bottom"/>
            <w:gridSpan w:val="18"/>
          </w:tcPr>
          <w:p>
            <w:pPr>
              <w:ind w:left="20"/>
              <w:spacing w:after="0" w:line="124" w:lineRule="exact"/>
              <w:rPr>
                <w:sz w:val="20"/>
                <w:szCs w:val="20"/>
                <w:color w:val="auto"/>
              </w:rPr>
            </w:pPr>
            <w:r>
              <w:rPr>
                <w:rFonts w:ascii="Times New Roman" w:cs="Times New Roman" w:eastAsia="Times New Roman" w:hAnsi="Times New Roman"/>
                <w:sz w:val="11"/>
                <w:szCs w:val="11"/>
                <w:color w:val="0000FF"/>
              </w:rPr>
              <w:t>Notice &amp; Garden Leave Agreement, dated December 13, 2021, between Capital One Financial Corporation and Neal Blinde.</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21*</w:t>
            </w:r>
          </w:p>
        </w:tc>
        <w:tc>
          <w:tcPr>
            <w:tcW w:w="5400" w:type="dxa"/>
            <w:vAlign w:val="bottom"/>
            <w:tcBorders>
              <w:top w:val="single" w:sz="8" w:color="0000FF"/>
            </w:tcBorders>
            <w:gridSpan w:val="10"/>
          </w:tcPr>
          <w:p>
            <w:pPr>
              <w:ind w:left="20"/>
              <w:spacing w:after="0" w:line="124" w:lineRule="exact"/>
              <w:rPr>
                <w:sz w:val="20"/>
                <w:szCs w:val="20"/>
                <w:color w:val="auto"/>
              </w:rPr>
            </w:pPr>
            <w:r>
              <w:rPr>
                <w:rFonts w:ascii="Times New Roman" w:cs="Times New Roman" w:eastAsia="Times New Roman" w:hAnsi="Times New Roman"/>
                <w:sz w:val="11"/>
                <w:szCs w:val="11"/>
                <w:color w:val="0000FF"/>
              </w:rPr>
              <w:t>Subsidiaries of the Company.</w:t>
            </w:r>
          </w:p>
        </w:tc>
        <w:tc>
          <w:tcPr>
            <w:tcW w:w="3000" w:type="dxa"/>
            <w:vAlign w:val="bottom"/>
            <w:gridSpan w:val="8"/>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0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23*</w:t>
            </w:r>
          </w:p>
        </w:tc>
        <w:tc>
          <w:tcPr>
            <w:tcW w:w="1400" w:type="dxa"/>
            <w:vAlign w:val="bottom"/>
            <w:tcBorders>
              <w:bottom w:val="single" w:sz="8" w:color="0000FF"/>
            </w:tcBorders>
            <w:gridSpan w:val="4"/>
          </w:tcPr>
          <w:p>
            <w:pPr>
              <w:ind w:left="20"/>
              <w:spacing w:after="0" w:line="124" w:lineRule="exact"/>
              <w:rPr>
                <w:sz w:val="20"/>
                <w:szCs w:val="20"/>
                <w:color w:val="auto"/>
              </w:rPr>
            </w:pPr>
            <w:r>
              <w:rPr>
                <w:rFonts w:ascii="Times New Roman" w:cs="Times New Roman" w:eastAsia="Times New Roman" w:hAnsi="Times New Roman"/>
                <w:sz w:val="11"/>
                <w:szCs w:val="11"/>
                <w:color w:val="0000FF"/>
                <w:w w:val="95"/>
              </w:rPr>
              <w:t>Consent of Ernst &amp; Young LLP.</w:t>
            </w:r>
          </w:p>
        </w:tc>
        <w:tc>
          <w:tcPr>
            <w:tcW w:w="7000" w:type="dxa"/>
            <w:vAlign w:val="bottom"/>
            <w:gridSpan w:val="14"/>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31.1*</w:t>
            </w:r>
          </w:p>
        </w:tc>
        <w:tc>
          <w:tcPr>
            <w:tcW w:w="1620" w:type="dxa"/>
            <w:vAlign w:val="bottom"/>
            <w:tcBorders>
              <w:bottom w:val="single" w:sz="8" w:color="0000FF"/>
            </w:tcBorders>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6"/>
              </w:rPr>
              <w:t>Certification of Richard D. Fairbank.</w:t>
            </w:r>
          </w:p>
        </w:tc>
        <w:tc>
          <w:tcPr>
            <w:tcW w:w="6780" w:type="dxa"/>
            <w:vAlign w:val="bottom"/>
            <w:gridSpan w:val="12"/>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rPr>
              <w:t>31.2*</w:t>
            </w:r>
          </w:p>
        </w:tc>
        <w:tc>
          <w:tcPr>
            <w:tcW w:w="1540" w:type="dxa"/>
            <w:vAlign w:val="bottom"/>
            <w:tcBorders>
              <w:bottom w:val="single" w:sz="8" w:color="0000FF"/>
            </w:tcBorders>
            <w:gridSpan w:val="5"/>
          </w:tcPr>
          <w:p>
            <w:pPr>
              <w:ind w:left="20"/>
              <w:spacing w:after="0" w:line="124" w:lineRule="exact"/>
              <w:rPr>
                <w:sz w:val="20"/>
                <w:szCs w:val="20"/>
                <w:color w:val="auto"/>
              </w:rPr>
            </w:pPr>
            <w:r>
              <w:rPr>
                <w:rFonts w:ascii="Times New Roman" w:cs="Times New Roman" w:eastAsia="Times New Roman" w:hAnsi="Times New Roman"/>
                <w:sz w:val="11"/>
                <w:szCs w:val="11"/>
                <w:color w:val="0000FF"/>
                <w:w w:val="95"/>
              </w:rPr>
              <w:t>Certification of Andrew M. Young.</w:t>
            </w:r>
          </w:p>
        </w:tc>
        <w:tc>
          <w:tcPr>
            <w:tcW w:w="6860" w:type="dxa"/>
            <w:vAlign w:val="bottom"/>
            <w:gridSpan w:val="13"/>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9"/>
              </w:rPr>
              <w:t>32.1**</w:t>
            </w:r>
          </w:p>
        </w:tc>
        <w:tc>
          <w:tcPr>
            <w:tcW w:w="1620" w:type="dxa"/>
            <w:vAlign w:val="bottom"/>
            <w:tcBorders>
              <w:bottom w:val="single" w:sz="8" w:color="0000FF"/>
            </w:tcBorders>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6"/>
              </w:rPr>
              <w:t>Certification of Richard D. Fairbank.</w:t>
            </w:r>
          </w:p>
        </w:tc>
        <w:tc>
          <w:tcPr>
            <w:tcW w:w="6780" w:type="dxa"/>
            <w:vAlign w:val="bottom"/>
            <w:gridSpan w:val="12"/>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120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color w:val="auto"/>
                <w:w w:val="99"/>
              </w:rPr>
              <w:t>32.2**</w:t>
            </w:r>
          </w:p>
        </w:tc>
        <w:tc>
          <w:tcPr>
            <w:tcW w:w="1540" w:type="dxa"/>
            <w:vAlign w:val="bottom"/>
            <w:tcBorders>
              <w:bottom w:val="single" w:sz="8" w:color="0000FF"/>
            </w:tcBorders>
            <w:gridSpan w:val="5"/>
          </w:tcPr>
          <w:p>
            <w:pPr>
              <w:ind w:left="20"/>
              <w:spacing w:after="0" w:line="124" w:lineRule="exact"/>
              <w:rPr>
                <w:sz w:val="20"/>
                <w:szCs w:val="20"/>
                <w:color w:val="auto"/>
              </w:rPr>
            </w:pPr>
            <w:r>
              <w:rPr>
                <w:rFonts w:ascii="Times New Roman" w:cs="Times New Roman" w:eastAsia="Times New Roman" w:hAnsi="Times New Roman"/>
                <w:sz w:val="11"/>
                <w:szCs w:val="11"/>
                <w:color w:val="0000FF"/>
                <w:w w:val="95"/>
              </w:rPr>
              <w:t>Certification of Andrew M. Young.</w:t>
            </w:r>
          </w:p>
        </w:tc>
        <w:tc>
          <w:tcPr>
            <w:tcW w:w="6860" w:type="dxa"/>
            <w:vAlign w:val="bottom"/>
            <w:gridSpan w:val="13"/>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120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rPr>
              <w:t>101.INS</w:t>
            </w: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1"/>
                <w:szCs w:val="11"/>
                <w:color w:val="auto"/>
              </w:rPr>
              <w:t>XBRL Instance Document - the instance document does not appear in the Interactive Data File because its XBRL tags are embedded within the Inline XBRL Document.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20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9"/>
              </w:rPr>
              <w:t>101.SCH*</w:t>
            </w: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20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8"/>
              </w:rPr>
              <w:t>101.CAL*</w:t>
            </w: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20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rPr>
              <w:t>101.DEF*</w:t>
            </w: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20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8"/>
              </w:rPr>
              <w:t>101.LAB*</w:t>
            </w: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120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rPr>
              <w:t>101.PRE*</w:t>
            </w: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671"/>
        </w:trPr>
        <w:tc>
          <w:tcPr>
            <w:tcW w:w="1200" w:type="dxa"/>
            <w:vAlign w:val="bottom"/>
          </w:tcPr>
          <w:p>
            <w:pPr>
              <w:spacing w:after="0"/>
              <w:rPr>
                <w:sz w:val="24"/>
                <w:szCs w:val="24"/>
                <w:color w:val="auto"/>
              </w:rPr>
            </w:pPr>
          </w:p>
        </w:tc>
        <w:tc>
          <w:tcPr>
            <w:tcW w:w="5100" w:type="dxa"/>
            <w:vAlign w:val="bottom"/>
            <w:gridSpan w:val="9"/>
          </w:tcPr>
          <w:p>
            <w:pPr>
              <w:ind w:left="4360"/>
              <w:spacing w:after="0"/>
              <w:rPr>
                <w:sz w:val="20"/>
                <w:szCs w:val="20"/>
                <w:color w:val="auto"/>
              </w:rPr>
            </w:pPr>
            <w:r>
              <w:rPr>
                <w:rFonts w:ascii="Times New Roman" w:cs="Times New Roman" w:eastAsia="Times New Roman" w:hAnsi="Times New Roman"/>
                <w:sz w:val="10"/>
                <w:szCs w:val="10"/>
                <w:color w:val="auto"/>
              </w:rPr>
              <w:t>212</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8"/>
          </w:tcPr>
          <w:p>
            <w:pPr>
              <w:ind w:left="80"/>
              <w:spacing w:after="0"/>
              <w:rPr>
                <w:sz w:val="20"/>
                <w:szCs w:val="20"/>
                <w:color w:val="auto"/>
              </w:rPr>
            </w:pPr>
            <w:r>
              <w:rPr>
                <w:rFonts w:ascii="Times New Roman" w:cs="Times New Roman" w:eastAsia="Times New Roman" w:hAnsi="Times New Roman"/>
                <w:sz w:val="10"/>
                <w:szCs w:val="10"/>
                <w:color w:val="auto"/>
                <w:w w:val="95"/>
              </w:rPr>
              <w:t>Capital One Financial Corporation (COF)</w:t>
            </w:r>
          </w:p>
        </w:tc>
      </w:tr>
      <w:tr>
        <w:trPr>
          <w:trHeight w:val="224"/>
        </w:trPr>
        <w:tc>
          <w:tcPr>
            <w:tcW w:w="120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14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hanging="751"/>
        <w:spacing w:after="0"/>
        <w:tabs>
          <w:tab w:leader="none" w:pos="1220" w:val="left"/>
        </w:tabs>
        <w:numPr>
          <w:ilvl w:val="1"/>
          <w:numId w:val="1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cover page of Capital One Financial Corporation’s Annual Report on Form 10-K for the year ended December 31, 2022, formatted in Inline XBRL (included within the Exhibit 101 attachments).</w:t>
      </w:r>
    </w:p>
    <w:p>
      <w:pPr>
        <w:spacing w:after="0" w:line="69"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__________</w:t>
      </w:r>
    </w:p>
    <w:p>
      <w:pPr>
        <w:spacing w:after="0" w:line="65" w:lineRule="exact"/>
        <w:rPr>
          <w:rFonts w:ascii="Times New Roman" w:cs="Times New Roman" w:eastAsia="Times New Roman" w:hAnsi="Times New Roman"/>
          <w:sz w:val="11"/>
          <w:szCs w:val="11"/>
          <w:color w:val="auto"/>
        </w:rPr>
      </w:pPr>
    </w:p>
    <w:p>
      <w:pPr>
        <w:ind w:left="400" w:hanging="396"/>
        <w:spacing w:after="0"/>
        <w:tabs>
          <w:tab w:leader="none" w:pos="400" w:val="left"/>
        </w:tabs>
        <w:numPr>
          <w:ilvl w:val="0"/>
          <w:numId w:val="1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a management contract or compensatory plan or arrangement.</w:t>
      </w:r>
    </w:p>
    <w:p>
      <w:pPr>
        <w:spacing w:after="0" w:line="20" w:lineRule="exact"/>
        <w:rPr>
          <w:sz w:val="20"/>
          <w:szCs w:val="20"/>
          <w:color w:val="auto"/>
        </w:rPr>
      </w:pPr>
    </w:p>
    <w:p>
      <w:pPr>
        <w:ind w:left="400" w:hanging="396"/>
        <w:spacing w:after="0"/>
        <w:tabs>
          <w:tab w:leader="none" w:pos="400" w:val="left"/>
        </w:tabs>
        <w:numPr>
          <w:ilvl w:val="0"/>
          <w:numId w:val="1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Indicates a document being filed with this Form 10-K.</w:t>
      </w:r>
    </w:p>
    <w:p>
      <w:pPr>
        <w:spacing w:after="0" w:line="20" w:lineRule="exact"/>
        <w:rPr>
          <w:sz w:val="20"/>
          <w:szCs w:val="20"/>
          <w:color w:val="auto"/>
        </w:rPr>
      </w:pPr>
    </w:p>
    <w:p>
      <w:pPr>
        <w:ind w:left="400" w:right="220" w:hanging="396"/>
        <w:spacing w:after="0" w:line="222" w:lineRule="auto"/>
        <w:tabs>
          <w:tab w:leader="none" w:pos="400" w:val="left"/>
        </w:tabs>
        <w:numPr>
          <w:ilvl w:val="0"/>
          <w:numId w:val="1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Indicates a document being furnished with this Form 10-K. Information in this Form 10-K furnished herewith shall not be deemed to be “filed” for the purposes of Section 18 of the Securities Exchange Act of 1934, as amended, or otherwise subject to the liabilities of that Section. Such exhibit shall not be deemed incorporated by reference into any filing under the Securities Act of 1933, as amended, or the Securities Exchange Act of 1934.</w:t>
      </w:r>
    </w:p>
    <w:p>
      <w:pPr>
        <w:spacing w:after="0" w:line="200" w:lineRule="exact"/>
        <w:rPr>
          <w:sz w:val="20"/>
          <w:szCs w:val="20"/>
          <w:color w:val="auto"/>
        </w:rPr>
      </w:pPr>
    </w:p>
    <w:p>
      <w:pPr>
        <w:spacing w:after="0" w:line="361" w:lineRule="exact"/>
        <w:rPr>
          <w:sz w:val="20"/>
          <w:szCs w:val="20"/>
          <w:color w:val="auto"/>
        </w:rPr>
      </w:pPr>
    </w:p>
    <w:p>
      <w:pPr>
        <w:jc w:val="both"/>
        <w:ind w:left="5560"/>
        <w:spacing w:after="0"/>
        <w:tabs>
          <w:tab w:leader="none" w:pos="9660" w:val="left"/>
        </w:tabs>
        <w:rPr>
          <w:sz w:val="20"/>
          <w:szCs w:val="20"/>
          <w:color w:val="auto"/>
        </w:rPr>
      </w:pPr>
      <w:r>
        <w:rPr>
          <w:rFonts w:ascii="Times New Roman" w:cs="Times New Roman" w:eastAsia="Times New Roman" w:hAnsi="Times New Roman"/>
          <w:sz w:val="10"/>
          <w:szCs w:val="10"/>
          <w:color w:val="auto"/>
        </w:rPr>
        <w:t>213</w:t>
      </w:r>
      <w:r>
        <w:rPr>
          <w:sz w:val="20"/>
          <w:szCs w:val="20"/>
          <w:color w:val="auto"/>
        </w:rPr>
        <w:tab/>
      </w:r>
      <w:r>
        <w:rPr>
          <w:rFonts w:ascii="Times New Roman" w:cs="Times New Roman" w:eastAsia="Times New Roman" w:hAnsi="Times New Roman"/>
          <w:sz w:val="10"/>
          <w:szCs w:val="10"/>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128905</wp:posOffset>
            </wp:positionV>
            <wp:extent cx="7203440"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33" w:right="3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CAPITAL ONE FINANCIAL CORPORATION</w:t>
            </w:r>
          </w:p>
        </w:tc>
      </w:tr>
      <w:tr>
        <w:trPr>
          <w:trHeight w:val="225"/>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24, 2023</w:t>
            </w:r>
          </w:p>
        </w:tc>
        <w:tc>
          <w:tcPr>
            <w:tcW w:w="2860" w:type="dxa"/>
            <w:vAlign w:val="bottom"/>
          </w:tcPr>
          <w:p>
            <w:pPr>
              <w:ind w:left="2340"/>
              <w:spacing w:after="0"/>
              <w:rPr>
                <w:sz w:val="20"/>
                <w:szCs w:val="20"/>
                <w:color w:val="auto"/>
              </w:rPr>
            </w:pPr>
            <w:r>
              <w:rPr>
                <w:rFonts w:ascii="Times New Roman" w:cs="Times New Roman" w:eastAsia="Times New Roman" w:hAnsi="Times New Roman"/>
                <w:sz w:val="11"/>
                <w:szCs w:val="11"/>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RICHARD D. FAIRBANK</w:t>
            </w:r>
          </w:p>
        </w:tc>
      </w:tr>
      <w:tr>
        <w:trPr>
          <w:trHeight w:val="140"/>
        </w:trPr>
        <w:tc>
          <w:tcPr>
            <w:tcW w:w="35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Richard D. Fairbank</w:t>
            </w:r>
          </w:p>
        </w:tc>
      </w:tr>
      <w:tr>
        <w:trPr>
          <w:trHeight w:val="155"/>
        </w:trPr>
        <w:tc>
          <w:tcPr>
            <w:tcW w:w="35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Chair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60"/>
        <w:spacing w:after="0"/>
        <w:tabs>
          <w:tab w:leader="none" w:pos="9660" w:val="left"/>
        </w:tabs>
        <w:rPr>
          <w:sz w:val="20"/>
          <w:szCs w:val="20"/>
          <w:color w:val="auto"/>
        </w:rPr>
      </w:pPr>
      <w:r>
        <w:rPr>
          <w:rFonts w:ascii="Times New Roman" w:cs="Times New Roman" w:eastAsia="Times New Roman" w:hAnsi="Times New Roman"/>
          <w:sz w:val="8"/>
          <w:szCs w:val="8"/>
          <w:color w:val="auto"/>
        </w:rPr>
        <w:t>214</w:t>
      </w:r>
      <w:r>
        <w:rPr>
          <w:sz w:val="20"/>
          <w:szCs w:val="20"/>
          <w:color w:val="auto"/>
        </w:rPr>
        <w:tab/>
      </w:r>
      <w:r>
        <w:rPr>
          <w:rFonts w:ascii="Times New Roman" w:cs="Times New Roman" w:eastAsia="Times New Roman" w:hAnsi="Times New Roman"/>
          <w:sz w:val="8"/>
          <w:szCs w:val="8"/>
          <w:color w:val="auto"/>
        </w:rPr>
        <w:t>Capital One Financial Corporation (COF)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143510</wp:posOffset>
            </wp:positionV>
            <wp:extent cx="7203440"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0"/>
          <w:szCs w:val="1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Signature</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Title</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rPr>
              <w:t>Date</w:t>
            </w:r>
          </w:p>
        </w:tc>
      </w:tr>
      <w:tr>
        <w:trPr>
          <w:trHeight w:val="216"/>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RICHARD D. FAIRBANK</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Chair and Chief Executive Officer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3"/>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Richard D. Fairbank</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(Principal Executive Officer)</w:t>
            </w:r>
          </w:p>
        </w:tc>
        <w:tc>
          <w:tcPr>
            <w:tcW w:w="2160" w:type="dxa"/>
            <w:vAlign w:val="bottom"/>
          </w:tcPr>
          <w:p>
            <w:pPr>
              <w:spacing w:after="0"/>
              <w:rPr>
                <w:sz w:val="11"/>
                <w:szCs w:val="11"/>
                <w:color w:val="auto"/>
              </w:rPr>
            </w:pPr>
          </w:p>
        </w:tc>
      </w:tr>
      <w:tr>
        <w:trPr>
          <w:trHeight w:val="216"/>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ANDREW M. YOUNG</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Chief Financial Officer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3"/>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Andrew M. Young</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(Principal Financial Officer)</w:t>
            </w:r>
          </w:p>
        </w:tc>
        <w:tc>
          <w:tcPr>
            <w:tcW w:w="2160" w:type="dxa"/>
            <w:vAlign w:val="bottom"/>
          </w:tcPr>
          <w:p>
            <w:pPr>
              <w:spacing w:after="0"/>
              <w:rPr>
                <w:sz w:val="11"/>
                <w:szCs w:val="11"/>
                <w:color w:val="auto"/>
              </w:rPr>
            </w:pPr>
          </w:p>
        </w:tc>
      </w:tr>
      <w:tr>
        <w:trPr>
          <w:trHeight w:val="216"/>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TIMOTHY P. GOLDEN</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Controller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3"/>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Timothy P. Golden</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(Principal Accounting Officer)</w:t>
            </w: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IME ARCHIBONG</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Ime Archibong</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CHRISTINE DETRICK</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Christine Detrick</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ANN FRITZ HACKETT</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Ann Fritz Hackett</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PETER THOMAS KILLALEA</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Peter Thomas Killalea</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45"/>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C.P.A.J. (ELI) LEENAARS</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C.P.A.J. (Eli) Leenaars</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09"/>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FRANÇOIS LOCOH-DONOU</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François Locoh-Donou</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PETER E. RASKIND</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Peter E. Raskind</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EILEEN SERRA</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Eileen Serra</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MAYO A. SHATTUCK III</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Mayo A. Shattuck III</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BRADFORD H. WARNER</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Bradford H. Warner</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218"/>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 CRAIG WILLIAMS</w:t>
            </w:r>
          </w:p>
        </w:tc>
        <w:tc>
          <w:tcPr>
            <w:tcW w:w="2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Director</w:t>
            </w:r>
          </w:p>
        </w:tc>
        <w:tc>
          <w:tcPr>
            <w:tcW w:w="2160" w:type="dxa"/>
            <w:vAlign w:val="bottom"/>
          </w:tcPr>
          <w:p>
            <w:pPr>
              <w:ind w:left="1380"/>
              <w:spacing w:after="0"/>
              <w:rPr>
                <w:sz w:val="20"/>
                <w:szCs w:val="20"/>
                <w:color w:val="auto"/>
              </w:rPr>
            </w:pPr>
            <w:r>
              <w:rPr>
                <w:rFonts w:ascii="Times New Roman" w:cs="Times New Roman" w:eastAsia="Times New Roman" w:hAnsi="Times New Roman"/>
                <w:sz w:val="11"/>
                <w:szCs w:val="11"/>
                <w:color w:val="auto"/>
                <w:w w:val="93"/>
              </w:rPr>
              <w:t>February 24, 2023</w:t>
            </w:r>
          </w:p>
        </w:tc>
      </w:tr>
      <w:tr>
        <w:trPr>
          <w:trHeight w:val="131"/>
        </w:trPr>
        <w:tc>
          <w:tcPr>
            <w:tcW w:w="5120" w:type="dxa"/>
            <w:vAlign w:val="bottom"/>
          </w:tcPr>
          <w:p>
            <w:pPr>
              <w:spacing w:after="0"/>
              <w:rPr>
                <w:sz w:val="20"/>
                <w:szCs w:val="20"/>
                <w:color w:val="auto"/>
              </w:rPr>
            </w:pPr>
            <w:r>
              <w:rPr>
                <w:rFonts w:ascii="Times New Roman" w:cs="Times New Roman" w:eastAsia="Times New Roman" w:hAnsi="Times New Roman"/>
                <w:sz w:val="11"/>
                <w:szCs w:val="11"/>
                <w:color w:val="auto"/>
              </w:rPr>
              <w:t>Craig Williams</w:t>
            </w:r>
          </w:p>
        </w:tc>
        <w:tc>
          <w:tcPr>
            <w:tcW w:w="2980" w:type="dxa"/>
            <w:vAlign w:val="bottom"/>
          </w:tcPr>
          <w:p>
            <w:pPr>
              <w:spacing w:after="0"/>
              <w:rPr>
                <w:sz w:val="11"/>
                <w:szCs w:val="11"/>
                <w:color w:val="auto"/>
              </w:rPr>
            </w:pPr>
          </w:p>
        </w:tc>
        <w:tc>
          <w:tcPr>
            <w:tcW w:w="216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5560"/>
        <w:spacing w:after="0"/>
        <w:tabs>
          <w:tab w:leader="none" w:pos="9660" w:val="left"/>
        </w:tabs>
        <w:rPr>
          <w:sz w:val="20"/>
          <w:szCs w:val="20"/>
          <w:color w:val="auto"/>
        </w:rPr>
      </w:pPr>
      <w:r>
        <w:rPr>
          <w:rFonts w:ascii="Times New Roman" w:cs="Times New Roman" w:eastAsia="Times New Roman" w:hAnsi="Times New Roman"/>
          <w:sz w:val="10"/>
          <w:szCs w:val="10"/>
          <w:color w:val="auto"/>
        </w:rPr>
        <w:t>215</w:t>
      </w:r>
      <w:r>
        <w:rPr>
          <w:sz w:val="20"/>
          <w:szCs w:val="20"/>
          <w:color w:val="auto"/>
        </w:rPr>
        <w:tab/>
      </w:r>
      <w:r>
        <w:rPr>
          <w:rFonts w:ascii="Times New Roman" w:cs="Times New Roman" w:eastAsia="Times New Roman" w:hAnsi="Times New Roman"/>
          <w:sz w:val="10"/>
          <w:szCs w:val="10"/>
          <w:color w:val="auto"/>
        </w:rPr>
        <w:t>Capital One Financial Corporation (COF)</w:t>
      </w:r>
    </w:p>
    <w:p>
      <w:pPr>
        <w:sectPr>
          <w:pgSz w:w="11900" w:h="16838" w:orient="portrait"/>
          <w:cols w:equalWidth="0" w:num="1">
            <w:col w:w="11280"/>
          </w:cols>
          <w:pgMar w:left="300" w:top="233" w:right="31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2"/>
          <w:szCs w:val="12"/>
          <w:b w:val="1"/>
          <w:bCs w:val="1"/>
          <w:color w:val="auto"/>
        </w:rPr>
        <w:t>Exhibit 4.3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REGISTERED PURSUANT TO SECTION 12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As of December 31, 2022, Capital One Financial Corporation (“Capital One,” the “Company,” “we,” “us,” and “our”) had eight classes of securities registered under Section 12 of the Securities Exchange Act of 1934, as amended (the “Exchange Act”): our Common Stock; our Depositary Shares, Each Representing a 1/40th Interest in a Share of Fixed Rate Non-Cumulative Perpetual Preferred Stock, Series I; our Depositary Shares, Each Representing a 1/40th Interest in a Share of Fixed Rate Non-Cumulative Perpetual Preferred Stock, Series J; our Depositary Shares, Each Representing a 1/40th Interest in a Share of Fixed Rate Non-Cumulative Perpetual Preferred Stock, Series K; our Depositary Shares, Each Representing a 1/40th Interest in a Share of Fixed Rate Non-Cumulative Perpetual Preferred Stock, Series L; our Depositary Shares, Each Representing a 1/40th Interest in a Share of Fixed Rate Non-Cumulative Perpetual Preferred Stock, Series N; our 0.800% Senior Notes due 2024; and our 1.650% Senior Notes due 2029. References in this exhibit to “Capital One,” the “Company,” “we,” “us,” and “our” are solely to Capital One Financial Corporation and not to any of its subsidiaries, unless the context requires otherwise.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COMMON STOCK</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following description of our Common Stock is a summary and does not purport to be complete. It is subject to and qualified in its entirety by reference to our Restated Certificate of Incorporation, dated May 1, 2020 (the “Restated Certificate of Incorporation”), and Amended and Restated Bylaws, dated September 23, 2021 (our “Amended and Restated Bylaws”), each of which has been incorporated by reference as an exhibit to the Annual Report on Form 10-K for which this Exhibit 4.3 is a part. We encourage you to read our Restated Certificate of Incorporation and Amended and Restated Bylaws for additional information.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is authorized to issue 1,000,000,000 shares of common stock, par value $.01 per share (the “Common Stock”). The Common Stock is listed on the New York Stock Exchange under the symbol “COF.” All outstanding shares of Common Stock are and will be fully paid and nonassessable.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and Other Rights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Each share of Common Stock is entitled to one vote on all matters submitted to a vote of stockholders. Except as otherwise provided by law, the Restated Certificate of Incorporation or the Amended and Restated Bylaws, a majority of the votes cast is required for all actions to be taken by stockholders. Directors in uncontested elections shall be elected by a majority of votes cast; however, in contested elections, a plurality standard shall apply. Stockholders do not have cumulative voting rights in the election of directors, which means that the holders of a majority of the votes cast in an election of directors can elect all of the directors. Shares of Common Stock also do not have any preemptive, subscription, redemption, sinking fund or conversion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foregoing rights may be subject to voting and other rights that we may grant from time to time to the holders of other classes of our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Distribution</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To the extent outstanding preferred stock provides for a dividend preference, any dividends payable on our Common Stock are subject to such preference. Dividends must be declared by our board of directors (the “Board”) out of legally available funds. If we liquidate, dissolve or wind up our affairs, common stockholders are entitled to share proportionately in the assets available for distribution to common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Anti-Takeover Provisions of the Restated Certificate of Incorporation and Amended and Restated Bylaws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Certain provisions in our Restated Certificate of Incorporation and Amended and Restated Bylaws could make more difficult or discourage a tender offer, proxy contest or other takeover attempt that is opposed by the Board but which might be favored by the stockholders. Certain provisions are summarized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Board of Directors</w:t>
      </w:r>
      <w:r>
        <w:rPr>
          <w:rFonts w:ascii="Times New Roman" w:cs="Times New Roman" w:eastAsia="Times New Roman" w:hAnsi="Times New Roman"/>
          <w:sz w:val="12"/>
          <w:szCs w:val="12"/>
          <w:color w:val="auto"/>
        </w:rPr>
        <w:t>. Our Restated Certificate of Incorporation and Amended and Restated Bylaws provide that, other than directors elected by any series of preferred stock, directors will be elected annually to one-year terms in office.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800" w:right="299" w:bottom="1440" w:gutter="0" w:footer="0" w:header="0"/>
        </w:sectPr>
      </w:pPr>
    </w:p>
    <w:bookmarkStart w:id="217" w:name="page218"/>
    <w:bookmarkEnd w:id="217"/>
    <w:p>
      <w:pPr>
        <w:jc w:val="both"/>
        <w:spacing w:after="0" w:line="266" w:lineRule="auto"/>
        <w:rPr>
          <w:sz w:val="20"/>
          <w:szCs w:val="20"/>
          <w:color w:val="auto"/>
        </w:rPr>
      </w:pPr>
      <w:r>
        <w:rPr>
          <w:rFonts w:ascii="Times New Roman" w:cs="Times New Roman" w:eastAsia="Times New Roman" w:hAnsi="Times New Roman"/>
          <w:sz w:val="12"/>
          <w:szCs w:val="12"/>
          <w:i w:val="1"/>
          <w:iCs w:val="1"/>
          <w:color w:val="auto"/>
        </w:rPr>
        <w:t>Number of Directors; Removal; Filling Vacancies</w:t>
      </w:r>
      <w:r>
        <w:rPr>
          <w:rFonts w:ascii="Times New Roman" w:cs="Times New Roman" w:eastAsia="Times New Roman" w:hAnsi="Times New Roman"/>
          <w:sz w:val="12"/>
          <w:szCs w:val="12"/>
          <w:color w:val="auto"/>
        </w:rPr>
        <w:t>. Our Amended and Restated Bylaws provide that our Board must consist of between three and seventeen directors, and vacancies will be filled only by the affirmative vote of a majority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the remaining directors, even if less than a quorum remains in office, unless the Board determines otherwise. Therefore, unless the Amended and Restated Bylaws are further amended (or the Board determines otherwise), the Board could prevent any stockholder from enlarging the Board and filling the new directorships with the stockholder’s own nominees.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Delaware law and our Restated Certificate of Incorporation, directors may be removed for or without cause. Our Restated Certificate of Incorporation also provides that directors may only be removed, whether for or without cause, upon the affirmative vote of holders of at least a majority of the voting power of the then-outstanding shares of stock entitled to vote generally in the election of directors, voting together as a single class.</w:t>
      </w:r>
    </w:p>
    <w:p>
      <w:pPr>
        <w:spacing w:after="0" w:line="1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Blank Check Preferred. </w:t>
      </w:r>
      <w:r>
        <w:rPr>
          <w:rFonts w:ascii="Times New Roman" w:cs="Times New Roman" w:eastAsia="Times New Roman" w:hAnsi="Times New Roman"/>
          <w:sz w:val="12"/>
          <w:szCs w:val="12"/>
          <w:color w:val="auto"/>
        </w:rPr>
        <w:t>Our Board is authorized, without stockholder approval, to create and provide for the issuance of up to an aggregate of 50,000,000 shares of preferred stock in series, to establish from time to time the number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to be included in each such series, and to fix the designations, powers, preferences and rights of the shares of each such series and the qualifications, limitations or restrictions on the shares of each such series.</w:t>
      </w:r>
    </w:p>
    <w:p>
      <w:pPr>
        <w:spacing w:after="0" w:line="10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authority to designate preferred stock may be used to issue a series of preferred stock, or rights to acquire preferred stock, that could dilute the interest of, or impair the voting power of, holders of the Common Stock, or be used as a method of determining, delaying or preventing a change of control.</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i w:val="1"/>
          <w:iCs w:val="1"/>
          <w:color w:val="auto"/>
        </w:rPr>
        <w:t>Stockholder Action by Written Consent; Special Meetings</w:t>
      </w:r>
      <w:r>
        <w:rPr>
          <w:rFonts w:ascii="Times New Roman" w:cs="Times New Roman" w:eastAsia="Times New Roman" w:hAnsi="Times New Roman"/>
          <w:sz w:val="12"/>
          <w:szCs w:val="12"/>
          <w:color w:val="auto"/>
        </w:rPr>
        <w:t>. Stockholder action can be taken only at an annual or special meeting of stockholders or by written consent in accordance with the applicable provisions set forth in our Restated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Certificate of Incorporation and Amended and Restated Bylaws. Under circumstances described in our Restated Certificate of Incorporation and Amended and Restated Bylaws, special meetings of stockholders can be called by the Chair of the Board or by the Board pursuant to a resolution adopted by a majority of the authorized number of directors. Under our Restated Certificate of Incorporation, stockholders have the right to request that the Company call a special meeting of stockholders or to request that stockholder action be taken by written consent in lieu of a meeting, provided in each case that the requesting stockholders own 25% or more of the then-outstanding shares of stock entitled to vote on the matters proposed to be brought before the special meeting or the actions proposed to be taken by written consent, as applicable, and satisfy certain requirements set forth in our Restated Certificate of Incorporation and Amended and Restated Bylaws. These requirements include a “net long” definition of stock ownership for purposes of determining whether stockholders requesting a special meeting or action by written consent satisfy the 25% ownership threshold, so that only stockholders with full and continuing economic interest and voting rights in our stock can request a special meeting or action by written consent. In addition, our Amended and Restated Bylaws set forth certain procedural requirements that the Board believes are appropriate to avoid duplicative or unnecessary special meetings or actions by written consent. Moreover, any special meeting of stockholders is limited to the business in the notice of the special meeting sent to the stockholders before the meeting, including any business stated in a valid special meeting request (in the case of a stockholder-requested special meeting).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ability to take stockholder action by written consent or to request special meetings may be precluded if stockholders fail to satisfy the requirements in our Restated Certificate of Incorporation and Amended and Restated Bylaws.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 should refer to these documents for more information about the requirements.</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i w:val="1"/>
          <w:iCs w:val="1"/>
          <w:color w:val="auto"/>
        </w:rPr>
        <w:t>Advance Notice Provisions for Stockholder Nominations and Stockholder Proposals</w:t>
      </w:r>
      <w:r>
        <w:rPr>
          <w:rFonts w:ascii="Times New Roman" w:cs="Times New Roman" w:eastAsia="Times New Roman" w:hAnsi="Times New Roman"/>
          <w:sz w:val="12"/>
          <w:szCs w:val="12"/>
          <w:color w:val="auto"/>
        </w:rPr>
        <w:t>. Only people who are nominated by, or at the direction of, the Board, or by a stockholder who has given proper written notice prior to a meeting 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which directors are to be elected, will be eligible for election as directors. Business conducted at an annual meeting is limited to the business brought before the meeting by, or at the direction of, the Chair of the Board, the Board or a stockholder who has given proper notice. A stockholder’s notice to us proposing to nominate a person for election as a director must contain certain information described in the Amended and Restated Bylaws and be submitted in compliance with the time frames specified in the Amended and Restated Bylaws.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You should refer to our Amended and Restated Bylaws for more information, including the process and timing requirements for a stockholder notice.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Some of the effects of the provisions described above and in the Amended and Restated Bylaws include:</w:t>
      </w:r>
    </w:p>
    <w:p>
      <w:pPr>
        <w:spacing w:after="0" w:line="17" w:lineRule="exact"/>
        <w:rPr>
          <w:sz w:val="20"/>
          <w:szCs w:val="20"/>
          <w:color w:val="auto"/>
        </w:rPr>
      </w:pPr>
    </w:p>
    <w:p>
      <w:pPr>
        <w:ind w:left="540" w:hanging="278"/>
        <w:spacing w:after="0" w:line="260" w:lineRule="auto"/>
        <w:tabs>
          <w:tab w:leader="none" w:pos="53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will have a longer period to consider the qualifications of the proposed nominees or the substance of other business proposed to be brought before an annual meeting and, if deemed necessary or desirable, to inform stockholders about the Board’s views on these matters;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84" w:right="299" w:bottom="1440" w:gutter="0" w:footer="0" w:header="0"/>
        </w:sectPr>
      </w:pPr>
    </w:p>
    <w:bookmarkStart w:id="218" w:name="page219"/>
    <w:bookmarkEnd w:id="218"/>
    <w:p>
      <w:pPr>
        <w:ind w:left="540" w:hanging="278"/>
        <w:spacing w:after="0" w:line="259" w:lineRule="auto"/>
        <w:tabs>
          <w:tab w:leader="none" w:pos="53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will be an orderly procedure for conducting annual meetings of stockholders and informing stockholders, prior to the meetings, of any nominations or other business proposed to be conducted at the meetings, including any Board recommendations; and</w:t>
      </w:r>
    </w:p>
    <w:p>
      <w:pPr>
        <w:spacing w:after="0" w:line="1" w:lineRule="exact"/>
        <w:rPr>
          <w:rFonts w:ascii="Times New Roman" w:cs="Times New Roman" w:eastAsia="Times New Roman" w:hAnsi="Times New Roman"/>
          <w:sz w:val="12"/>
          <w:szCs w:val="12"/>
          <w:color w:val="auto"/>
        </w:rPr>
      </w:pPr>
    </w:p>
    <w:p>
      <w:pPr>
        <w:ind w:left="540" w:hanging="278"/>
        <w:spacing w:after="0" w:line="260" w:lineRule="auto"/>
        <w:tabs>
          <w:tab w:leader="none" w:pos="53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contests for the election of directors or the consideration of stockholder proposals will be precluded if the procedures are not followed. Third parties may therefore be discouraged from conducting a solicitation of proxies to elect their own slate of directors or to approve their own proposal.</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Under our Restated Certificate of Incorporation, certain mergers, share exchanges or sales of our assets with or to interested stockholders, as defined below, must be approved by the affirmative vote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holders of at least 75% of the then-outstanding shares of stock entitled to vote generally in the election of directors, voting together as a single class, including 75% of such stock not owned directly or indirectly by any interested stockholder or any affiliate of any interested stockholder. Our Restated Certificate of Incorporation requires this affirmative vote even if no vote is required, or a lesser percentage is specified, by law or any national securities exchange or otherwise. This 75% affirmative vote is not required in two situations (and a business combination shall require only the vote required by law or any other applicable provision of our Restated Certificate of Incorporation). First, it is not required if the business combination has been approved by a majority of uninterested, continuing directors. Second, it is not required if certain price and procedure requirements designed to ensure that our stockholders receive a “fair price” for their Common Stock are satisfied. Our Restated Certificate of Incorporation defines an interested stockholder as any person, other than us or any of our subsidiaries, who or which:</w:t>
      </w:r>
    </w:p>
    <w:p>
      <w:pPr>
        <w:spacing w:after="0" w:line="51" w:lineRule="exact"/>
        <w:rPr>
          <w:sz w:val="20"/>
          <w:szCs w:val="20"/>
          <w:color w:val="auto"/>
        </w:rPr>
      </w:pPr>
    </w:p>
    <w:p>
      <w:pPr>
        <w:ind w:left="520" w:hanging="258"/>
        <w:spacing w:after="0"/>
        <w:tabs>
          <w:tab w:leader="none" w:pos="520"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itself or along with its affiliates beneficially owns, directly or indirectly, more than 5% of the then-outstanding shares of stock entitled to vote generally in the election of directors;</w:t>
      </w:r>
    </w:p>
    <w:p>
      <w:pPr>
        <w:spacing w:after="0" w:line="42" w:lineRule="exact"/>
        <w:rPr>
          <w:rFonts w:ascii="Times New Roman" w:cs="Times New Roman" w:eastAsia="Times New Roman" w:hAnsi="Times New Roman"/>
          <w:sz w:val="12"/>
          <w:szCs w:val="12"/>
          <w:color w:val="auto"/>
        </w:rPr>
      </w:pPr>
    </w:p>
    <w:p>
      <w:pPr>
        <w:ind w:left="540" w:right="20" w:hanging="278"/>
        <w:spacing w:after="0" w:line="279" w:lineRule="auto"/>
        <w:tabs>
          <w:tab w:leader="none" w:pos="53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an affiliate of us and at any time within the two-year period immediately prior to the date in question itself or along with its affiliates beneficially owned, directly or indirectly, 5% or more of the then-outstanding shares of stock entitled to vote generally in the election of directors; or</w:t>
      </w:r>
    </w:p>
    <w:p>
      <w:pPr>
        <w:spacing w:after="0" w:line="3" w:lineRule="exact"/>
        <w:rPr>
          <w:rFonts w:ascii="Times New Roman" w:cs="Times New Roman" w:eastAsia="Times New Roman" w:hAnsi="Times New Roman"/>
          <w:sz w:val="12"/>
          <w:szCs w:val="12"/>
          <w:color w:val="auto"/>
        </w:rPr>
      </w:pPr>
    </w:p>
    <w:p>
      <w:pPr>
        <w:ind w:left="540" w:hanging="278"/>
        <w:spacing w:after="0" w:line="279" w:lineRule="auto"/>
        <w:tabs>
          <w:tab w:leader="none" w:pos="53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owns any shares of the then-outstanding shares of stock entitled to vote generally in the election of directors which were at any time within the two-year period immediately prior to the date in question beneficially owned by any interested stockholder, if the transfer of ownership occurred in the course of a non-public transaction or series of non-public transactions.</w:t>
      </w:r>
    </w:p>
    <w:p>
      <w:pPr>
        <w:spacing w:after="0" w:line="109" w:lineRule="exact"/>
        <w:rPr>
          <w:sz w:val="20"/>
          <w:szCs w:val="20"/>
          <w:color w:val="auto"/>
        </w:rPr>
      </w:pPr>
    </w:p>
    <w:p>
      <w:pPr>
        <w:ind w:left="100" w:hanging="53"/>
        <w:spacing w:after="0" w:line="283" w:lineRule="auto"/>
        <w:rPr>
          <w:sz w:val="20"/>
          <w:szCs w:val="20"/>
          <w:color w:val="auto"/>
        </w:rPr>
      </w:pPr>
      <w:r>
        <w:rPr>
          <w:rFonts w:ascii="Times New Roman" w:cs="Times New Roman" w:eastAsia="Times New Roman" w:hAnsi="Times New Roman"/>
          <w:sz w:val="12"/>
          <w:szCs w:val="12"/>
          <w:i w:val="1"/>
          <w:iCs w:val="1"/>
          <w:color w:val="auto"/>
        </w:rPr>
        <w:t>Liability of Directors; Indemnification</w:t>
      </w:r>
      <w:r>
        <w:rPr>
          <w:rFonts w:ascii="Times New Roman" w:cs="Times New Roman" w:eastAsia="Times New Roman" w:hAnsi="Times New Roman"/>
          <w:sz w:val="12"/>
          <w:szCs w:val="12"/>
          <w:color w:val="auto"/>
        </w:rPr>
        <w:t>. A director generally will not be personally liable for monetary damages to us or our stockholders for breach of fiduciary duty as a director. A director may be held liable, however,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following:</w:t>
      </w:r>
    </w:p>
    <w:p>
      <w:pPr>
        <w:spacing w:after="0" w:line="37" w:lineRule="exact"/>
        <w:rPr>
          <w:sz w:val="20"/>
          <w:szCs w:val="20"/>
          <w:color w:val="auto"/>
        </w:rPr>
      </w:pPr>
    </w:p>
    <w:p>
      <w:pPr>
        <w:ind w:left="420" w:hanging="212"/>
        <w:spacing w:after="0"/>
        <w:tabs>
          <w:tab w:leader="none" w:pos="4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the director’s duty of loyalty to us or our stockholders;</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or omissions not in good faith or which involve intentional misconduct or a knowing violation of law;</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a dividend or approving a stock repurchase in violation of Delaware law; or</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from which the director derived an improper personal benefit.</w:t>
      </w:r>
    </w:p>
    <w:p>
      <w:pPr>
        <w:spacing w:after="0" w:line="13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indemnify and advance expenses to our officers and directors in connection with legal proceedings to the fullest extent of the law. We may agree with any person to provide an indemnification greater than or different from the indemnification provided by the Restated Certificate of Incorporation or the Amended and Restated Bylaws.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i w:val="1"/>
          <w:iCs w:val="1"/>
          <w:color w:val="auto"/>
        </w:rPr>
        <w:t>Amendments</w:t>
      </w:r>
      <w:r>
        <w:rPr>
          <w:rFonts w:ascii="Times New Roman" w:cs="Times New Roman" w:eastAsia="Times New Roman" w:hAnsi="Times New Roman"/>
          <w:sz w:val="12"/>
          <w:szCs w:val="12"/>
          <w:color w:val="auto"/>
        </w:rPr>
        <w:t>. The Restated Certificate of Incorporation may be amended with a majority vote of the stockholders, except for the business combination provisions discussed above. The Restated Certificate of Incorporation provides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amendments to the Restated Certificate of Incorporation and the Amended and Restated Bylaws can be approved by a majority vote of the then-outstanding shares of stock entitled to vote generally in the election of directors. The Restated Certificate of Incorporation includes a supermajority voting provision that applies to the amendment or repeal of, or the adoption of any provision inconsistent with, the provisions of the Restated Certificate of Incorporation related to business combinations, which can only be amended with an affirmative vote of the holders of at least 80% of the then-outstanding shares of stock entitled to vote generally in the election of directors, including the affirmative vote of the holders of 80% of the then-outstanding shares of such stock not owned directly or indirectly by any interested stockholder or any affiliate of any interested stockholder. The Amended and Restated Bylaws generally may be amended by the Board or by the stockholders; provided that in the case of amendments by the stockholders the affirmative vote of at least a majority of the then-outstanding shares of stock entitled to vote generally in the election of directors is required. These vote requirements may have the effect of preventing a stockholder with less than a majority of the Common Stock from circumventing the requirements of the Amended and Restated Bylaws or a stockholder with only a majority of the Common Stock from circumventing certain provisions of the Restated Certificate of Incorporation by simply amending or repealing them.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642" w:right="2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2"/>
          <w:szCs w:val="12"/>
          <w:b w:val="1"/>
          <w:bCs w:val="1"/>
          <w:color w:val="auto"/>
        </w:rPr>
        <w:t>Anti-Takeover Legislation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are a Delaware corporation and are governed by Section 203 of the Delaware General Corporation Law. This provision generally states that, subject to some exceptions, a corporation cannot engage in any business combination with any “interested stockholder” for three years after the time that the stockholder became an interested stockholder unless the business combination is approved by the board of directors and authorized by the affirmative vote of at least 66-2/3% of the outstanding voting stock of the corporation which is not owned by the interested stockholder. Delaware law defines an interested stockholder to include any person, and its affiliates and associates, that owns 15% or more of the outstanding voting stock of the corporation, or that is an affiliate or associate of the corporation and was the owner of 15% or more of the outstanding voting stock of the corporation at any time within three years immediately prior to the relevant date.</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Although stockholders may elect to exclude a corporation from Section 203’s restrictions, our Restated Certificate of Incorporation and Amended and Restated Bylaws do not exclude us from Section 203’s restrictions. The provisions of Section 203 may encourage companies interested in acquiring us to negotiate in advance with the Board, since Section 203 does not require stockholder approval for a corporation to engage in any business combination with any interested stockholder, if the board of directors prior to the time that such stockholder became an interested stockholder approved either the business combination or the transaction in which the stockholder became an interested stockholder. Business combinations are discussed more fully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Exclusive Forum</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Amended and Restated Bylaws provide that, unless the Company consents in writing to the selection of an alternative forum, to the fullest extent permitted by law, and subject to applicable jurisdictional requirements, the sole and exclusive forum for any stockholder (including any beneficial owner) to bring internal corporate claims (as defined below) shall be a state court located within the State of Delaware (or, if no state court located within the State of Delaware has jurisdiction, the federal district court for the District of Delaware). For purposes of this provision, “internal corporate claims” means claims, including claims in the right of the Company: (a) that are based upon a violation of a duty by a current or former director, officer, employee or stockholder in such capacity, or (b) as to which the Delaware General Corporation Law confers jurisdiction upon the Delaware Court of Chancery.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782" w:right="29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PREFERRED STOCK AND DEPOSITARY SHARES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following is a description of the particular terms of our Fixed Rate Non-Cumulative Perpetual Preferred Stock, Series I (the “Series I Preferred Stock”); our Fixed Rate Non-Cumulative Perpetual Preferred Stock, Series J (the “Series J Preferred Stock”); our Fixed Rate Non-Cumulative Perpetual Preferred Stock, Series K (the “Series K Preferred Stock”); our Fixed Rate Non-Cumulative Perpetual Preferred Stock, Series L (the “Series L Preferred Stock”); and our Fixed Rate Non-Cumulative Perpetual Preferred Stock, Series N (the “Series N Preferred Stock” and, together with the Series I Preferred Stock, the Series J Preferred Stock, the Series K Preferred Stock and the Series L Preferred Stock, the “Preferred Stock”). Additionally, we have issued Depositary Shares, each representing a 1/40th Interest in a Share of Series I Preferred Stock (the “Series I Depositary Shares”); Depositary Shares, each representing a 1/40th Interest in a Share of Series J Preferred Stock (the “Series J Depositary Shares”); Depositary Shares, each representing a 1/40th Interest in a Share of Series K Preferred Stock (the “Series K Depositary Shares”); Depositary Shares, each representing a 1/40th Interest in a Share of Series L Preferred Stock (the “Series L Depositary Shares”); and Depositary Shares, each representing a 1/40th Interest in a Share of Series N Preferred Stock (the “Series N Depositary Shares” and, together with the Series I Depositary Shares, the Series J Depositary Shares, the Series K Depositary Shares and the Series L Depositary Shares, the “Depositary Shares”).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following description is subject to and qualified in its entirety by reference to the Certificate of Designations relating to each series of Preferred Stock (each a “Certificate of Designations” and collectively the “Certificates of Designations”) and each deposit agreement among us, Computershare Trust Company, N.A., acting as depositary (the “depositary”), Computershare Inc. and the holders from time to time of the depositary receipts evidencing the Depositary Shares (each a “Deposit Agreement” and collectively the “Deposit Agreements”) and where this description is inconsistent with the description of the Preferred Stock contained in the applicable Certificate of Designations or the description of the Depositary Shares contained in the applicable Deposit Agreement, the applicable Certificate of Designations or Deposit Agreement will control. A copy of our Restated Certificate of Incorporation and each Certificate of Designations are incorporated by reference as exhibits to the Annual Report on Form 10-K for which this Exhibit 4.3 is a part. The Deposit Agreement relating to the Series I Depositary Shares has been filed with the SEC as Exhibit 4.1 to the Company’s Current Report on Form 8-K, filed on September 11, 2019; the Deposit Agreement relating to the Series J Depositary Shares has been filed with the SEC as Exhibit 4.1 to the Company’s Current Report on Form 8-K, filed on January 31, 2020; the Deposit Agreement relating to the Series K Depositary Shares has been filed with the SEC as Exhibit 4.1 to the Company’s Current Report on Form 8-K, filed on September 17, 2020; the Deposit Agreement relating to the Series L Depositary Shares has been filed with the SEC as Exhibit 4.1 to the Company’s Current Report on Form 8-K, filed on May 4, 2021; and the Deposit Agreement relating to the Series N Depositary Shares has been filed with the SEC as Exhibit 4.1 to the Company’s Current Report on Form 8-K, filed on July 29, 2021. We encourage you to read such documents for additional information.</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is authorized to issue 50,000,000 shares of preferred stock, par value $.01 per share. As of December 31 2022 , 60,000,000 Series I Depositary Shares were issued and outstanding, representing 1,500,000 shares of Series I Preferred Stock; 50,000,000 Series J Depositary Shares were issued and outstanding, representing 1,250,000 shares of Series J Preferred Stock; 5,000,000 Series K Depositary Shares were issued and outstanding, representing 125,000 shares of Series K Preferred Stock; 27,000,000 Series L Depositary Shares were issued and outstanding, representing 675,000 shares of Series L Preferred Stock; and 17,000,000 Series N Depositary Shares were issued and outstanding, representing 425,000 shares of Series N Preferred Stock.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Preferred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Each series of the Preferred Stock is a single series of our authorized preferred stock. Shares of the Preferred Stock are fully paid and nonassessable. The depositary is the sole holder of shares of the Preferred Stock. The holders of Depositary Shares are required to exercise their proportional rights in the Preferred Stock through the depositary, as described herein.</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Shares of a series of Preferred Stock rank senior to our Common Stock, equally with each other series of Preferred Stock, and at least equally with each other series of preferred stock we may issue if provided for in the certificate of designations relating to such preferred stock or otherwise (except for any senior stock that may be issued with the requisite consent of the holders of the Preferred Stock and all other parity stock, if any), with respect to the payment of dividends and distributions of assets upon liquidation, dissolution or winding up. See “Other Preferred Stock” below. In addition, we will generally be able to pay dividends and distributions upon liquidation, dissolution or winding up only out of lawfully available assets for such payment (after satisfaction of all claims for indebtedness and other non-equity claims). Further, the Preferred Stock may be fully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782" w:right="2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2"/>
          <w:szCs w:val="12"/>
          <w:color w:val="auto"/>
        </w:rPr>
        <w:t>subordinated to interests held by the U.S. government in the event that we enter into a receivership, insolvency, liquidation, or similar proceeding, including a proceeding under the Orderly Liquidation Authority of the Dodd-Frank Act.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Preferred Stock is not convertible into, or exchangeable for, shares of any other class or series of stock or other securities of Capital One. The Preferred Stock has no stated maturity and will not be subject to any sinking fund or other obligation of Capital One to redeem or repurchase the Preferred Stock.</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reserve the right to re-open any series of Preferred Stock and issue additional shares of such series of Preferred Stock either through public or private sales at any time and from time to time. The additional shares would form a single series with the Preferred Stock of such series already outstanding. In addition, we may from time to time, without notice to or consent of holders of the Preferred Stock or the Depositary Shares, issue additional shares of preferred stock that rank equally with or junior to the Preferred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Dividends on the Preferred Stock are not cumulative. If our Board or a duly authorized committee of the Board does not declare a dividend on a series of Preferred Stock in respect of a dividend period, then no dividend shall be deemed to have accrued for such dividend period, be payable on the applicable dividend payment date, or be cumulative, and we will have no obligation to pay any dividend for that dividend period, whether or not our Board or a duly authorized committee of our Board declares a dividend on the Preferred Stock for any future dividend period. A dividend period is the period from and including a dividend payment date to but excluding the next dividend payment date.</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Holders of Preferred Stock of a series are entitled to receive, when, as, and if declared by our Board or a duly authorized committee of the Board, out of assets legally available for the payment of dividends under Delaware law, non-cumulative cash dividends based on the liquidation preference of such Preferred Stock at a rate equal to the applicable percentage per annum set forth herein for each quarterly dividend period from the original issue date of the related Depositary Shares through the redemption date of such Preferred Stock, if any. In the event that we issue additional shares of a series of Preferred Stock after the original issue date, dividends on such shares will accrue from the original issue date of such additional shares.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If declared by our Board or a duly authorized committee of our Board, we will pay dividends (i) on the outstanding Series I Preferred Stock, when, as, and if declared by the Board at a rate of 5.000% per annum; (ii) on the outstanding Series J Preferred Stock, when, as, and if declared by the Board at a rate of 4.800% per annum; (iii) on the outstanding Series K Preferred Stock, when, as, and if declared by the Board at a rate of 4.625% per annum; (iv) on the outstanding Series L Preferred Stock, when, as, and if declared by the Board at a rate of 4.375% per annum; and (v) on the outstanding Series N Preferred Stock, when, as, and if declared by the Board at a rate of 4.250% per annum. Dividends on the Preferred Stock are payable quarterly in arrears, on March 1, June 1, September 1 and December 1 of each year (each such date, a “dividend payment date”). If any date on which dividends would otherwise be payable is not a business day, then the dividend payment date will be the next business day without any adjustment to the amount of dividends paid. A business day means any weekday that is not a legal holiday in New York, New York, and is not a day on which banking institutions in New York, New York, are closed.</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Dividends are payable to holders of record of Preferred Stock as they appear on our stock register on the applicable record date, which shall be the 15th calendar day before the applicable dividend payment date, or such other record date, not exceeding 30 days before the applicable payment date, as shall be fixed by our Board or a duly authorized committee of our Board. The corresponding record dates for the Depositary Shares are the same as the record dates for the Preferred Stock.</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 dividend period is the period from and including a dividend payment date to but excluding the next dividend payment date. Dividends payable on each series of Preferred Stock will be computed on the basis of a 360-day year consisting of twelve 30-day months. Dollar amounts resulting from that calculation are rounded to the nearest cent, with one-half cent being rounded upward. Dividends on a series of Preferred Stock will cease to accrue on the redemption date, if any, as described below under “Redemption,” unless we default in the payment of the redemption price of the shares of the Preferred Stock called for redemption.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Company’s ability to pay dividends on the Preferred Stock depends on the ability of our subsidiaries, including Capital One, N.A. (“CONA”), to pay dividends to the Company. The ability of the Company and CONA to pay dividends in the future is subject to bank regulatory requirements and capital guidelines and policies established by the Federal Reserve Board and the Office of the Comptroller of the Currency.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786" w:right="299" w:bottom="1440" w:gutter="0" w:footer="0" w:header="0"/>
        </w:sectPr>
      </w:pPr>
    </w:p>
    <w:bookmarkStart w:id="222" w:name="page223"/>
    <w:bookmarkEnd w:id="222"/>
    <w:p>
      <w:pPr>
        <w:jc w:val="both"/>
        <w:spacing w:after="0" w:line="252" w:lineRule="auto"/>
        <w:rPr>
          <w:sz w:val="20"/>
          <w:szCs w:val="20"/>
          <w:color w:val="auto"/>
        </w:rPr>
      </w:pPr>
      <w:r>
        <w:rPr>
          <w:rFonts w:ascii="Times New Roman" w:cs="Times New Roman" w:eastAsia="Times New Roman" w:hAnsi="Times New Roman"/>
          <w:sz w:val="12"/>
          <w:szCs w:val="12"/>
          <w:color w:val="auto"/>
        </w:rPr>
        <w:t>So long as any share of Preferred Stock of a series remains outstanding, (1) no dividend shall be declared or paid or set aside for payment and no distribution shall be declared or made or set aside for payment on any junior stock (other than (i) a dividend payable solely in junior stock or (ii) any dividend in connection with the implementation of a shareholders’ rights plan, or the redemption or repurchase of any rights under any such plan), (2) no shares of junior stock shall be repurchased, redeemed or otherwise acquired for consideration by us, directly or indirectly (other than (i) as a result of a reclassification of junior stock for or into other junior stock, (ii) the exchange or conversion of one share of junior stock for or into another share of junior stock, (iii) through the use of the proceeds of a substantially contemporaneous sale of other shares of junior stock, (iv) purchases, redemptions or other acquisitions of shares of the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preceding dividend period, including under a contractually binding stock repurchase plan, (vi) the purchase of fractional interests in shares of junior stock pursuant to the conversion or exchange provisions of such stock or the security being converted or exchanged, (vii) purchases or other acquisitions by any of our broker-dealer subsidiaries solely for the purpose of market making, stabilization or customer facilitation transactions in junior stock in the ordinary course of business, (viii) purchases by any of our broker-dealer subsidiaries of our capital stock for resale pursuant to an offering by us of such capital stock underwritten by such broker-dealer subsidiary, or (ix) the acquisition by us or any of our subsidiaries of record ownership in junior stock for the beneficial ownership of any other persons (other than for the beneficial ownership by us or any of our subsidiaries), including as trustees or custodians, nor shall any monies be paid to or made available for a sinking fund for the redemption of any such securities by us) and (3) no shares of parity stock, if any, shall be repurchased, redeemed or otherwise acquired for consideration by us, directly or indirectly, during a dividend period (other than (i) pursuant to pro rata offers to purchase all, or a pro rata portion, of the Preferred Stock of such series and such parity stock, if any, (ii) as a result of a reclassification of parity stock for or into other parity stock, (iii) the exchange or conversion of parity stock for or into other parity stock or junior stock, (iv) through the use of the proceeds of a substantially contemporaneous sale of other shares of parity stock, (v) purchases of shares of parity stock pursuant to a contractually binding requirement to buy parity stock existing prior to the preceding dividend period, including under a contractually binding stock repurchase plan, (vi) the purchase of fractional interests in shares of parity stock pursuant to the conversion or exchange provisions of such stock or the security being converted or exchanged, (vii) purchases or other acquisitions by any of our broker-dealer subsidiaries solely for the purpose of market making, stabilization or customer facilitation transactions in parity stock in the ordinary course of business, (viii) purchases by any of our broker-dealer subsidiaries of our capital stock for resale pursuant to an offering by us of such capital stock underwritten by such broker-dealer subsidiary, or (ix) the acquisition by us or any of our subsidiaries of record ownership in parity stock for the beneficial ownership of any other persons (other than for the beneficial ownership by us or any of our subsidiaries), including as trustees or custodians, nor shall any monies be paid to or made available for a sinking fund for the redemption of any such securities by us) unless, in each case, the full dividends for the preceding dividend period on all outstanding shares of Preferred Stock of such series have been paid in full or declared and a sum sufficient for the payment thereof has been set aside for payment.</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will not declare or pay or set apart funds for the payment of dividends on any securities which rank equally with the Preferred Stock of a series, if any, unless we have paid or set apart funds for the payment of dividends on such Preferred Stock. When dividends are not paid in full upon the shares of such Preferred Stock and parity stock, if any, all dividends declared upon shares of such Preferred Stock and parity stock, if any, will be declared on a proportional basis so that the amount of dividends declared per share will bear to each other the same ratio that accrued dividends for the then-current dividend period per share on such Preferred Stock, and accrued dividends, including any accumulations, if any, on parity stock, if any, bear to each other.</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used in this exhibit, “junior stock” means our Common Stock and any other class or series of stock of Capital One hereafter authorized over which Preferred Stock has preference or priority in the payment of dividends or in the distribution of assets on any liquidation, dissolution or winding up of Capital One.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used in this exhibit, “parity stock” means any other class or series of stock of Capital One that ranks on a parity with the Preferred Stock in the payment of dividends and in the distribution of assets on any liquidation, dissolution or winding up of Capital One. Each series of Preferred Stock ranks on a parity with each other series of Preferred Stock.</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used in this exhibit, “senior stock” means any other class or series of stock of Capital One ranking senior to the Preferred Stock with respect to payment of dividends or the distribution of assets upon liquidation, dissolution or winding up of Capital One.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Subject to the considerations described above, and not otherwise, dividends (payable in cash, stock or otherwise), as may be determined by our Board or a duly authorized committee of the Board, may be declared and paid on our Common Stock and any other stock ranking equally with or junior to the Preferred Stock from time to time out of any assets legally available for such payment, and the holders of Preferred Stock shall not be entitled to participate in any such dividend.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786" w:right="2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2"/>
          <w:szCs w:val="12"/>
          <w:color w:val="auto"/>
        </w:rPr>
        <w:t>Dividends on the Preferred Stock will not be declared, paid or set aside for payment to the extent such act would cause us to fail to comply with applicable laws and regulations, including applicable capital adequacy guidelines.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Redemption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Optional Redemption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Preferred Stock is not subject to any mandatory redemption, sinking fund or other similar provisions. We may redeem each series of Preferred Stock at our option, in whole or in part, from time to time, on any dividend payment date on or after (i) December 1, 2024, with respect to the Series I Preferred Stock, (ii) June 1, 2025, with respect to the Series J Preferred Stock, (iii) December 1, 2025, with respect to the Series K Preferred Stock, (iv) September 1, 2026, with respect to the Series L Preferred Stock, and (v) September 1, 2026, with respect to the Series N Preferred Stock in each case at a redemption price equal to $1,000 per share (equivalent to $25 per Depositary Share), plus any declared and unpaid dividends. Neither the holders of a series of Preferred Stock nor holders of the related Depositary Shares will have the right to require the redemption or repurchase of such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 Following a Regulatory Capital Treatment Event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We may redeem shares of a series of Preferred Stock at any time within 90 days following a regulatory capital treatment event, in whole but not in part, at a redemption price equal to $1,000 per share (equivalent to $25 per Depositary Share), plus any declared and unpaid dividends on the shares of such Preferred Stock called for redemption up to the redemption date. A “regulatory capital treatment event” means the good faith determination by Capital One that, as a result of (i) any amendment to, or change (including any announced prospective change) in, the laws or regulations of the United States or any political subdivision of or in the United States that is enacted or becomes effective after the initial issuance of any share of such Preferred Stock; (ii) any proposed change in those laws or regulations that is announced or becomes effective after the initial issuance of any share of such Preferred Stock; or (iii) any official administrative decision or judicial decision or administrative action or other official pronouncement interpreting or applying those laws or regulations that is announced after the initial issuance of any share of such Preferred Stock, there is more than an insubstantial risk that Capital One will not be entitled to treat the full liquidation value of the shares of such Preferred Stock then outstanding as “Tier 1 Capital” (or its equivalent) for purposes of the capital adequacy guidelines of Federal Reserve Regulation Y (or, as and if applicable, the capital adequacy guidelines or regulations of any successor appropriate federal banking regulator or agency), as then in effect and applicable, for as long as any share of such Preferred Stock is outstanding. Dividends will cease to accrue on those shares on the redemption date. Redemption of a series of Preferred Stock is subject to our receipt of any required prior approvals from the Federal Reserve and to the satisfaction of any conditions set forth in the capital guidelines of the Federal Reserve applicable to the redemption of the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Redemption Procedures</w:t>
      </w:r>
    </w:p>
    <w:p>
      <w:pPr>
        <w:spacing w:after="0" w:line="1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If shares of a series of Preferred Stock are to be redeemed, the notice of redemption shall be sent to the holders of record of such Preferred Stock to be redeemed, sent (i) not less than 30 days nor more than 60 days (in the case of the Series L Preferred Stock, and the Series N Preferred Stock) or (ii) not less than 15 days nor more than 60 days (in the case of the Series I Preferred Stock, the Series J Preferred Stock, and the Series K Preferred Stock), prior to the date fixed for redemption thereof (provided that, if the Depositary Shares representing such Preferred Stock are held in book-entry form through DTC, we may give such notice in any manner permitted by DTC). Each notice of redemption will include a statement setting forth:</w:t>
      </w:r>
    </w:p>
    <w:p>
      <w:pPr>
        <w:spacing w:after="0" w:line="71" w:lineRule="exact"/>
        <w:rPr>
          <w:sz w:val="20"/>
          <w:szCs w:val="20"/>
          <w:color w:val="auto"/>
        </w:rPr>
      </w:pPr>
    </w:p>
    <w:p>
      <w:pPr>
        <w:ind w:left="520" w:hanging="258"/>
        <w:spacing w:after="0"/>
        <w:tabs>
          <w:tab w:leader="none" w:pos="520" w:val="left"/>
        </w:tabs>
        <w:numPr>
          <w:ilvl w:val="0"/>
          <w:numId w:val="119"/>
        </w:numPr>
        <w:rPr>
          <w:rFonts w:ascii="Arial" w:cs="Arial" w:eastAsia="Arial" w:hAnsi="Arial"/>
          <w:sz w:val="14"/>
          <w:szCs w:val="14"/>
          <w:color w:val="auto"/>
        </w:rPr>
      </w:pPr>
      <w:r>
        <w:rPr>
          <w:rFonts w:ascii="Times New Roman" w:cs="Times New Roman" w:eastAsia="Times New Roman" w:hAnsi="Times New Roman"/>
          <w:sz w:val="12"/>
          <w:szCs w:val="12"/>
          <w:color w:val="auto"/>
        </w:rPr>
        <w:t>the redemption date;</w:t>
      </w:r>
    </w:p>
    <w:p>
      <w:pPr>
        <w:spacing w:after="0" w:line="1" w:lineRule="exact"/>
        <w:rPr>
          <w:rFonts w:ascii="Arial" w:cs="Arial" w:eastAsia="Arial" w:hAnsi="Arial"/>
          <w:sz w:val="14"/>
          <w:szCs w:val="14"/>
          <w:color w:val="auto"/>
        </w:rPr>
      </w:pPr>
    </w:p>
    <w:p>
      <w:pPr>
        <w:ind w:left="520" w:hanging="258"/>
        <w:spacing w:after="0"/>
        <w:tabs>
          <w:tab w:leader="none" w:pos="52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such Preferred Stock to be redeemed and, if less than all the shares held by the holder are to be redeemed, the number of shares of such Preferred Stock to be redeemed from the holder;</w:t>
      </w:r>
    </w:p>
    <w:p>
      <w:pPr>
        <w:spacing w:after="0" w:line="4"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redemption price; and</w:t>
      </w:r>
    </w:p>
    <w:p>
      <w:pPr>
        <w:spacing w:after="0" w:line="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place or places where the certificates evidencing shares of such Preferred Stock are to be surrendered for payment of the redemption price.</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and after the redemption date, dividends will cease to accrue on shares of such Preferred Stock, and such shares of Preferred Stock shall no longer be deemed outstanding and all rights of the holders of such shares will terminate, including rights described under “Voting Rights," except the right to receive the redemption price plus any declared and unpaid dividends. See “Description of Depositary Shares” for information about redemption of the Depositary Shares relating to the Preferred Stock.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786" w:right="299" w:bottom="1440" w:gutter="0" w:footer="0" w:header="0"/>
        </w:sectPr>
      </w:pPr>
    </w:p>
    <w:bookmarkStart w:id="224" w:name="page225"/>
    <w:bookmarkEnd w:id="224"/>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case of any redemption of only part of the shares of a series of Preferred Stock at the time outstanding, the shares to be redeemed shall be selected pro rata or by lot. Subject to the provisions hereof, our Board shall have full power and authority to prescribe the terms and conditions upon which shares of such series of Preferred Stock shall be redeemed from time to time.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Under the Federal Reserve’s current risk-based capital guidelines applicable to bank holding companies, any redemption of a series of Preferred Stock is subject to prior approval by the Federal Reserve. Any redemption of a series of Preferred Stock is subject to our receipt of any required prior approval by the Federal Reserve and to the satisfaction of any conditions set forth in the capital guidelines or regulations of the Federal Reserve applicable to redemption of such series of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Neither the holders of a series of Preferred Stock nor the holders of the related Depositary Shares have the right to require the redemption or repurchase of such Preferred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Liquidation Rights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the event we liquidate, dissolve or wind-up our business and affairs, either voluntarily or involuntarily, holders of the Preferred Stock are entitled to receive a liquidating distribution of $1,000 per share (equivalent to $25 per Depositary Share), plus any declared and unpaid dividends, without accumulation of any undeclared dividends before we make any distribution of assets to the holders of our Common Stock or any other class or series of shares ranking junior to the Preferred Stock. Holders of the Preferred Stock will not be entitled to any other amounts from us after they have received their full liquidating distribution.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any such distribution, if the assets of Capital One are not sufficient to pay the liquidation preferences plus declared and unpaid dividends in full to all holders of the Preferred Stock and all holders of parity stock, if any, as to such distribution with the Preferred Stock, the amounts paid to the holders of Preferred Stock and parity stock, if any, will be paid pro rata in accordance with the respective aggregate liquidating distribution owed to those holders. If the liquidation preference plus declared and unpaid dividends has been paid in full to all holders of Preferred Stock and parity stock, if any, the holders of our junior stock shall be entitled to receive all remaining assets of Capital One according to their respective rights and preferences.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we will generally be able to pay dividends and distributions upon liquidation, dissolution or winding up only out of lawfully available assets for such payment (after satisfaction of all claims for indebtedness and other non-equity claims). Further, the Preferred Stock may be fully subordinated to interests held by the U.S. government in the event that we enter into a receivership, insolvency, liquidation, or similar proceeding, including a proceeding under the Orderly Liquidation Authority of the Dodd-Frank Act.</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purposes of this section, the merger or consolidation of Capital One with any other entity, including a merger or consolidation in which the holders of Preferred Stock receive cash, securities or property for their shares, or the sale, lease or exchange of all or substantially all of the assets of Capital One for cash, securities or other property, shall not constitute a liquidation, dissolution or winding up of Capital One.</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Because we are a holding company, our rights and the rights of our creditors and our shareholders, including the holders of the Preferred Stock, to participate in the assets of any of our subsidiaries, including CONA upon that subsidiary’s liquidation or recapitalization may be subject to the prior claims of that subsidiary’s creditors, except to the extent that we are a creditor with recognized claims against the subsidiary.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Rights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Except as provided below, the holders of the Preferred Stock will have no voting rights.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 to Elect Two Directors upon Nonpayment</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If we fail to pay, or declare and set apart for payment, dividends on outstanding shares of a series of Preferred Stock for six quarterly dividend periods, whether or not consecutive, the number of directors on the Board shall be increased by two at our first annual meeting of the shareholders held thereafter, and at such meeting and at each subsequent annual meeting until continuous noncumulative dividends for at least one year on all outstanding shares of such Preferred Stock entitled thereto shall have been paid, or declared and set apart for payment, in full, the holders of shares of such Preferred Stock shall have the right, voting separately as a class together with holders of any other equally ranked series of preferred stock that have similar voting rights, if any, to elect such two additional members of our Board to hold office for a term of one year; provided that our Board shall at no time include more than two additional directors elected by holders of shares of all series of the Preferred Stock and any other equally ranked series of preferred stock having similar voting rights, if any, voting together as one class. Upon such</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786" w:right="299" w:bottom="1440" w:gutter="0" w:footer="0" w:header="0"/>
        </w:sectPr>
      </w:pPr>
    </w:p>
    <w:bookmarkStart w:id="225" w:name="page226"/>
    <w:bookmarkEnd w:id="225"/>
    <w:p>
      <w:pPr>
        <w:jc w:val="both"/>
        <w:spacing w:after="0" w:line="265" w:lineRule="auto"/>
        <w:rPr>
          <w:sz w:val="20"/>
          <w:szCs w:val="20"/>
          <w:color w:val="auto"/>
        </w:rPr>
      </w:pPr>
      <w:r>
        <w:rPr>
          <w:rFonts w:ascii="Times New Roman" w:cs="Times New Roman" w:eastAsia="Times New Roman" w:hAnsi="Times New Roman"/>
          <w:sz w:val="12"/>
          <w:szCs w:val="12"/>
          <w:color w:val="auto"/>
        </w:rPr>
        <w:t>payment, or such declaration and setting apart for payment, in full, the terms of the two additional directors so elected shall forthwith terminate, and the number of directors shall be reduced by two, and such voting right of the holders of shares of Preferred Stock shall cease, subject to increase in the number of directors as described above and to revesting of such voting right in the event of each and every additional failure in the payment of dividends for six quarterly dividend periods, whether or not consecutive, as described above.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if and when the rights of holders of Preferred Stock terminate for any reason, including under circumstances described above under “Redemption,” such voting rights shall terminate along with the other rights (except, if applicable, the right to receive the redemption price plus any declared and unpaid dividends), and the terms of any additional directors elected by the holders of Preferred Stock and any other equally ranked series of preferred stock having similar voting rights, if any, shall terminate automatically and the number of directors reduced by two, assuming that the rights of holders of such equally ranked series of preferred stock have similarly terminated.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Under regulations adopted by the Federal Reserve, if the holders of any series of preferred stock are or become entitled to vote separately for the election of directors as a class, such series, along with any other holders of stock that are entitled to vote for the election of directors with that series, will be deemed a class of voting securities. A company holding 25% or more of that class, or less if it otherwise exercises a “controlling influence” over us, will be subject to regulation as a bank holding company under the Bank Holding Company Act of 1956, as amended (the “BHC Act”). In addition, at the time the series is deemed a class of voting securities, any other bank holding company or systemically significant nonbank financial company will be required to obtain the prior approval of the Federal Reserve under the BHC Act to acquire or retain more than 5% of that class. Any other person (other than a bank holding company or systemically significant nonbank financial company) will be required to obtain the non-objection of the Federal Reserve under the Change in Bank Control Act of 1978, as amended, to acquire or retain 10% or more of that class.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Voting Rights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So long as any shares of Preferred Stock of a series remain outstanding, the affirmative vote or consent of the holders of at least two-thirds of all outstanding shares of such Preferred Stock, voting separately as a class, shall be required to:</w:t>
      </w:r>
    </w:p>
    <w:p>
      <w:pPr>
        <w:spacing w:after="0" w:line="60" w:lineRule="exact"/>
        <w:rPr>
          <w:sz w:val="20"/>
          <w:szCs w:val="20"/>
          <w:color w:val="auto"/>
        </w:rPr>
      </w:pPr>
    </w:p>
    <w:p>
      <w:pPr>
        <w:ind w:left="520" w:hanging="258"/>
        <w:spacing w:after="0"/>
        <w:tabs>
          <w:tab w:leader="none" w:pos="520" w:val="left"/>
        </w:tabs>
        <w:numPr>
          <w:ilvl w:val="0"/>
          <w:numId w:val="120"/>
        </w:numPr>
        <w:rPr>
          <w:rFonts w:ascii="Arial" w:cs="Arial" w:eastAsia="Arial" w:hAnsi="Arial"/>
          <w:sz w:val="14"/>
          <w:szCs w:val="14"/>
          <w:color w:val="auto"/>
        </w:rPr>
      </w:pPr>
      <w:r>
        <w:rPr>
          <w:rFonts w:ascii="Times New Roman" w:cs="Times New Roman" w:eastAsia="Times New Roman" w:hAnsi="Times New Roman"/>
          <w:sz w:val="12"/>
          <w:szCs w:val="12"/>
          <w:color w:val="auto"/>
        </w:rPr>
        <w:t>authorize or increase the authorized amount of, or issue shares of, any class or series of senior stock, or issue any obligation or security convertible into or evidencing the right to purchase any such shares;</w:t>
      </w:r>
    </w:p>
    <w:p>
      <w:pPr>
        <w:spacing w:after="0" w:line="1" w:lineRule="exact"/>
        <w:rPr>
          <w:rFonts w:ascii="Arial" w:cs="Arial" w:eastAsia="Arial" w:hAnsi="Arial"/>
          <w:sz w:val="14"/>
          <w:szCs w:val="14"/>
          <w:color w:val="auto"/>
        </w:rPr>
      </w:pPr>
    </w:p>
    <w:p>
      <w:pPr>
        <w:jc w:val="both"/>
        <w:ind w:left="540" w:hanging="278"/>
        <w:spacing w:after="0" w:line="249" w:lineRule="auto"/>
        <w:tabs>
          <w:tab w:leader="none" w:pos="53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the provisions of our Restated Certificate of Incorporation so as to adversely affect the powers, preferences, privileges or rights of such Preferred Stock, taken as a whole; provided, however, that any increase in the amount of the authorized or issued preferred stock or authorized Common Stock or preferred stock or the creation and issuance, or an increase in the authorized or issued amount, of other series of preferred stock ranking equally with or junior to such Preferred Stock with respect to the payment of dividends (whether such dividends are cumulative or non-cumulative) or the distribution of assets upon liquidation, dissolution or winding up of Capital One will not be deemed to adversely affect the powers, preferences, privileges or rights of such Preferred Stock; or</w:t>
      </w:r>
    </w:p>
    <w:p>
      <w:pPr>
        <w:spacing w:after="0" w:line="2" w:lineRule="exact"/>
        <w:rPr>
          <w:rFonts w:ascii="Times New Roman" w:cs="Times New Roman" w:eastAsia="Times New Roman" w:hAnsi="Times New Roman"/>
          <w:sz w:val="12"/>
          <w:szCs w:val="12"/>
          <w:color w:val="auto"/>
        </w:rPr>
      </w:pPr>
    </w:p>
    <w:p>
      <w:pPr>
        <w:jc w:val="both"/>
        <w:ind w:left="540" w:hanging="278"/>
        <w:spacing w:after="0" w:line="255" w:lineRule="auto"/>
        <w:tabs>
          <w:tab w:leader="none" w:pos="53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consummate a binding share-exchange or reclassification involving such Preferred Stock, or a merger or our consolidation with or into another entity unless (i) the shares of such Preferred Stock remain outstanding or are converted into or exchanged for preference securities of the new surviving entity and (ii) the shares of the remaining Preferred Stock of such series or new preferred securities have terms that are not materially less favorable than such Preferred Stock.</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foregoing voting provisions will not apply if, at or prior to the time when the act with respect to which such vote would otherwise be required shall be effected, all outstanding shares of such Preferred Stock shall have been redeemed.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Rights under Delaware Law</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Delaware law provides that the holders of Preferred Stock will have the right to vote separately as a class on any amendment to our Restated Certificate of Incorporation that would increase or decrease the aggregate number of authorized shares of such class, increase or decrease the par value of the shares of such class, or alter or change the powers, preferences, or special rights of the shares of such class so as to affect them adversely. If any such proposed amendment would alter or change the powers, preferences or special rights of one or more series of Preferred Stock so as to affect them adversely, but would not so affect the entire class of preferred stock, only the shares of the series so affected shall be considered a separate class for purposes of this vote on the amendment. This right is in addition to any voting rights that may be provided for in our Restated Certificate of Incorporation.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786" w:right="2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2"/>
          <w:szCs w:val="12"/>
          <w:b w:val="1"/>
          <w:bCs w:val="1"/>
          <w:color w:val="auto"/>
        </w:rPr>
        <w:t>Other Preferred Stock</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Restated Certificate of Incorporation authorizes our Board to create and provide for the issuance of one or more series of preferred stock, par value $.01 per share, without the approval of our stockholders. Our Board can also determine the terms, including the designations, powers, preferences and rights (including conversion, voting and other rights) and the qualifications, limitations or restrictions, of any preferred stock. Currently, 50,000,000 shares of our capital stock are classified as preferred stock under our Restated Certificate of Incorporation. As of December 31, 2022, in addition to the Preferred Stock, we have issued and outstanding 1,000,000 shares of Fixed Rate Reset Non-Cumulative Perpetual Preferred Stock, Series M, which series ranks on a parity with the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Depositary</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Computershare Trust Company, N.A is the depositary for the Preferred Stock. We may, in our sole discretion, remove the depositary in accordance with the agreement between us and the depositary; provided that we will appoint a successor depositary who will accept such appointment prior to the effectiveness of its removal.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Preemptive and Conversion Rights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holders of the Preferred Stock do not have any preemptive or conversion rights.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Depositary Shares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Depositary Shares represent proportional fractional interests in shares of the applicable series of Preferred Stock. Each Depositary Share represents a 1/40th interest in a share of the applicable series of Preferred Stock, and is evidenced by depositary receipts. We have deposited the underlying shares of the Preferred Stock with the depositary pursuant to the Deposit Agreements. Subject to the terms of the Deposit Agreements, each holder of a Depositary Share is entitled, through the depositary, in proportion to the applicable fraction of a share of Preferred Stock represented by such Depositary Share, to all the rights and preferences of the Preferred Stock represented thereby (including dividend, voting, redemption and liquidation rights).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this exhibit, references to “holders” of Depositary Shares mean those who own Depositary Shares registered in their own names on the books that we or the depositary maintain for this purpose, and not indirect holders who own beneficial interests in Depositary Shares registered in street name or issued in book-entry form through DTC. Please review the special considerations that apply to indirect holders described in the section entitled “Book-Entry Procedures and Settlement”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the issuance of each series of the Preferred Stock, we deposited the Preferred Stock with the depositary, which then issued the Depositary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 and Other Distributions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dividend payable on a Depositary Share will be in an amount equal to 1/40th of the dividend declared and payable on the related share of the Preferred Stock.</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depositary will distribute any cash dividends or other cash distributions received in respect of the deposited Preferred Stock to the record holders of Depositary Shares relating to the underlying Preferred Stock in proportion to the number of Depositary Shares held by the holders. If Capital One makes a distribution other than in cash, the depositary will distribute any property received by it to the record holders of Depositary Shares entitled to those distributions, unless it determines that the distribution cannot be made proportionally among those holders or that it is not feasible to make a distribution. In that event, the depositary may, with our approval, sell the property and distribute the net proceeds from the sale to the holders of the Depositary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Record dates for the payment of dividends and other matters relating to the Depositary Shares will be the same as the corresponding record dates for each series of Preferred Stock.</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amounts distributed to holders of Depositary Shares will be reduced by any amounts required to be withheld by the depositary or by us on account of taxes or other governmental charges. The depositary may refuse to make any payment or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926" w:right="2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2"/>
          <w:szCs w:val="12"/>
          <w:color w:val="auto"/>
        </w:rPr>
        <w:t>distribution, or any transfer, exchange, or withdrawal of any Depositary Shares or the shares of the Preferred Stock until such taxes or other governmental charges are paid.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Redemption of Depositary Shares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we redeem a series of Preferred Stock represented by Depositary Shares, the related Depositary Share will be redeemed from the proceeds received by the depositary resulting from the redemption of such Preferred Stock held by the depositary. The redemption price per Depositary Share is expected to be equal to 1/40th of the redemption price per share payable with respect to such Preferred Stock (or $25 per Depositary Share), plus any declared and unpaid dividends.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Whenever we redeem shares of a series of Preferred Stock held by the depositary, the depositary will redeem, as of the same redemption date, the number of Depositary Shares representing shares of Preferred Stock so redeemed. If fewer than all of the outstanding Depositary Shares of a series are redeemed, the depositary will select the Depositary Shares of such series to be redeemed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or by lot. The depositary will send notice of redemption to record holders of such Depositary Shares (i) not less than 30 days nor more than 60 days (in the case of the Series L Depositary Shares, and the Series N Depositary Shares) or (ii) not less than 15 days nor more than 60 days (in the case of the Series I Depositary Shares, the Series J Depositary Shares, and the Series K Depositary Shares), prior to the date fixed for redemption of such Preferred Stock and the related Depositary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the Preferred Stock</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Because each Depositary Share represents a 1/40th interest in a share of the applicable series of Preferred Stock, holders of depositary receipts will be entitled to 1/40th of a vote per Depositary Share under those limited circumstances in which holders of the Preferred Stock are entitled to a vote.</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When the depositary receives notice of any meeting at which the holders of the Preferred Stock are entitled to vote, the depositary will send the information contained in the notice to the record holders of the Depositary Shares relating to the Preferred Stock. Each record holder of the Depositary Shares on the record date, which will be the same date as the record date for the Preferred Stock, may instruct the depositary to vote the amount of the Preferred Stock represented by the holder’s Depositary Shares. To the extent possible, the depositary will vote the amount of the Preferred Stock represented by Depositary Shares in accordance with the instructions it receives. We have agreed to take all reasonable actions that the depositary determines are necessary to enable the depositary to vote as instructed. If the depositary does not receive specific instructions from the holders of any Depositary Shares representing Preferred Stock, it will not vote the amount of Preferred Stock represented by such Depositary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Depositary</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Computershare Trust Company, N.A is the depositary for the Depositary Shares. We may, in our sole discretion, remove the depositary in accordance with the agreement between us and the depositary; provided that we will appoint a successor depositary who will accept such appointment prior to the effectiveness of its removal.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Form of Preferred Stock and Depositary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Depositary Shares have been issued in book-entry form through DTC, as described in “Book-Entry Procedures and Settlement” below. The Preferred Stock has been issued in registered form to the depositary.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Listing of Depositary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Depositary Shares are listed on the New York Stock Exchange under the following symbols: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Series I Depositary Shares: “COFPRI”</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Series J Depositary Shares: “COFPRJ”</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Series K Depositary Shares: “COFPRK”</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Series L Depositary Shares: “COFPRL”</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Series N Depositary Shares: “COFPRN”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786" w:right="2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2"/>
          <w:szCs w:val="12"/>
          <w:b w:val="1"/>
          <w:bCs w:val="1"/>
          <w:color w:val="auto"/>
        </w:rPr>
        <w:t>Book-Entry Procedures and Settlement</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have issued the Depositary Shares under a book-entry system in the form of global depositary receipts. We have registered the global depositary receipts in the name of a nominee for The Depository Trust Company (“DTC”). The global depositary receipts have been deposited with the depositary.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DTC is the only registered holder of the depositary receipts representing the Depositary Shares and is considered the sole owner of the depositary receipts for purposes of the applicable Deposit Agreement.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Global depositary receipts may be transferred, in whole and not in part, only to another nominee of DTC or to a successor of DTC or its nominee. Beneficial interests in the global depositary receipts may be held through Euroclear and Clearstream, each as indirect participants in DTC. Transfers of beneficial interests in the global depositary receipts are subject to the applicable rules and procedures of DTC and its direct and indirect participants, including, if applicable, those of Euroclear and Clearstream, which may change from time to time.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Direct participants in DTC’s system include both U.S. and non-U.S. securities brokers and dealers, banks, trust companies, clearing corporations, and certain other organizations. Access to DTC’s system also is available to others such as both U.S. and non- U.S. securities brokers and dealers, banks, trust companies and clearing corporations that clear through or maintain a custodial relationship with a direct participant, either directly or indirectly, which we collectively call indirect participants. Persons that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the indirect participants. The rules applicable to DTC and its participants are on file with the SEC.</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Ownership of beneficial interests in the global depositary receipts are limited to participants or persons that may hold interests through participants. Ownership of beneficial interests in the global depositary receipts will be shown on, and the transfer of those ownership interests may be effected only through, records maintained by DTC or its nominee (with respect to participants) and the records of participants and indirect participants (with respect to other owners of beneficial interests in the global depositary receipts).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All interests in a global depositary receipt, including those held through Euroclear or Clearstream, may be subject to the procedures and requirements of DTC. Those interests held through Euroclear or Clearstream may also be subject to the procedures and requirements of such systems.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laws of some states require that certain purchasers of securities take physical delivery of those securities in definitive form. These laws may impair the ability of holders to transfer beneficial interests in depositary receipts to certain purchasers. Because DTC can act only on behalf of the participants, which in turn act on behalf of the indirect participants, the ability of a person having beneficial interests in a global depositary receipt to pledge such interests to persons that do not participate in the DTC system, or otherwise take actions in respect of such interests, may be affected by the lack of a physical certificate evidencing such interests.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So long as DTC or any successor depositary for a depositary receipt, or any nominee, is the registered holder of such depositary receipt, DTC or such successor depositary or nominee will be considered the sole owner or holder of the Depositary Shares represented by such depositary receipts for all purposes under the applicable indenture. Except as set forth below, owners of beneficial interests in a depositary receipt will not be entitled to have Depositary Shares represented by such depositary receipt registered in their names, will not receive or be entitled to receive physical delivery of Depositary Shares or depositary receipts in definitive form, and will not be considered the owners or holders thereof for any purpose under the applicable Deposit Agreement. Accordingly, each person owning a beneficial interest in a depositary receipt must rely on the procedures of DTC and, if such person is not a participant, on the procedures of the participant through which such person owns its interest, to exercise any rights of a holder under the applicable Deposit Agreement. We understand that, under existing industry practices, in the event that we request any action of holders or that an owner of a beneficial interest in the depositary receipts desires to give any consent or take any action under the applicable Deposit Agreement, DTC or any successor depositary would authorize the participants holding the relevant beneficial interests to give or take such action or consent, and such participants would authorize beneficial owners owning through such participants to give or take such action or consent or would otherwise act upon the instructions of beneficial owners owning through them.</w:t>
      </w:r>
    </w:p>
    <w:p>
      <w:pPr>
        <w:spacing w:after="0" w:line="12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Payment of dividends, if any, distributions upon liquidation or other distributions with respect to the Depositary Shares that are registered in the name of or held by DTC or any successor depositary or nominee will be payable to DTC or such successor depositary or nominee, as the case may be, in its capacity as registered holder of the global depositary receipts representing the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782" w:right="299" w:bottom="1440" w:gutter="0" w:footer="0" w:header="0"/>
        </w:sectPr>
      </w:pPr>
    </w:p>
    <w:bookmarkStart w:id="229" w:name="page230"/>
    <w:bookmarkEnd w:id="229"/>
    <w:p>
      <w:pPr>
        <w:jc w:val="both"/>
        <w:spacing w:after="0" w:line="260" w:lineRule="auto"/>
        <w:rPr>
          <w:sz w:val="20"/>
          <w:szCs w:val="20"/>
          <w:color w:val="auto"/>
        </w:rPr>
      </w:pPr>
      <w:r>
        <w:rPr>
          <w:rFonts w:ascii="Times New Roman" w:cs="Times New Roman" w:eastAsia="Times New Roman" w:hAnsi="Times New Roman"/>
          <w:sz w:val="12"/>
          <w:szCs w:val="12"/>
          <w:color w:val="auto"/>
        </w:rPr>
        <w:t>Depositary Shares. Under the terms of each Deposit Agreement, the depositary will treat the persons in whose names the Depositary Shares, including the depositary receipts, are registered as the owners of such securities for the purpose of receiving payments and for all other purposes. Consequently, neither we, nor any depositary, nor any agent of us or any such depositary will have any responsibility or liability for any aspect of the records relating to, or payments made on account of, beneficial ownership interests in the depositary receipts, for maintaining, supervising or reviewing any records relating to such beneficial ownership interests, or for any other matter relating to the actions and practices of DTC or any of its participants or indirect participants.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have been advised by DTC that its current practice, upon receipt of any payment of dividends, distributions upon liquidation or other distributions with respect to the depositary receipts, is to credit participants’ accounts with payments on the payment date, unless DTC has reason to believe it will not receive payments on such payment date. Each relevant participant is credited with an amount proportionate to its beneficial ownership of an interest in the relevant security as shown on the records of DTC. Payments by participants and indirect participants to owners of beneficial interests in the global depositary receipts held through such participants and indirect participants will be governed by standing instructions and customary practices, as is now the case with securities held for the accounts of customers in bearer form or registered in “street name,” and will be the responsibility of such participants or indirect participants, and will not be the responsibility of us, any depositary, nor any agent of us or of any such depositary. Neither we nor any such depositary or agent will be liable for any delay by DTC or by any participant or indirect participant in identifying the beneficial owners of the Depositary Shares, and we and any such depositary or agent may conclusively rely on and will be protected in relying on instructions from DTC or its nominee for all purposes.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Although DTC, Euroclear and Clearstream have agreed to the foregoing procedures to facilitate transfers of interests in the global securities among participants in DTC, Euroclear and Clearstream, they are under no obligation to perform or to continue to perform such procedures, and may discontinue such procedures at any time. Neither we, nor any depositary, nor any agent of us or of any such depositary will have any responsibility for the performance by DTC, Euroclear or Clearstream or their respective participants or indirect participants of their respective obligations under the rules and procedures governing their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0"/>
          </w:cols>
          <w:pgMar w:left="300" w:top="786" w:right="29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2"/>
          <w:szCs w:val="12"/>
          <w:b w:val="1"/>
          <w:bCs w:val="1"/>
          <w:color w:val="auto"/>
        </w:rPr>
        <w:t>DESCRIPTION OF THE NOTES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following description of our 0.800% Senior Notes due 2024 (the “2024 Notes”) and our 1.650% Senior Notes due 2029 (the “2029 Notes,” and together with the 2024 Notes, the “Notes”) is a summary and does not purport to be complete. It is subject to and qualified in its entirety by reference to the senior indenture between us and The Bank of New York Mellon Trust Company, N.A., formerly known as The Bank of New York Trust Company, N.A. (as successor to Harris Trust and Savings Bank), as trustee (the “trustee”), dated as of November 1, 1996 (the “base indenture”), as supplemented and amended from time to time, and the Officers’ Certificate thereunder relating to the Notes, dated as of June 12, 2019 (collectively, the “indenture”). A copy of the base indenture has been filed with the SEC as Exhibit 4.1 to the Company’s Current Report on Form 8-K, filed on November 13, 1996, the Form of 2024 Note has been filed with the SEC as Exhibit 4.2 to the Company’s Current Report on Form 8-K, filed on June 12, 2019, and the Form of 2029 Note has been filed with the SEC as Exhibit 4.3 to the Company’s Current Report on Form 8-K, filed on June 12, 2019. We encourage you to read such documents for 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2024 Notes and the 2029 Notes constitute separate series of senior debt securities issued under the indenture.</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As of December 31, 2022, €750,000,000 in aggregate principal amount of the 2024 Notes was issued and outstanding and €500,000,000 in aggregate principal amount of the 2029 Notes was issued and outstanding. We may, without the consent of existing holders, increase the principal amount of either series of Notes by issuing more Notes in the future, on the same terms and conditions (other than any differences in the issue date, the price to the public and the first interest payment date) and with the same CUSIP, ISIN and/or any other identifying number (if appropriate), as the Notes described herein. We do not plan to inform existing holders if we reopen a series of Notes to issue and sell additional Notes in the future.</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2024 Notes will mature on June 12, 2024. The 2024 Notes bear interest from June 12, 2019 at the annual rate of 0.800%. We will pay interest on the 2024 notes annually in arrears on each June 12. We made the first interest payment on the 2024 Notes on June 12, 2020</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2029 Notes will mature on June 12, 2029. The 2029 Notes bear interest from June 12, 2019 at the annual rate of 1.650%. We will pay interest on the 2029 notes annually in arrears on each June 12. We made the first interest payment on the 2029 Notes on June 12, 2020.</w:t>
      </w:r>
    </w:p>
    <w:p>
      <w:pPr>
        <w:spacing w:after="0" w:line="11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We will pay interest to the person in whose name the Note is registered at the close of business on the fifteenth calendar day (whether or not a business day) immediately preceding the relevant interest payment date, except that we will pay interest payable at the maturity date of the Notes to the person or persons to whom principal is payable.</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Interest on each series of Notes will be computed on the basis of the actual number of days in the period for which interest is being calculated and the actual number of days from and including the last date on which interest was paid on such notes to, but excluding the next scheduled interest payment date. This payment convention is referred to as ACTUAL/ACTUAL (ICMA) as defined in the rulebook of the International Capital Market Association. If any date on which interest is payable on a series of Notes is not a business day, the payment of the interest payable on that date will be made on the next day that is a business day, without any interest or other payment in respect of the delay, with the same force and effect as if made on the scheduled payment date. If the maturity date of a series of Notes falls on a day that is not a business day, the payment of interest and principal shall be made on the next succeeding business day, and no interest will accrue after such maturity date.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Notes do not have the benefit of a sinking fund-that is, we will not deposit money on a regular basis into any separate custodial account to repay the notes.</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used herein, the term “business day” means, any day that is not a Saturday or Sunday (i) that is not a day on which banking institutions in New York, New York, Chicago, Illinois, McLean, Virginia or London, England are authorized or obligated by law to close and (ii) on which the Trans-European Automated Real-time Gross Settlement Express Transfer system, or the TARGET2 system, or any successor thereto, operates.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Payment of Additional Amounts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will, subject to the exceptions and limitations set forth below, pay to or on account of a beneficial owner of a Note who is a Non-U.S. Holder (as defined below) such additional amounts as are necessary to ensure that the net payment by us of the principal of and interest on such Note, after deduction or withholding for any present or future tax, assessment or other governmental charge imposed by or on behalf of the United States (or any political subdivision or taxing authority of the United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0"/>
          </w:cols>
          <w:pgMar w:left="300" w:top="782" w:right="2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2"/>
          <w:szCs w:val="12"/>
          <w:color w:val="auto"/>
        </w:rPr>
        <w:t>States) on such payment, will not be less than the amount that would have been payable had no such deduction or withholding been required. However, we will not pay additional amounts for or on account of:</w:t>
      </w:r>
    </w:p>
    <w:p>
      <w:pPr>
        <w:spacing w:after="0" w:line="17" w:lineRule="exact"/>
        <w:rPr>
          <w:sz w:val="20"/>
          <w:szCs w:val="20"/>
          <w:color w:val="auto"/>
        </w:rPr>
      </w:pPr>
    </w:p>
    <w:p>
      <w:pPr>
        <w:jc w:val="both"/>
        <w:ind w:left="640" w:hanging="216"/>
        <w:spacing w:after="0" w:line="252" w:lineRule="auto"/>
        <w:tabs>
          <w:tab w:leader="none" w:pos="63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tax, assessment or other governmental charge which would not have been so imposed but for the existence of any present or former connection between the holder or beneficial owner of a Note (or between a fiduciary, settlor, person holding power over an estate or trust administered by a fiduciary holder, beneficiary, member, partner or shareholder of such person, if such person is an estate, a trust, a limited liability company, a partnership or a corporation) and the United States, including, without limitation, such person (or such fiduciary, settlor, person holding power over an estate or trust administered by a fiduciary holder, beneficiary, member, partner or shareholder) being or having been a citizen or resident thereof or being or having been engaged in a trade or business or present therein or having, or having had, a permanent establishment therein or any other connection or relationship with the United States (other than a connection arising solely as a result of the ownership of the Notes or the exercise or enforcement of rights under the Notes); or (ii) the presentation of any such Note for payment on a date more than 15 calendar days after the date on which such payment became due and payable or the date on which payment thereof is duly provided for, whichever occurs later;</w:t>
      </w:r>
    </w:p>
    <w:p>
      <w:pPr>
        <w:spacing w:after="0" w:line="145"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estate, inheritance, gift, sales, excise, transfer, wealth, capital gains or personal property tax or any similar tax, assessment or governmental charge;</w:t>
      </w:r>
    </w:p>
    <w:p>
      <w:pPr>
        <w:spacing w:after="0" w:line="168" w:lineRule="exact"/>
        <w:rPr>
          <w:rFonts w:ascii="Times New Roman" w:cs="Times New Roman" w:eastAsia="Times New Roman" w:hAnsi="Times New Roman"/>
          <w:sz w:val="12"/>
          <w:szCs w:val="12"/>
          <w:color w:val="auto"/>
        </w:rPr>
      </w:pPr>
    </w:p>
    <w:p>
      <w:pPr>
        <w:ind w:left="640" w:hanging="216"/>
        <w:spacing w:after="0" w:line="279" w:lineRule="auto"/>
        <w:tabs>
          <w:tab w:leader="none" w:pos="63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assessment or other governmental charge imposed by reason of the holder or beneficial owner’s past or present status as a personal holding company, controlled foreign corporation, passive foreign investment company for U.S. federal income tax purposes or as a corporation which accumulates earnings to avoid United States federal income tax or as a private foundation or other tax-exempt organization;</w:t>
      </w:r>
    </w:p>
    <w:p>
      <w:pPr>
        <w:spacing w:after="0" w:line="12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assessment or other governmental charge which is payable otherwise than by withholding by us or a paying agent from payments on or in respect of any Note;</w:t>
      </w:r>
    </w:p>
    <w:p>
      <w:pPr>
        <w:spacing w:after="0" w:line="168" w:lineRule="exact"/>
        <w:rPr>
          <w:rFonts w:ascii="Times New Roman" w:cs="Times New Roman" w:eastAsia="Times New Roman" w:hAnsi="Times New Roman"/>
          <w:sz w:val="12"/>
          <w:szCs w:val="12"/>
          <w:color w:val="auto"/>
        </w:rPr>
      </w:pPr>
    </w:p>
    <w:p>
      <w:pPr>
        <w:jc w:val="both"/>
        <w:ind w:left="640" w:hanging="216"/>
        <w:spacing w:after="0" w:line="265" w:lineRule="auto"/>
        <w:tabs>
          <w:tab w:leader="none" w:pos="634"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assessment or other governmental charge which would not have been imposed but for the failure to comply with certification, information or other reporting requirements concerning the nationality, residence or identity, or the connections with the United States, of the holder or beneficial owner of such Note, if such compliance is required by statute or by regulation of the United States or of any political subdivision or taxing authority thereof or therein as a precondition to relief or exemption from such tax, assessment or other governmental charge;</w:t>
      </w:r>
    </w:p>
    <w:p>
      <w:pPr>
        <w:spacing w:after="0" w:line="136" w:lineRule="exact"/>
        <w:rPr>
          <w:rFonts w:ascii="Times New Roman" w:cs="Times New Roman" w:eastAsia="Times New Roman" w:hAnsi="Times New Roman"/>
          <w:sz w:val="12"/>
          <w:szCs w:val="12"/>
          <w:color w:val="auto"/>
        </w:rPr>
      </w:pPr>
    </w:p>
    <w:p>
      <w:pPr>
        <w:jc w:val="both"/>
        <w:ind w:left="640" w:right="20" w:hanging="216"/>
        <w:spacing w:after="0" w:line="265" w:lineRule="auto"/>
        <w:tabs>
          <w:tab w:leader="none" w:pos="639"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assessment or other governmental charge imposed pursuant to sections 1471 through 1474 of the Internal Revenue Code of 1986, as amended (the “Code”), or any amended or successor version of such sections, (“FATCA”), any regulations or other guidance thereunder, or any agreement (including any intergovernmental agreement) entered into in connection therewith or any law, regulation, rules, practices or other official guidance adopted in any jurisdiction implementing FATCA or an intergovernmental agreement in respect of FATCA;</w:t>
      </w:r>
    </w:p>
    <w:p>
      <w:pPr>
        <w:spacing w:after="0" w:line="136" w:lineRule="exact"/>
        <w:rPr>
          <w:rFonts w:ascii="Times New Roman" w:cs="Times New Roman" w:eastAsia="Times New Roman" w:hAnsi="Times New Roman"/>
          <w:sz w:val="12"/>
          <w:szCs w:val="12"/>
          <w:color w:val="auto"/>
        </w:rPr>
      </w:pPr>
    </w:p>
    <w:p>
      <w:pPr>
        <w:ind w:left="640" w:hanging="216"/>
        <w:spacing w:after="0" w:line="279" w:lineRule="auto"/>
        <w:tabs>
          <w:tab w:leader="none" w:pos="632"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assessment or other governmental charge imposed by reason of (i) being or having been a “10-percent shareholder” of the Company as defined in section 871(h)(3)(B) of the Code, (ii) a bank receiving interest described in section 881(c)(3)(A) of the Code or (iii) being or having been a controlled foreign corporation that is related to the Company within the meaning of section 864(d) of the Code;</w:t>
      </w:r>
    </w:p>
    <w:p>
      <w:pPr>
        <w:spacing w:after="0" w:line="12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assessment or other governmental charge required to be deducted or withheld by any paying agent if such payment can be made without such deduction or withholding by at least one other paying agent;</w:t>
      </w:r>
    </w:p>
    <w:p>
      <w:pPr>
        <w:spacing w:after="0" w:line="168"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2"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273"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any combination of two or more of items (a), (b), (c), (d), (e), (f), (g), (h) and (i),</w:t>
      </w:r>
    </w:p>
    <w:p>
      <w:pPr>
        <w:spacing w:after="0" w:line="150" w:lineRule="exact"/>
        <w:rPr>
          <w:rFonts w:ascii="Times New Roman" w:cs="Times New Roman" w:eastAsia="Times New Roman" w:hAnsi="Times New Roman"/>
          <w:sz w:val="12"/>
          <w:szCs w:val="12"/>
          <w:color w:val="auto"/>
        </w:rPr>
      </w:pPr>
    </w:p>
    <w:p>
      <w:pPr>
        <w:jc w:val="both"/>
        <w:ind w:left="640"/>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nor shall additional amounts be paid with respect to any payment on a Note to any holder or Non-U.S. Holder who is a fiduciary, limited liability company or partnership or other than the sole beneficial owner of such payment to the extent the beneficiary or settlor with respect to such fiduciary, member of such limited liability company, partner of such partnership or beneficial owner with respect to such holder would not have been entitled to the additional amounts had such beneficiary, settlor, member, partner or beneficial owner been the holder of the Note.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786" w:right="299" w:bottom="1440" w:gutter="0" w:footer="0" w:header="0"/>
        </w:sectPr>
      </w:pPr>
    </w:p>
    <w:bookmarkStart w:id="232" w:name="page233"/>
    <w:bookmarkEnd w:id="232"/>
    <w:p>
      <w:pPr>
        <w:jc w:val="both"/>
        <w:spacing w:after="0" w:line="260" w:lineRule="auto"/>
        <w:rPr>
          <w:sz w:val="20"/>
          <w:szCs w:val="20"/>
          <w:color w:val="auto"/>
        </w:rPr>
      </w:pPr>
      <w:r>
        <w:rPr>
          <w:rFonts w:ascii="Times New Roman" w:cs="Times New Roman" w:eastAsia="Times New Roman" w:hAnsi="Times New Roman"/>
          <w:sz w:val="12"/>
          <w:szCs w:val="12"/>
          <w:color w:val="auto"/>
        </w:rPr>
        <w:t>The term “Non-U.S. Holder” in this section means any beneficial owner of a Note that is not, for United States federal income tax purposes, (i) a citizen or resident of the United States, (ii) a corporation, partnership or other entity created or organized in or under the laws of the United States or any political subdivision thereof, (iii) an estate whose income is subject to United States federal income tax regardless of its source, or (iv) a trust if a court within the United States is able to exercise primary supervision over the administration of the trust and one or more United States persons have the authority to control all substantial decisions of the trust or if such trust has a valid election in effect under applicable U.S. Treasury regulations to be treated as a United States person.</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Redemption for Tax Reasons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may redeem either series of Notes prior to maturity in whole, but not in part, on not more than 60 days’ notice and not less than 10 days’ notice, at a redemption price equal to 100% of their principal amount plus any accrued interest and additional amounts to, but not including, the date fixed for redemption if we determine that, as a result of any change in, or amendment to, the laws (or any regulations or rulings promulgated thereunder) of the United States or of any political subdivision or taxing authority thereof or therein, or any income tax treaty, or any change in, or amendment to, an official position regarding the application or interpretation of such laws, regulations or rulings, or treaties, which change or amendment becomes effective on or after the date of issuance of such notes, we have or will become obligated to pay additional amounts with respect to such notes as described above under “Payment of Additional Amounts.”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we exercise our option to redeem a series of Notes, we will deliver to the trustee a certificate signed by an authorized officer stating that we are entitled to redeem such 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than as set forth above, the Notes are not subject to redemption prior to maturity. The Notes are not subject to repayment at the option of the holders at any time prior to maturity.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Issuance in Euros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All payments of interest and principal, including payments made upon any redemption of the Notes, will be payable in euros. If, on or after the date of issuance, the euro is unavailable to us due to the imposition of exchange controls or other circumstances beyond our control or if the euro is no longer being used by the then member states of the European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on the basis of the most recently available market exchange rate for the euro. Any payment in respect of the Notes so made in U.S. dollars will not constitute an event of default under the Notes or the indenture. Neither the trustee nor the paying agent shall have any responsibility for any calculation or conversion in connection with the foregoing.</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used in this section, “market exchange rate” means the noon buying rate in The City of New York for cable transfers of euros as certified for customs purposes (or, if not so certified, as otherwise determined) by the United States Federal Reserve Board. Investors will be subject to foreign exchange risks as to payments of principal and interest that may have important economic and tax consequences to them.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Denominations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Notes were issued in minimum denominations of €100,000 and in integral multiples of €1,000 in excess thereof.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Ranking</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indenture does not limit the amount of additional senior indebtedness that we or any of our subsidiaries may incur, including the issuance of additional debt securities under the base indenture ranking equally with the Notes, or significantly limit our operations. In particular, it does not:</w:t>
      </w:r>
    </w:p>
    <w:p>
      <w:pPr>
        <w:spacing w:after="0" w:line="39" w:lineRule="exact"/>
        <w:rPr>
          <w:sz w:val="20"/>
          <w:szCs w:val="20"/>
          <w:color w:val="auto"/>
        </w:rPr>
      </w:pPr>
    </w:p>
    <w:p>
      <w:pPr>
        <w:ind w:left="520" w:hanging="258"/>
        <w:spacing w:after="0"/>
        <w:tabs>
          <w:tab w:leader="none" w:pos="5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 the amount of debt securities that we can issue under the base indenture;</w:t>
      </w:r>
    </w:p>
    <w:p>
      <w:pPr>
        <w:spacing w:after="0" w:line="1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 the number of series of debt securities that we can issue from time to time;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786" w:right="299" w:bottom="1440" w:gutter="0" w:footer="0" w:header="0"/>
        </w:sectPr>
      </w:pPr>
    </w:p>
    <w:bookmarkStart w:id="233" w:name="page234"/>
    <w:bookmarkEnd w:id="233"/>
    <w:p>
      <w:pPr>
        <w:ind w:left="520" w:hanging="258"/>
        <w:spacing w:after="0"/>
        <w:tabs>
          <w:tab w:leader="none" w:pos="520" w:val="left"/>
        </w:tabs>
        <w:numPr>
          <w:ilvl w:val="0"/>
          <w:numId w:val="123"/>
        </w:numPr>
        <w:rPr>
          <w:rFonts w:ascii="Arial" w:cs="Arial" w:eastAsia="Arial" w:hAnsi="Arial"/>
          <w:sz w:val="14"/>
          <w:szCs w:val="14"/>
          <w:color w:val="auto"/>
        </w:rPr>
      </w:pPr>
      <w:r>
        <w:rPr>
          <w:rFonts w:ascii="Times New Roman" w:cs="Times New Roman" w:eastAsia="Times New Roman" w:hAnsi="Times New Roman"/>
          <w:sz w:val="12"/>
          <w:szCs w:val="12"/>
          <w:color w:val="auto"/>
        </w:rPr>
        <w:t>limit or otherwise restrict the total amount of debt that we or our subsidiaries may incur or the amount of other securities that we may issue;</w:t>
      </w:r>
    </w:p>
    <w:p>
      <w:pPr>
        <w:spacing w:after="0" w:line="1" w:lineRule="exact"/>
        <w:rPr>
          <w:rFonts w:ascii="Arial" w:cs="Arial" w:eastAsia="Arial" w:hAnsi="Arial"/>
          <w:sz w:val="14"/>
          <w:szCs w:val="14"/>
          <w:color w:val="auto"/>
        </w:rPr>
      </w:pPr>
    </w:p>
    <w:p>
      <w:pPr>
        <w:ind w:left="520" w:hanging="258"/>
        <w:spacing w:after="0"/>
        <w:tabs>
          <w:tab w:leader="none" w:pos="5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or an acquiror to repurchase debt securities in the event of a “change in control;” or</w:t>
      </w:r>
    </w:p>
    <w:p>
      <w:pPr>
        <w:spacing w:after="0" w:line="4" w:lineRule="exact"/>
        <w:rPr>
          <w:rFonts w:ascii="Times New Roman" w:cs="Times New Roman" w:eastAsia="Times New Roman" w:hAnsi="Times New Roman"/>
          <w:sz w:val="12"/>
          <w:szCs w:val="12"/>
          <w:color w:val="auto"/>
        </w:rPr>
      </w:pPr>
    </w:p>
    <w:p>
      <w:pPr>
        <w:ind w:left="540" w:hanging="278"/>
        <w:spacing w:after="0" w:line="260" w:lineRule="auto"/>
        <w:tabs>
          <w:tab w:leader="none" w:pos="537"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contain any covenant or other provision that is specifically intended to afford any holder of the debt securities any protection in the event of highly leveraged transactions or similar transactions involving us or our subsidiaries.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Notes are our direct unsecured obligations and rank equally with all of our other unsecured unsubordinated indebtedness. Payments of the principal and interest on the Notes will rank equally with all of Capital One’s other unsecured and unsubordinated debt. Capital One’s senior indebtedness ranks pari passu with the Notes. The Notes are our exclusive obligations and not those of our subsidiaries. Since we are a holding company and substantially all of our operations are conducted through subsidiaries, our cash flow and consequently our ability to service debt, including the Notes, depend upon the earnings of our subsidiaries and the distribution of those earnings to us or upon other payments of funds by those subsidiaries to us. The subsidiaries are separate and distinct legal entities and have no obligation, contingent or otherwise, to pay any amounts due on the Notes or to provide us with funds for payments on the Notes, whether by dividends, distributions, loans or other payments. Our subsidiaries engaged in the banking or credit card business can only pay dividends if they are in compliance with applicable United States federal and state regulatory requirements. Our right to participate in any asset distribution of any of our subsidiaries, including CONA, on liquidation, reorganization or otherwise, will rank junior to the rights of all creditors of that subsidiaries, (except to the extent that we may ourselves be an unsubordinated creditor of that subsidiary). As a result, the rights of holders of the Notes to benefit from those distributions will also be junior to the rights of all creditors of our subsidiaries. Consequently, the Notes will be effectively subordinated to all liabilities of our subsidiary CONA, and are subject to claims by creditors for long-term and short-term debt obligations, including deposit liabilities, obligations for federal funds purchased and securities sold under repurchase agreements. There are also various legal limitations on the extent to which CONA may pay dividends or otherwise supply funds to us or our other affiliates.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Securities; Book-Entry Issue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Global Clearance and Settlement</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Notes are issued in the form of one or more global notes (each a “global note”) in fully registered form, without coupons, and were deposited on the closing date with, or on behalf of, a common depositary for, and in respect of interests held through, Euroclear and Clearstream. Except as described herein, certificates will not be issued in exchange for beneficial interests in the global notes.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Except as set forth below, the global notes may be transferred, in whole and not in part, only to a common depositary for Euroclear or Clearstream or its nominee. Beneficial interests in the global notes will be represented, and transfers of such beneficial interests will be effected, through accounts of financial institutions acting on behalf of beneficial owners as direct or indirect participants in Euroclear or Clearstream. Those beneficial interests will be in denominations of €100,000 and integral multiples of €1,000 in excess thereof. Investors may hold Notes directly through Euroclear or Clearstream, if they are participants in such systems, or indirectly through organizations that are participants in such systems.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Owners of beneficial interests in the global notes will not be entitled to have Notes registered in their names, and will not receive or be entitled to receive physical delivery of Notes in definitive form. Except as provided below, beneficial owners will not be considered the owners or holders of the Notes under the indenture, including for purposes of receiving any reports delivered by us or the trustee pursuant to the indenture. Accordingly, each beneficial owner must rely on the procedures of the clearing systems and, if such person is not a participant of the clearing systems, on the procedures of the participant through which such person owns its interest, to exercise any rights of a holder under the indenture. Under existing industry practices, if we request any action of holders or a beneficial owner desires to give or take any action which a holder is entitled to give or take under the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will be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pacing w:after="0" w:line="12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Persons who are not Euroclear or Clearstream participants may beneficially own Notes held by the common depositary for Euroclear and Clearstream only through direct or indirect participants in Euroclear and Clearstream. So long as the common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663" w:right="299" w:bottom="1440" w:gutter="0" w:footer="0" w:header="0"/>
        </w:sectPr>
      </w:pPr>
    </w:p>
    <w:bookmarkStart w:id="234" w:name="page235"/>
    <w:bookmarkEnd w:id="234"/>
    <w:p>
      <w:pPr>
        <w:jc w:val="both"/>
        <w:spacing w:after="0" w:line="279" w:lineRule="auto"/>
        <w:rPr>
          <w:sz w:val="20"/>
          <w:szCs w:val="20"/>
          <w:color w:val="auto"/>
        </w:rPr>
      </w:pPr>
      <w:r>
        <w:rPr>
          <w:rFonts w:ascii="Times New Roman" w:cs="Times New Roman" w:eastAsia="Times New Roman" w:hAnsi="Times New Roman"/>
          <w:sz w:val="12"/>
          <w:szCs w:val="12"/>
          <w:color w:val="auto"/>
        </w:rPr>
        <w:t>depositary for Euroclear and Clearstream is the registered owner of the global note, the common depositary for all purposes will be considered the sole holder of the Notes represented by the global note under the indenture and the global notes.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Euroclear and Clearstream may discontinue providing services with respect to the Notes at any time by giving reasonable notice to the issuer or its agent. Under these circumstances, in the event that a successor securities depositary is not obtained, certificates for the Notes are required to be printed and delivered. We may decide to discontinue the use of the system of book-entry-only transfers through Euroclear and Clearstream (or any successor securities depository). In that event, certificates for the Notes will be printed and delivered to Euroclear and Clearstream.</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So long as Euroclear or Clearstream or their nominee or their common depositary is the registered holder of the global notes, Euroclear, Clearstream or such nominee or common depositary, as the case may be, will be considered the sole owner or holder of the Notes represented by such Notes for all purposes under the indenture and the Notes. Payments of principal, interest and additional amounts, if any, in respect of the global notes will be made to Euroclear, Clearstream or such nominee or common depositary, as the case may be, as registered holder thereof. None of us, the trustee, any underwriter and any affiliate of any of the above or any person by whom any of the above is controlled (as such term is defined in the Securities Act) will have any responsibility or liability for any records relating to or payments made on account of beneficial ownership interests in the global notes or for maintaining, supervising or reviewing any records relating to such beneficial ownership interests.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Distribution of principal and interest with respect to the global note will be credited in euros to the extent received by Euroclear or Clearstream from the trustee or the paying agent, as applicable, to the cash accounts of Euroclear or Clearstream customers in accordance with the relevant system’s rules and procedures.</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Because Euroclear and Clearstream can only act on behalf of participants, who in turn act on behalf of indirect participants, the ability of a person having an interest in the global notes to pledge such interest to persons or entities which do not participate in the relevant clearing system, or otherwise take actions in respect of such interest, may be affected by the lack of a physical certificate in respect of such interest.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holdings of book-entry interests in the global notes through Euroclear and Clearstream will be reflected in the book-entry accounts of each such institution. As necessary, the registrar will adjust the amounts of the global notes on the register for the accounts of the common depositary to reflect the amounts of Notes held through Euroclear and Clearstream,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Trustee and Paying Agent</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Bank of New York Mellon Trust Company, N.A., formerly known as The Bank of New York Trust Company, N.A. (as successor to Harris Trust and Savings Bank) is the trustee with respect to the Notes. The trustee is one of a number of banks with which we and our subsidiaries maintain banking and trust relationships in the ordinary course of business. The Bank of New York Mellon, London Branch, is acting as paying agent with respect to the Notes.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Principal of, premium, if any, and interest on the Notes will be payable at the office of the paying agent or, at our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common depositary, and registered in the name of the nominee of the common depositary for the accounts of Clearstream and Euroclear will be made in immediately available funds through the facilities of the common depositary. We may change the paying agent without prior notice to the holders, and we or any of our subsidiaries may act as paying agent.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300"/>
          </w:cols>
          <w:pgMar w:left="300" w:top="786" w:right="2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 the base indenture, we agree to the following:</w:t>
      </w:r>
    </w:p>
    <w:p>
      <w:pPr>
        <w:spacing w:after="0" w:line="78" w:lineRule="exact"/>
        <w:rPr>
          <w:sz w:val="20"/>
          <w:szCs w:val="20"/>
          <w:color w:val="auto"/>
        </w:rPr>
      </w:pPr>
    </w:p>
    <w:p>
      <w:pPr>
        <w:jc w:val="both"/>
        <w:ind w:left="540" w:hanging="278"/>
        <w:spacing w:after="0" w:line="255" w:lineRule="auto"/>
        <w:tabs>
          <w:tab w:leader="none" w:pos="537"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permitted as described in the section “Consolidation, Merger and Sale of Assets,” we will preserve and keep in full force and effect our corporate existence and the corporate existence of each of our significant subsidiaries (as defined below) and our rights (charter and statutory) and franchises and those of each of our significant subsidiaries. However, neither we nor any of our significant subsidiaries will be required to preserve any of these rights or franchises if we or the significant subsidiary, as the case may be, determine that the preservation of these rights or franchises is no longer desirable in the conduct of our or its business, as applicable, and that the loss of these rights or franchises is not disadvantageous in any material respect to the holders of our debt securities issued thereunder.</w:t>
      </w:r>
    </w:p>
    <w:p>
      <w:pPr>
        <w:jc w:val="both"/>
        <w:ind w:left="540" w:hanging="278"/>
        <w:spacing w:after="0" w:line="250" w:lineRule="auto"/>
        <w:tabs>
          <w:tab w:leader="none" w:pos="537"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base indenture contains a covenant by us limiting our ability to dispose of the voting stock of a significant subsidiary. A “significant subsidiary” is any of our majority-owned subsidiaries the consolidated assets of which (as reflected on our consolidated balance sheet) constitute 20% or more of our consolidated assets. This covenant generally provides that, except as permitted as described under the section “Consolidation, Merger and Sale of Assets,” as long as any of the debt securities issued thereunder are outstanding:</w:t>
      </w:r>
    </w:p>
    <w:p>
      <w:pPr>
        <w:jc w:val="both"/>
        <w:ind w:left="540" w:hanging="278"/>
        <w:spacing w:after="0" w:line="250" w:lineRule="auto"/>
        <w:tabs>
          <w:tab w:leader="none" w:pos="537"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we nor any of our significant subsidiaries will sell, assign, transfer or otherwise dispose of the voting stock of a significant subsidiary or securities convertible into or options, warrants or rights to subscribe for or purchase such voting stock, and we will not permit a significant subsidiary to issue voting stock, or securities convertible into or options, warrants or rights to subscribe for or purchase such voting stock, in each case if, after giving effect to such transaction and to the issuance of the maximum number of shares of voting stock of the significant subsidiary issuable upon the exercise of all such convertibles securities, options, warrants or rights, such significant subsidiary would cease to be a controlled subsidiary (as defined below); and</w:t>
      </w:r>
    </w:p>
    <w:p>
      <w:pPr>
        <w:spacing w:after="0" w:line="1" w:lineRule="exact"/>
        <w:rPr>
          <w:rFonts w:ascii="Times New Roman" w:cs="Times New Roman" w:eastAsia="Times New Roman" w:hAnsi="Times New Roman"/>
          <w:sz w:val="12"/>
          <w:szCs w:val="12"/>
          <w:color w:val="auto"/>
        </w:rPr>
      </w:pPr>
    </w:p>
    <w:p>
      <w:pPr>
        <w:ind w:left="540" w:hanging="278"/>
        <w:spacing w:after="0" w:line="260" w:lineRule="auto"/>
        <w:tabs>
          <w:tab w:leader="none" w:pos="537"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not permit a significant subsidiary to merge or consolidate with or into any corporation unless the survivor is us or is, or upon consummation of the merger or consolidation will become, a controlled subsidiary, or to lease, sell or transfer all or substantially all of its properties and assets except to us or a controlled subsidiary or a person that upon such lease, sale or transfer will become a controlled subsidiary.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“controlled subsidiary” is a significant subsidiary at least 80% of the voting stock of which is owned by us and/or one or more of our controlled subsidiaries.</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limitations described above do not apply to certain transactions required by law, rule, regulation or governmental order (including as a condition to an acquisition of another entity by us) or to any sale or transfer of assets in a securitization transaction.</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addition, the base indenture contains a covenant by us limiting our ability to create liens on the voting stock of a significant subsidiary. This covenant generally provides that, as long as any of the debt securities issued thereunder are outstanding, neither we nor any of our subsidiaries will create, assume or incur any pledge, encumbrance or lien upon a significant subsidiary’s voting stock, or upon securities convertible into or options, warrants or rights to subscribe for or purchase, a significant subsidiary’s voting stock, directly or indirectly, to secure indebtedness for borrowed money, if, treating such pledge, encumbrance or lien as a transfer of the significant subsidiary’s voting stock or securities convertible into or options, warrants or rights to subscribe for or purchase the significant subsidiary’s voting stock to the secured party (in each case after giving effect to such transaction and to the issuance of the maximum number of shares of voting stock of the significant subsidiary issuable upon the exercise of all such convertible securities, options, warrants or rights), the significant subsidiary would not continue to be a controlled subsidiary, unless the debt securities issued thereunder are equally and ratably secured with any and all such indebtedness by this pledge, encumbrance or lien.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Consolidation, Merger and Sale of Assets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base indenture generally permits a consolidation or merger between us and another corporation and the conveyance, transfer or lease by us of all or substantially all of our property or assets, in each case without the consent of the holders of any outstanding debt securities. However, the base indenture requires that:</w:t>
      </w:r>
    </w:p>
    <w:p>
      <w:pPr>
        <w:spacing w:after="0" w:line="39" w:lineRule="exact"/>
        <w:rPr>
          <w:sz w:val="20"/>
          <w:szCs w:val="20"/>
          <w:color w:val="auto"/>
        </w:rPr>
      </w:pPr>
    </w:p>
    <w:p>
      <w:pPr>
        <w:ind w:left="540" w:hanging="278"/>
        <w:spacing w:after="0" w:line="259" w:lineRule="auto"/>
        <w:tabs>
          <w:tab w:leader="none" w:pos="537"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successor or purchaser is a corporation organized under the laws of the United States of America, any state thereof or the District of Columbia and expressly assumes our obligations on the debt securities under the base indenture;</w:t>
      </w:r>
    </w:p>
    <w:p>
      <w:pPr>
        <w:spacing w:after="0" w:line="1"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giving effect to the transaction, no event which, after notice or lapse of time, would become an event of default, will have occurred and be continuing pursuant to the base indenture; and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300"/>
          </w:cols>
          <w:pgMar w:left="300" w:top="782" w:right="299" w:bottom="1440" w:gutter="0" w:footer="0" w:header="0"/>
        </w:sectPr>
      </w:pPr>
    </w:p>
    <w:bookmarkStart w:id="236" w:name="page237"/>
    <w:bookmarkEnd w:id="236"/>
    <w:p>
      <w:pPr>
        <w:ind w:left="540" w:hanging="278"/>
        <w:spacing w:after="0" w:line="279" w:lineRule="auto"/>
        <w:tabs>
          <w:tab w:leader="none" w:pos="537"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we or the successor person has delivered to the trustee an officer’s certificate and an opinion of counsel stating the consolidation, merger, transfer or lease, as applicable, complied with these provisions and all conditions precedent of the base indenture.</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successor shall be substituted for us as if it had been an original party to the base indenture and the debt securities issued thereunder. Thereafter, the successor may exercise our rights and powers under the base indenture and the debt securities issued thereunder and, except in the case of a lease, we will be released from all of our obligations and covenants under those documents.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Events of Default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Events of default under the indenture with respect to the Notes of a series are:</w:t>
      </w:r>
    </w:p>
    <w:p>
      <w:pPr>
        <w:spacing w:after="0" w:line="78" w:lineRule="exact"/>
        <w:rPr>
          <w:sz w:val="20"/>
          <w:szCs w:val="20"/>
          <w:color w:val="auto"/>
        </w:rPr>
      </w:pPr>
    </w:p>
    <w:p>
      <w:pPr>
        <w:ind w:left="460" w:hanging="171"/>
        <w:spacing w:after="0"/>
        <w:tabs>
          <w:tab w:leader="none" w:pos="4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pay interest on the Notes of such series when due and continuance of that default for 30 days;</w:t>
      </w:r>
    </w:p>
    <w:p>
      <w:pPr>
        <w:spacing w:after="0" w:line="150" w:lineRule="exact"/>
        <w:rPr>
          <w:rFonts w:ascii="Times New Roman" w:cs="Times New Roman" w:eastAsia="Times New Roman" w:hAnsi="Times New Roman"/>
          <w:sz w:val="12"/>
          <w:szCs w:val="12"/>
          <w:color w:val="auto"/>
        </w:rPr>
      </w:pPr>
    </w:p>
    <w:p>
      <w:pPr>
        <w:ind w:left="460" w:hanging="171"/>
        <w:spacing w:after="0"/>
        <w:tabs>
          <w:tab w:leader="none" w:pos="4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pay the principal of the Notes of such series when due and payable;</w:t>
      </w:r>
    </w:p>
    <w:p>
      <w:pPr>
        <w:spacing w:after="0" w:line="150" w:lineRule="exact"/>
        <w:rPr>
          <w:rFonts w:ascii="Times New Roman" w:cs="Times New Roman" w:eastAsia="Times New Roman" w:hAnsi="Times New Roman"/>
          <w:sz w:val="12"/>
          <w:szCs w:val="12"/>
          <w:color w:val="auto"/>
        </w:rPr>
      </w:pPr>
    </w:p>
    <w:p>
      <w:pPr>
        <w:ind w:right="20" w:firstLine="289"/>
        <w:spacing w:after="0" w:line="279" w:lineRule="auto"/>
        <w:tabs>
          <w:tab w:leader="none" w:pos="472"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perform or the breach of any covenant or warranty in the indenture or the Notes of such series (other than a covenant or warranty included solely for the benefit of a series of debt securities other than the Notes of such series) that continues for 60 days after we are given written notice by the trustee or we and the trustee are given written notice by the holders of at least 25% in principal amount of the outstanding Notes of such series;</w:t>
      </w:r>
    </w:p>
    <w:p>
      <w:pPr>
        <w:spacing w:after="0" w:line="111" w:lineRule="exact"/>
        <w:rPr>
          <w:rFonts w:ascii="Times New Roman" w:cs="Times New Roman" w:eastAsia="Times New Roman" w:hAnsi="Times New Roman"/>
          <w:sz w:val="12"/>
          <w:szCs w:val="12"/>
          <w:color w:val="auto"/>
        </w:rPr>
      </w:pPr>
    </w:p>
    <w:p>
      <w:pPr>
        <w:ind w:firstLine="289"/>
        <w:spacing w:after="0" w:line="279" w:lineRule="auto"/>
        <w:tabs>
          <w:tab w:leader="none" w:pos="476"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event of default under any mortgage, indenture or other instrument securing or evidencing any indebtedness of us or any significant subsidiary for money borrowed, resulting in such indebtedness in principal amount exceeding $10,000,000 becoming or being declared due and payable prior to the date on which it would otherwise become due and payable, if the acceleration is not rescinded or annulled within 30 days after written notice; or</w:t>
      </w:r>
    </w:p>
    <w:p>
      <w:pPr>
        <w:spacing w:after="0" w:line="111" w:lineRule="exact"/>
        <w:rPr>
          <w:rFonts w:ascii="Times New Roman" w:cs="Times New Roman" w:eastAsia="Times New Roman" w:hAnsi="Times New Roman"/>
          <w:sz w:val="12"/>
          <w:szCs w:val="12"/>
          <w:color w:val="auto"/>
        </w:rPr>
      </w:pPr>
    </w:p>
    <w:p>
      <w:pPr>
        <w:ind w:left="460" w:hanging="171"/>
        <w:spacing w:after="0"/>
        <w:tabs>
          <w:tab w:leader="none" w:pos="4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events of bankruptcy, insolvency or reorganization of us or any of our significant subsidiaries.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a default occurs with respect to any series of Notes, the trustee will give the holders of those Notes notice of the default as and to the extent provided by the Trust Indenture Act.</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If an event of default with respect to any series of Notes occurs and continues, either the trustee or the holders of not less than 25% of the aggregate principal amount of the outstanding Notes of that series may declare the principal amount (or such lesser amount as may be provided for the Notes of such series) of all the Notes of that series to be due and payable immediately.</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Any time after a declaration of acceleration has been made and before a judgment or decree for payment of the money due has been obtained the majority holders may, under certain circumstances, void the declaration. “Majority holders” are the holders of a majority of the aggregate principal amount of outstanding the Notes of that series.</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majority holders may direct the time, method and place of conducting any proceeding for any remedy available to the trustee, or exercising any trust or power conferred on the trustee, for the Notes of that series. The trustee generally is not obligated to exercise any of its rights or powers under the indenture at the request or direction of any of the holders, unless those holders offer the trustee reasonable indemnity.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holder does not have the right to institute a proceeding with respect to the indenture, for the appointment of a receiver or a trustee, or for any other remedy, unless:</w:t>
      </w:r>
    </w:p>
    <w:p>
      <w:pPr>
        <w:spacing w:after="0" w:line="78" w:lineRule="exact"/>
        <w:rPr>
          <w:sz w:val="20"/>
          <w:szCs w:val="20"/>
          <w:color w:val="auto"/>
        </w:rPr>
      </w:pPr>
    </w:p>
    <w:p>
      <w:pPr>
        <w:ind w:left="520" w:hanging="258"/>
        <w:spacing w:after="0"/>
        <w:tabs>
          <w:tab w:leader="none" w:pos="52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has previously given written notice to the trustee of a continuing event of default;</w:t>
      </w:r>
    </w:p>
    <w:p>
      <w:pPr>
        <w:spacing w:after="0" w:line="16" w:lineRule="exact"/>
        <w:rPr>
          <w:rFonts w:ascii="Times New Roman" w:cs="Times New Roman" w:eastAsia="Times New Roman" w:hAnsi="Times New Roman"/>
          <w:sz w:val="12"/>
          <w:szCs w:val="12"/>
          <w:color w:val="auto"/>
        </w:rPr>
      </w:pPr>
    </w:p>
    <w:p>
      <w:pPr>
        <w:ind w:left="540" w:hanging="278"/>
        <w:spacing w:after="0" w:line="250" w:lineRule="auto"/>
        <w:tabs>
          <w:tab w:leader="none" w:pos="537"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not less than 25% of the aggregate principal amount of the outstanding Notes of the applicable series have made a written request to the trustee to institute proceedings in respect of such event of default in its own name as trustee under the indenture, and such holders have offered to the trustee reasonable indemnity against the costs, expenses and liabilities to be incurred in compliance with such request;</w:t>
      </w:r>
    </w:p>
    <w:p>
      <w:pPr>
        <w:ind w:left="520" w:hanging="258"/>
        <w:spacing w:after="0"/>
        <w:tabs>
          <w:tab w:leader="none" w:pos="52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has failed to institute a proceeding within 60 days after receipt of such notice, request and offer of indemnity; and</w:t>
      </w:r>
    </w:p>
    <w:p>
      <w:pPr>
        <w:spacing w:after="0" w:line="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trustee has not received an inconsistent direction from the majority holders within such 60-day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However, these limitations do not apply to a suit for the enforcement of payment or conversion rights instituted on or after the respective due dates of the Notes of the applicable series.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300"/>
          </w:cols>
          <w:pgMar w:left="300" w:top="642" w:right="2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2"/>
          <w:szCs w:val="12"/>
          <w:b w:val="1"/>
          <w:bCs w:val="1"/>
          <w:color w:val="auto"/>
        </w:rPr>
        <w:t>Waivers of Certain Covenants and Past Defaults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holders of not less than a majority of the aggregate principal amount of the outstanding Notes of each series may, on behalf of all holders of that series, waive our compliance with certain restrictive provisions of the indenture. They also may waive any past default with respect to that series under the indenture, except (1) a default in the payment of principal of, premium, if any, interest on or any additional amount, or (2) a default in the performance of certain covenants which cannot be modified without the consent of all of the holders of the applicable series.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Amendments to the Indenture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Supplemental Indentures with Consent of Holders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and the trustee may modify or amend the indenture with the consent of the holders of at least 66-2/3% in principal amount of each series of the debt securities affected by the modification or amendment. However, no modification or amendment may, without the consent of each holder affected by the modification or amendment:</w:t>
      </w:r>
    </w:p>
    <w:p>
      <w:pPr>
        <w:spacing w:after="0" w:line="39" w:lineRule="exact"/>
        <w:rPr>
          <w:sz w:val="20"/>
          <w:szCs w:val="20"/>
          <w:color w:val="auto"/>
        </w:rPr>
      </w:pPr>
    </w:p>
    <w:p>
      <w:pPr>
        <w:ind w:left="520" w:hanging="258"/>
        <w:spacing w:after="0"/>
        <w:tabs>
          <w:tab w:leader="none" w:pos="52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due date of the principal of, or any premium or installment of interest on, or any additional amounts with respect to any debt securities issued thereunder;</w:t>
      </w:r>
    </w:p>
    <w:p>
      <w:pPr>
        <w:spacing w:after="0" w:line="16" w:lineRule="exact"/>
        <w:rPr>
          <w:rFonts w:ascii="Times New Roman" w:cs="Times New Roman" w:eastAsia="Times New Roman" w:hAnsi="Times New Roman"/>
          <w:sz w:val="12"/>
          <w:szCs w:val="12"/>
          <w:color w:val="auto"/>
        </w:rPr>
      </w:pPr>
    </w:p>
    <w:p>
      <w:pPr>
        <w:ind w:left="540" w:right="20" w:hanging="278"/>
        <w:spacing w:after="0" w:line="250" w:lineRule="auto"/>
        <w:tabs>
          <w:tab w:leader="none" w:pos="537"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principal amount of, or the rate of interest on, or any additional amounts or premium, if any, payable with respect to any debt security issued thereunder, or, except as otherwise permitted, change an obligation to pay additional amounts with respect to any debt security issued thereunder, or adversely affect the right of repayment at the option of any holder, if any;</w:t>
      </w:r>
    </w:p>
    <w:p>
      <w:pPr>
        <w:jc w:val="both"/>
        <w:ind w:left="540" w:hanging="278"/>
        <w:spacing w:after="0" w:line="250" w:lineRule="auto"/>
        <w:tabs>
          <w:tab w:leader="none" w:pos="537"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place of payment, the currency in which the principal of, any premium, if any, or interest on, or any additional amounts with respect to any debt security issued thereunder that are payable or impair the right to institute suit for the enforcement of any such payment on or after the due date thereof (or, in the case of redemption, on or after the redemption date or, in the case of repayment at the option of the holder, on or after the date for repayment);</w:t>
      </w:r>
    </w:p>
    <w:p>
      <w:pPr>
        <w:ind w:left="540" w:right="20" w:hanging="278"/>
        <w:spacing w:after="0" w:line="250" w:lineRule="auto"/>
        <w:tabs>
          <w:tab w:leader="none" w:pos="537"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percentage in principal amount of outstanding debt securities of any series issued thereunder the consent of whose holders is required for any supplemental indenture, or the consent of whose holders is required for any waiver (of compliance with certain provisions of the indenture or certain defaults thereunder and their consequences) under the indenture or reduce requirements for quorum or voting; or</w:t>
      </w:r>
    </w:p>
    <w:p>
      <w:pPr>
        <w:jc w:val="both"/>
        <w:ind w:left="540" w:hanging="278"/>
        <w:spacing w:after="0" w:line="255" w:lineRule="auto"/>
        <w:tabs>
          <w:tab w:leader="none" w:pos="537"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modify any of the provisions in the indenture provisions described above under “Waivers of Certain Covenants and Past Defaults” and in this section “Amendments to the Indentures-Supplemental Indentures with Consent of Holders,” except to increase any percentage in principal amount of outstanding debt securities of any series issued thereunder the consent of whose holders is required for a supplemental indenture or waiver, or to provide that certain other provisions of the indenture cannot be modified or waived without the consent of the holders of each outstanding Note affected thereby.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Supplemental Indentures without Consent of Holders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and the trustee may modify and amend the indenture without the consent of any holder for any of the following purposes:</w:t>
      </w:r>
    </w:p>
    <w:p>
      <w:pPr>
        <w:spacing w:after="0" w:line="157" w:lineRule="exact"/>
        <w:rPr>
          <w:sz w:val="20"/>
          <w:szCs w:val="20"/>
          <w:color w:val="auto"/>
        </w:rPr>
      </w:pPr>
    </w:p>
    <w:p>
      <w:pPr>
        <w:ind w:left="520" w:hanging="258"/>
        <w:spacing w:after="0"/>
        <w:tabs>
          <w:tab w:leader="none" w:pos="52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evidence the succession of another person to us, and the assumption by the successor of our covenants in the indenture and in the debt securities issued thereunder;</w:t>
      </w:r>
    </w:p>
    <w:p>
      <w:pPr>
        <w:spacing w:after="0" w:line="1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to our covenants for the benefit of the holders of all or any series of debt securities issued thereunder or to surrender any right or power conferred upon us in the indenture;</w:t>
      </w:r>
    </w:p>
    <w:p>
      <w:pPr>
        <w:spacing w:after="0" w:line="6" w:lineRule="exact"/>
        <w:rPr>
          <w:rFonts w:ascii="Times New Roman" w:cs="Times New Roman" w:eastAsia="Times New Roman" w:hAnsi="Times New Roman"/>
          <w:sz w:val="12"/>
          <w:szCs w:val="12"/>
          <w:color w:val="auto"/>
        </w:rPr>
      </w:pPr>
    </w:p>
    <w:p>
      <w:pPr>
        <w:ind w:left="540" w:hanging="278"/>
        <w:spacing w:after="0" w:line="250" w:lineRule="auto"/>
        <w:tabs>
          <w:tab w:leader="none" w:pos="537"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evidence and provide for the acceptance of appointment by a successor trustee and to add to or change any provisions of the indenture as necessary to provide for or facilitate the administration of the trusts under the indenture by the trustee;</w:t>
      </w:r>
    </w:p>
    <w:p>
      <w:pPr>
        <w:ind w:left="540" w:hanging="278"/>
        <w:spacing w:after="0" w:line="250" w:lineRule="auto"/>
        <w:tabs>
          <w:tab w:leader="none" w:pos="537"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cure any ambiguity or to correct or supplement any provision in the indenture that may be defective or inconsistent with any other provision of the indenture, or to make any other provisions with respect to matters or questions arising under the indenture which do not adversely affect the interests of the holders of any debt security issued thereunder or related coupons in any material respect;</w:t>
      </w:r>
    </w:p>
    <w:p>
      <w:pPr>
        <w:ind w:left="520" w:hanging="258"/>
        <w:spacing w:after="0"/>
        <w:tabs>
          <w:tab w:leader="none" w:pos="52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modify the conditions, limitations and restrictions on the authorized amount, terms or purposes of issue, authentication and delivery of debt securities issued thereunder;</w:t>
      </w:r>
    </w:p>
    <w:p>
      <w:pPr>
        <w:spacing w:after="0" w:line="6"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 additional events of default with respect to all or any series of debt securities issued thereunder;</w:t>
      </w:r>
    </w:p>
    <w:p>
      <w:pPr>
        <w:spacing w:after="0" w:line="6" w:lineRule="exact"/>
        <w:rPr>
          <w:rFonts w:ascii="Times New Roman" w:cs="Times New Roman" w:eastAsia="Times New Roman" w:hAnsi="Times New Roman"/>
          <w:sz w:val="12"/>
          <w:szCs w:val="12"/>
          <w:color w:val="auto"/>
        </w:rPr>
      </w:pPr>
    </w:p>
    <w:p>
      <w:pPr>
        <w:ind w:left="540" w:hanging="278"/>
        <w:spacing w:after="0" w:line="250" w:lineRule="auto"/>
        <w:tabs>
          <w:tab w:leader="none" w:pos="537"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supplement any of the provisions of the indenture to the extent necessary to permit or facilitate the defeasance and discharge of any series of debt securities issued thereunder, provided the action does not adversely affect the interests of the holders of any debt securities of that series or related coupons or any other debt securities issued thereunder or related coupons in any material respect;</w:t>
      </w:r>
    </w:p>
    <w:p>
      <w:pPr>
        <w:ind w:left="520" w:hanging="258"/>
        <w:spacing w:after="0"/>
        <w:tabs>
          <w:tab w:leader="none" w:pos="52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secure the debt securities issued thereunder; and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300"/>
          </w:cols>
          <w:pgMar w:left="300" w:top="782" w:right="299" w:bottom="1440" w:gutter="0" w:footer="0" w:header="0"/>
        </w:sectPr>
      </w:pPr>
    </w:p>
    <w:bookmarkStart w:id="238" w:name="page239"/>
    <w:bookmarkEnd w:id="238"/>
    <w:p>
      <w:pPr>
        <w:ind w:left="540" w:hanging="278"/>
        <w:spacing w:after="0" w:line="279" w:lineRule="auto"/>
        <w:tabs>
          <w:tab w:leader="none" w:pos="537"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amend or supplement any provision of the indenture or any supplemental indenture, provided that the amendment or supplement does not materially adversely affect the interests of the holders of outstanding debt securities issued thereunder.</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Legal Defeasance and Covenant Defeasance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may at any time elect to defease and will be deemed to have paid and discharged our obligations on the Notes if:</w:t>
      </w:r>
    </w:p>
    <w:p>
      <w:pPr>
        <w:spacing w:after="0" w:line="78" w:lineRule="exact"/>
        <w:rPr>
          <w:sz w:val="20"/>
          <w:szCs w:val="20"/>
          <w:color w:val="auto"/>
        </w:rPr>
      </w:pPr>
    </w:p>
    <w:p>
      <w:pPr>
        <w:ind w:left="520" w:hanging="258"/>
        <w:spacing w:after="0"/>
        <w:tabs>
          <w:tab w:leader="none" w:pos="5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has occurred and is continuing, or would occur upon the giving of notice or lapse of time, at the time of the satisfaction and discharge;</w:t>
      </w:r>
    </w:p>
    <w:p>
      <w:pPr>
        <w:spacing w:after="0" w:line="16" w:lineRule="exact"/>
        <w:rPr>
          <w:rFonts w:ascii="Times New Roman" w:cs="Times New Roman" w:eastAsia="Times New Roman" w:hAnsi="Times New Roman"/>
          <w:sz w:val="12"/>
          <w:szCs w:val="12"/>
          <w:color w:val="auto"/>
        </w:rPr>
      </w:pPr>
    </w:p>
    <w:p>
      <w:pPr>
        <w:jc w:val="both"/>
        <w:ind w:left="540" w:hanging="278"/>
        <w:spacing w:after="0" w:line="250" w:lineRule="auto"/>
        <w:tabs>
          <w:tab w:leader="none" w:pos="537"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(1) we have irrevocably deposited with the trustee sufficient cash or government securities to pay when due all the principal of, premium, if any, interest on and additional amounts, if any, with respect to the applicable Notes, through the stated maturity or redemption date of the applicable Notes (or, in the case of Notes which have become due and payable, through the date of such deposit), or (2) we have properly fulfilled such other means of satisfaction and discharge as is provided in or pursuant to the indenture;</w:t>
      </w:r>
    </w:p>
    <w:p>
      <w:pPr>
        <w:ind w:left="520" w:hanging="258"/>
        <w:spacing w:after="0"/>
        <w:tabs>
          <w:tab w:leader="none" w:pos="52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paid all other sums payable under the indenture with respect to the applicable Notes and any related coupons;</w:t>
      </w:r>
    </w:p>
    <w:p>
      <w:pPr>
        <w:spacing w:after="0" w:line="6" w:lineRule="exact"/>
        <w:rPr>
          <w:rFonts w:ascii="Times New Roman" w:cs="Times New Roman" w:eastAsia="Times New Roman" w:hAnsi="Times New Roman"/>
          <w:sz w:val="12"/>
          <w:szCs w:val="12"/>
          <w:color w:val="auto"/>
        </w:rPr>
      </w:pPr>
    </w:p>
    <w:p>
      <w:pPr>
        <w:ind w:left="540" w:hanging="278"/>
        <w:spacing w:after="0" w:line="250" w:lineRule="auto"/>
        <w:tabs>
          <w:tab w:leader="none" w:pos="537"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delivered to the trustee a certificate of our independent public accountants certifying as to the sufficiency of the amounts deposited by us, and an officers’ certificate and opinion of counsel as required by the indenture; and</w:t>
      </w:r>
    </w:p>
    <w:p>
      <w:pPr>
        <w:ind w:left="540" w:hanging="278"/>
        <w:spacing w:after="0" w:line="260" w:lineRule="auto"/>
        <w:tabs>
          <w:tab w:leader="none" w:pos="537"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delivered to the trustee an opinion of counsel to the effect that the holders will have no federal income tax consequences as a result of the deposit or termination and an opinion of counsel that the applicable debt securities will not be delisted from the New York Stock Exchange.</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the case of a defeasance, the holders of the applicable Notes of the series will not be entitled to the benefits of the indenture, except for the registration of transfer or exchange and the replacement of stolen, lost or mutilated applicable Notes and the requirements regarding the maintenance of an office or agency where the applicable Notes can be surrendered for payment or registration of transfer or exchange and the right of the holders of the applicable Notes to receive from the deposited funds payment of the principal of, premium, if any, interest on, and any additional amounts, if any, with respect to the applicable Notes when due.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Determining the Outstanding Debt Securities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Unless otherwise provided in or pursuant to the indenture, we will consider the following factors in determining whether the holders of the requisite principal amount of outstanding debt securities have given any request, demand, authorization, direction, notice, consent or waiver under the indenture or are present at a meeting of holders of debt securities for quorum purposes:</w:t>
      </w:r>
    </w:p>
    <w:p>
      <w:pPr>
        <w:spacing w:after="0" w:line="39" w:lineRule="exact"/>
        <w:rPr>
          <w:sz w:val="20"/>
          <w:szCs w:val="20"/>
          <w:color w:val="auto"/>
        </w:rPr>
      </w:pPr>
    </w:p>
    <w:p>
      <w:pPr>
        <w:ind w:left="540" w:hanging="278"/>
        <w:spacing w:after="0" w:line="259" w:lineRule="auto"/>
        <w:tabs>
          <w:tab w:leader="none" w:pos="537"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debt security that by its terms provides for declaration of a principal amount less than the principal face amount of the debt security to be due and payable upon acceleration, the principal amount that will be deemed to be outstanding will be the principal amount that would be declared to be due and payable upon a declaration of acceleration thereof at the time of such determination;</w:t>
      </w:r>
    </w:p>
    <w:p>
      <w:pPr>
        <w:spacing w:after="0" w:line="1" w:lineRule="exact"/>
        <w:rPr>
          <w:rFonts w:ascii="Times New Roman" w:cs="Times New Roman" w:eastAsia="Times New Roman" w:hAnsi="Times New Roman"/>
          <w:sz w:val="12"/>
          <w:szCs w:val="12"/>
          <w:color w:val="auto"/>
        </w:rPr>
      </w:pPr>
    </w:p>
    <w:p>
      <w:pPr>
        <w:ind w:left="520" w:hanging="258"/>
        <w:spacing w:after="0"/>
        <w:tabs>
          <w:tab w:leader="none" w:pos="5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indexed security, the principal amount that will be deemed to be outstanding will be the principal face amount of the indexed security at original issuance;</w:t>
      </w:r>
    </w:p>
    <w:p>
      <w:pPr>
        <w:spacing w:after="0" w:line="6" w:lineRule="exact"/>
        <w:rPr>
          <w:rFonts w:ascii="Times New Roman" w:cs="Times New Roman" w:eastAsia="Times New Roman" w:hAnsi="Times New Roman"/>
          <w:sz w:val="12"/>
          <w:szCs w:val="12"/>
          <w:color w:val="auto"/>
        </w:rPr>
      </w:pPr>
    </w:p>
    <w:p>
      <w:pPr>
        <w:ind w:left="540" w:hanging="278"/>
        <w:spacing w:after="0" w:line="250" w:lineRule="auto"/>
        <w:tabs>
          <w:tab w:leader="none" w:pos="537"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debt security denominated in one or more foreign currency units, the principal amount that will be deemed to be outstanding will be the U.S. dollar equivalent based on the applicable exchange rate or rates at the time of sale; and</w:t>
      </w:r>
    </w:p>
    <w:p>
      <w:pPr>
        <w:ind w:left="520" w:hanging="258"/>
        <w:spacing w:after="0"/>
        <w:tabs>
          <w:tab w:leader="none" w:pos="5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debt securities owned by us or any other obligor upon the debt securities or any of our or such other obligor’s affiliates, will be disregarded and deemed not to be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Listing of the Notes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Notes are listed on the New York Stock Exchange under the following symbols:</w:t>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2024 Notes: “COF24”</w:t>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2029 Notes: “COF29”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Governing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indenture is governed by, and construed in accordance with, the laws of the State of New York.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300"/>
          </w:cols>
          <w:pgMar w:left="300" w:top="642" w:right="2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3"/>
          <w:szCs w:val="13"/>
          <w:b w:val="1"/>
          <w:bCs w:val="1"/>
          <w:color w:val="auto"/>
        </w:rPr>
        <w:t>Exhibit 10.2.21</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2004 Stock Incentive Plan</w:t>
      </w:r>
    </w:p>
    <w:p>
      <w:pPr>
        <w:jc w:val="center"/>
        <w:spacing w:after="0"/>
        <w:rPr>
          <w:sz w:val="20"/>
          <w:szCs w:val="20"/>
          <w:color w:val="auto"/>
        </w:rPr>
      </w:pPr>
      <w:r>
        <w:rPr>
          <w:rFonts w:ascii="Times New Roman" w:cs="Times New Roman" w:eastAsia="Times New Roman" w:hAnsi="Times New Roman"/>
          <w:sz w:val="17"/>
          <w:szCs w:val="17"/>
          <w:color w:val="auto"/>
        </w:rPr>
        <w:t>Restricted Stock Unit Award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of Units: [# of Units]</w:t>
      </w:r>
    </w:p>
    <w:p>
      <w:pPr>
        <w:spacing w:after="0" w:line="165"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3"/>
          <w:szCs w:val="13"/>
          <w:color w:val="auto"/>
        </w:rPr>
        <w:t xml:space="preserve">THIS RESTRICTED STOCK UNIT AWARD AGREEMENT (this “Agreement”), dated January 26, 2023 (the “Date of Grant”), between CAPITAL ONE FINANCIAL CORPORATION, a Delaware corporation (“Capital One” or the “Company”), and </w:t>
      </w:r>
      <w:r>
        <w:rPr>
          <w:rFonts w:ascii="Times New Roman" w:cs="Times New Roman" w:eastAsia="Times New Roman" w:hAnsi="Times New Roman"/>
          <w:sz w:val="13"/>
          <w:szCs w:val="13"/>
          <w:b w:val="1"/>
          <w:bCs w:val="1"/>
          <w:color w:val="auto"/>
        </w:rPr>
        <w:t>Richard D. Fairbank</w:t>
      </w:r>
      <w:r>
        <w:rPr>
          <w:rFonts w:ascii="Times New Roman" w:cs="Times New Roman" w:eastAsia="Times New Roman" w:hAnsi="Times New Roman"/>
          <w:sz w:val="13"/>
          <w:szCs w:val="13"/>
          <w:color w:val="auto"/>
        </w:rPr>
        <w:t xml:space="preserve"> (“you”), is made pursuant and subject to the provisions of the Company’s 2004 Stock Incentive Plan, as amended and restated (the “Plan”). All capitalized terms used herein that are defined in the Plan shall have the same meaning given to them in the Plan unless otherwise defined herein. For purposes of this Agreement, “Employer” means the entity (i.e., Capital One, Subsidiary or Affiliate) that employs you.</w:t>
      </w:r>
    </w:p>
    <w:p>
      <w:pPr>
        <w:spacing w:after="0" w:line="1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3"/>
          <w:szCs w:val="13"/>
          <w:color w:val="auto"/>
        </w:rPr>
        <w:t>WHEREAS, Article 8 of the Plan provides for the award from time to time in the discretion of the Committee of Restricted Stock Units, representing shares of common stock of Capital One, $.01 par value per share (“Common Stock”), the vesting and issuance of which are subject to continued employment with Capital One or other conditions;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W I T N E S S E T H</w:t>
      </w:r>
      <w:r>
        <w:rPr>
          <w:rFonts w:ascii="Times New Roman" w:cs="Times New Roman" w:eastAsia="Times New Roman" w:hAnsi="Times New Roman"/>
          <w:sz w:val="13"/>
          <w:szCs w:val="13"/>
          <w:color w:val="auto"/>
        </w:rPr>
        <w:t xml:space="preserve"> :</w:t>
      </w:r>
    </w:p>
    <w:p>
      <w:pPr>
        <w:spacing w:after="0" w:line="155" w:lineRule="exact"/>
        <w:rPr>
          <w:sz w:val="20"/>
          <w:szCs w:val="20"/>
          <w:color w:val="auto"/>
        </w:rPr>
      </w:pPr>
    </w:p>
    <w:p>
      <w:pPr>
        <w:ind w:right="20" w:firstLine="208"/>
        <w:spacing w:after="0" w:line="269" w:lineRule="auto"/>
        <w:tabs>
          <w:tab w:leader="none" w:pos="432"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Restricted Stock Units</w:t>
      </w:r>
      <w:r>
        <w:rPr>
          <w:rFonts w:ascii="Times New Roman" w:cs="Times New Roman" w:eastAsia="Times New Roman" w:hAnsi="Times New Roman"/>
          <w:sz w:val="13"/>
          <w:szCs w:val="13"/>
          <w:color w:val="auto"/>
        </w:rPr>
        <w:t>. Capital One hereby grants to you [</w:t>
      </w:r>
      <w:r>
        <w:rPr>
          <w:rFonts w:ascii="Times New Roman" w:cs="Times New Roman" w:eastAsia="Times New Roman" w:hAnsi="Times New Roman"/>
          <w:sz w:val="13"/>
          <w:szCs w:val="13"/>
          <w:b w:val="1"/>
          <w:bCs w:val="1"/>
          <w:color w:val="auto"/>
        </w:rPr>
        <w:t># of Units]</w:t>
      </w:r>
      <w:r>
        <w:rPr>
          <w:rFonts w:ascii="Times New Roman" w:cs="Times New Roman" w:eastAsia="Times New Roman" w:hAnsi="Times New Roman"/>
          <w:sz w:val="13"/>
          <w:szCs w:val="13"/>
          <w:color w:val="auto"/>
        </w:rPr>
        <w:t xml:space="preserve"> Restricted Stock Units (the “Restricted Stock Units”). The Restricted Stock Units shall vest only in accordance with the provisions of this Agreement and of the Plan.</w:t>
      </w:r>
    </w:p>
    <w:p>
      <w:pPr>
        <w:spacing w:after="0" w:line="12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 of Restricted Stock Units</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ind w:left="420" w:firstLine="216"/>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Except as provided in Sections 2(b), 2(c) and 3(d) and subject to 12(a) and 12(b) below, and to the extent not previously vested or forfeited as provided herein, the Restricted Stock Units shall vest in full on February 15, 2026 (the “Vesting Date”). The period between beginning on January 1, 2023, and ending on December 31, 2025 shall be the “Performance Period.”</w:t>
      </w:r>
    </w:p>
    <w:p>
      <w:pPr>
        <w:spacing w:after="0" w:line="109" w:lineRule="exact"/>
        <w:rPr>
          <w:sz w:val="20"/>
          <w:szCs w:val="20"/>
          <w:color w:val="auto"/>
        </w:rPr>
      </w:pPr>
    </w:p>
    <w:p>
      <w:pPr>
        <w:ind w:left="420" w:firstLine="432"/>
        <w:spacing w:after="0" w:line="281" w:lineRule="auto"/>
        <w:rPr>
          <w:sz w:val="20"/>
          <w:szCs w:val="20"/>
          <w:color w:val="auto"/>
        </w:rPr>
      </w:pPr>
      <w:r>
        <w:rPr>
          <w:rFonts w:ascii="Times New Roman" w:cs="Times New Roman" w:eastAsia="Times New Roman" w:hAnsi="Times New Roman"/>
          <w:sz w:val="13"/>
          <w:szCs w:val="13"/>
          <w:color w:val="auto"/>
        </w:rPr>
        <w:t>Upon vesting, the Restricted Stock Units shall become payable in cash in an amount equal to the product of (i) the average Fair Market Value of the Common Stock for the 15 trading days preceding the Vesting Date and (ii) the number of Restricted Stock Units vesting on the Vesting Date (subject to Section 5 below).</w:t>
      </w:r>
    </w:p>
    <w:p>
      <w:pPr>
        <w:spacing w:after="0" w:line="118" w:lineRule="exact"/>
        <w:rPr>
          <w:sz w:val="20"/>
          <w:szCs w:val="20"/>
          <w:color w:val="auto"/>
        </w:rPr>
      </w:pPr>
    </w:p>
    <w:p>
      <w:pPr>
        <w:ind w:left="860" w:hanging="220"/>
        <w:spacing w:after="0"/>
        <w:tabs>
          <w:tab w:leader="none" w:pos="86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Termination of Employment</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ind w:left="860" w:firstLine="142"/>
        <w:spacing w:after="0" w:line="281" w:lineRule="auto"/>
        <w:tabs>
          <w:tab w:leader="none" w:pos="1292" w:val="left"/>
        </w:tabs>
        <w:numPr>
          <w:ilvl w:val="1"/>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2(b)(ii), 2(b)(iii) and 2(d), upon your termination of employment with Capital One for any reason all Restricted Stock Units shall immediately be forfeited (to the extent not previously vested or forfeited as provided herein).</w:t>
      </w:r>
    </w:p>
    <w:p>
      <w:pPr>
        <w:spacing w:after="0" w:line="108" w:lineRule="exact"/>
        <w:rPr>
          <w:rFonts w:ascii="Times New Roman" w:cs="Times New Roman" w:eastAsia="Times New Roman" w:hAnsi="Times New Roman"/>
          <w:sz w:val="13"/>
          <w:szCs w:val="13"/>
          <w:color w:val="auto"/>
        </w:rPr>
      </w:pPr>
    </w:p>
    <w:p>
      <w:pPr>
        <w:ind w:left="860" w:firstLine="106"/>
        <w:spacing w:after="0" w:line="281" w:lineRule="auto"/>
        <w:tabs>
          <w:tab w:leader="none" w:pos="1292" w:val="left"/>
        </w:tabs>
        <w:numPr>
          <w:ilvl w:val="1"/>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with Capital One as a result of your death or Disability, the Restricted Stock Units shall immediately vest, the date of such death or Disability shall be the Vesting Date and the cash shall become payable in full as</w:t>
      </w:r>
    </w:p>
    <w:p>
      <w:pPr>
        <w:sectPr>
          <w:pgSz w:w="11900" w:h="16838" w:orient="portrait"/>
          <w:cols w:equalWidth="0" w:num="1">
            <w:col w:w="11300"/>
          </w:cols>
          <w:pgMar w:left="300" w:top="987" w:right="299" w:bottom="1440" w:gutter="0" w:footer="0" w:header="0"/>
        </w:sectPr>
      </w:pPr>
    </w:p>
    <w:bookmarkStart w:id="240" w:name="page241"/>
    <w:bookmarkEnd w:id="240"/>
    <w:p>
      <w:pPr>
        <w:ind w:left="436"/>
        <w:spacing w:after="0"/>
        <w:rPr>
          <w:sz w:val="20"/>
          <w:szCs w:val="20"/>
          <w:color w:val="auto"/>
        </w:rPr>
      </w:pPr>
      <w:r>
        <w:rPr>
          <w:rFonts w:ascii="Times New Roman" w:cs="Times New Roman" w:eastAsia="Times New Roman" w:hAnsi="Times New Roman"/>
          <w:sz w:val="13"/>
          <w:szCs w:val="13"/>
          <w:color w:val="auto"/>
        </w:rPr>
        <w:t>described in Section 2(a) (to the extent not previously vested or forfeited as provided herein).</w:t>
      </w:r>
    </w:p>
    <w:p>
      <w:pPr>
        <w:spacing w:after="0" w:line="157" w:lineRule="exact"/>
        <w:rPr>
          <w:sz w:val="20"/>
          <w:szCs w:val="20"/>
          <w:color w:val="auto"/>
        </w:rPr>
      </w:pPr>
    </w:p>
    <w:p>
      <w:pPr>
        <w:ind w:left="436" w:right="20" w:firstLine="69"/>
        <w:spacing w:after="0" w:line="281" w:lineRule="auto"/>
        <w:tabs>
          <w:tab w:leader="none" w:pos="868" w:val="left"/>
        </w:tabs>
        <w:numPr>
          <w:ilvl w:val="1"/>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with Capital One as a result of Retirement, the Restricted Stock Units shall continue to vest on the Vesting Date (to the extent not previously vested or forfeited as provided herein) and remain subject to reduction pursuant to Sections 12(a) and 12(b).</w:t>
      </w:r>
    </w:p>
    <w:p>
      <w:pPr>
        <w:spacing w:after="0" w:line="108" w:lineRule="exact"/>
        <w:rPr>
          <w:rFonts w:ascii="Times New Roman" w:cs="Times New Roman" w:eastAsia="Times New Roman" w:hAnsi="Times New Roman"/>
          <w:sz w:val="13"/>
          <w:szCs w:val="13"/>
          <w:color w:val="auto"/>
        </w:rPr>
      </w:pPr>
    </w:p>
    <w:p>
      <w:pPr>
        <w:ind w:left="416" w:hanging="200"/>
        <w:spacing w:after="0"/>
        <w:tabs>
          <w:tab w:leader="none" w:pos="416"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 Schedule Upon Becoming Subject to Withholding</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436" w:firstLine="142"/>
        <w:spacing w:after="0" w:line="241" w:lineRule="auto"/>
        <w:tabs>
          <w:tab w:leader="none" w:pos="868" w:val="left"/>
        </w:tabs>
        <w:numPr>
          <w:ilvl w:val="1"/>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determined by the Committee or the independent members of the board of directors of the Company (the “Board”), as applicable, and to the extent permitted or required by law, Capital One may determine, in its sole discretion, (A) that you have become subject to withholding under applicable tax laws at a time when Restricted Stock Units are not otherwise vesting pursuant to this Section 2, and (B) that a portion of the Restricted Stock Units shall vest and become payable, only and to the extent sufficient on the date of such determination (the “Determination Date”), to provide for the payment of any tax liability in accordance with applicable tax laws, in an amount equal to the product of (i) the Fair Market Value of the Common Stock for the Determination Date and (ii) the number of Restricted Stock Units vesting on the Determination Date. The number of Restricted Stock Units vesting pursuant to the preceding sentence shall be rounded up to the nearest whole Restricted Stock Unit. It is understood that the remaining portion of the Restricted Stock Units shall continue to vest on the Vesting Date as provided herein (to the extent not previously vested or forfeited as provided herein).</w:t>
      </w:r>
    </w:p>
    <w:p>
      <w:pPr>
        <w:spacing w:after="0" w:line="146" w:lineRule="exact"/>
        <w:rPr>
          <w:sz w:val="20"/>
          <w:szCs w:val="20"/>
          <w:color w:val="auto"/>
        </w:rPr>
      </w:pPr>
    </w:p>
    <w:p>
      <w:pPr>
        <w:ind w:left="436" w:firstLine="106"/>
        <w:spacing w:after="0" w:line="266" w:lineRule="auto"/>
        <w:tabs>
          <w:tab w:leader="none" w:pos="868" w:val="left"/>
        </w:tabs>
        <w:numPr>
          <w:ilvl w:val="2"/>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of this Agreement to the contrary, Capital One will take all necessary steps to withhold the amount determined in accordance with the immediately foregoing paragraph in satisfaction of any applicable tax withholding liability, unless Capital One makes another method of payment available to you.</w:t>
      </w:r>
    </w:p>
    <w:p>
      <w:pPr>
        <w:spacing w:after="0" w:line="118" w:lineRule="exact"/>
        <w:rPr>
          <w:rFonts w:ascii="Times New Roman" w:cs="Times New Roman" w:eastAsia="Times New Roman" w:hAnsi="Times New Roman"/>
          <w:sz w:val="13"/>
          <w:szCs w:val="13"/>
          <w:color w:val="auto"/>
        </w:rPr>
      </w:pPr>
    </w:p>
    <w:p>
      <w:pPr>
        <w:jc w:val="both"/>
        <w:ind w:left="-4" w:firstLine="220"/>
        <w:spacing w:after="0" w:line="242" w:lineRule="auto"/>
        <w:tabs>
          <w:tab w:leader="none" w:pos="428" w:val="left"/>
        </w:tabs>
        <w:numPr>
          <w:ilvl w:val="1"/>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Change of Control</w:t>
      </w:r>
      <w:r>
        <w:rPr>
          <w:rFonts w:ascii="Times New Roman" w:cs="Times New Roman" w:eastAsia="Times New Roman" w:hAnsi="Times New Roman"/>
          <w:sz w:val="13"/>
          <w:szCs w:val="13"/>
          <w:color w:val="auto"/>
        </w:rPr>
        <w:t>. Upon your termination of employment by Capital One without Cause or by you for Good Reason (each as defined below), in either case on or prior to the second anniversary of the occurrence of a Change of Control of Capital One, then, notwithstanding anything herein to the contrary, the Restricted Stock Units (as may be adjusted in accordance with Section 4.4 of the Plan) shall vest, the date of such termination shall be the Vesting Date and the Restricted Stock Units shall become payable in cash as described in Section 2(a) immediately following the occurrence of your termination of employment following such Change of Control (to the extent not previously vested or forfeited as provided herein); provided, however, that if the Restricted Stock Units are considered deferred compensation under Section 409A of the Code and not exempt from Section 409A of the Code as a short-term deferral or otherwise, and you are a “specified employee,” as defined in and pursuant to Reg. Section 1.409A 1(i) or any successor regulation, on the date of any such termination of employment without Cause or for Good Reason, you will not be entitled to such vesting prior to the earlier of</w:t>
      </w:r>
    </w:p>
    <w:p>
      <w:pPr>
        <w:ind w:left="156" w:hanging="156"/>
        <w:spacing w:after="0"/>
        <w:tabs>
          <w:tab w:leader="none" w:pos="15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which is six months from the date of your “separation from service” (as defined in Reg. Section 1.409A 1(h) or any successor regulation) as a result of such termination and (ii) your death.</w:t>
      </w:r>
    </w:p>
    <w:p>
      <w:pPr>
        <w:spacing w:after="0" w:line="142" w:lineRule="exact"/>
        <w:rPr>
          <w:rFonts w:ascii="Times New Roman" w:cs="Times New Roman" w:eastAsia="Times New Roman" w:hAnsi="Times New Roman"/>
          <w:sz w:val="13"/>
          <w:szCs w:val="13"/>
          <w:color w:val="auto"/>
        </w:rPr>
      </w:pPr>
    </w:p>
    <w:p>
      <w:pPr>
        <w:ind w:left="416" w:hanging="200"/>
        <w:spacing w:after="0"/>
        <w:tabs>
          <w:tab w:leader="none" w:pos="416" w:val="left"/>
        </w:tabs>
        <w:numPr>
          <w:ilvl w:val="1"/>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856" w:hanging="278"/>
        <w:spacing w:after="0"/>
        <w:tabs>
          <w:tab w:leader="none" w:pos="856" w:val="left"/>
        </w:tabs>
        <w:numPr>
          <w:ilvl w:val="2"/>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“Cause” shall mean (1) the willful and continued failure to perform substantially your duties with the Company or any Affiliate (other than</w:t>
      </w:r>
    </w:p>
    <w:p>
      <w:pPr>
        <w:sectPr>
          <w:pgSz w:w="11900" w:h="16838" w:orient="portrait"/>
          <w:cols w:equalWidth="0" w:num="1">
            <w:col w:w="10876"/>
          </w:cols>
          <w:pgMar w:left="724" w:top="989" w:right="299" w:bottom="1440" w:gutter="0" w:footer="0" w:header="0"/>
        </w:sectPr>
      </w:pPr>
    </w:p>
    <w:bookmarkStart w:id="241" w:name="page242"/>
    <w:bookmarkEnd w:id="241"/>
    <w:p>
      <w:pPr>
        <w:jc w:val="both"/>
        <w:spacing w:after="0"/>
        <w:rPr>
          <w:sz w:val="20"/>
          <w:szCs w:val="20"/>
          <w:color w:val="auto"/>
        </w:rPr>
      </w:pPr>
      <w:r>
        <w:rPr>
          <w:rFonts w:ascii="Times New Roman" w:cs="Times New Roman" w:eastAsia="Times New Roman" w:hAnsi="Times New Roman"/>
          <w:sz w:val="13"/>
          <w:szCs w:val="13"/>
          <w:color w:val="auto"/>
        </w:rPr>
        <w:t>any such failure resulting from incapacity due to physical or mental illness or following your delivery of a Notice of Termination (as defined below) for Good Reason), after a written demand for substantial performance is delivered to you by the Board or the Committee that specifically identifies the manner in which the Board or Committee believes that you have not substantially performed your duties, or (2) the willful engaging by you in illegal conduct or gross misconduct that is materially and demonstrably injurious to the Company. No act, or failure to act, on your part shall be considered “willful” unless it is done, or omitted to be done, by you in bad faith or without reasonable belief that your action or omission was in the best interests of the Company. Any act, or failure to act, based upon (A) authority given pursuant to a resolution duly adopted by the Board, or if the Company is not the ultimate parent corporation of the Employer and is not publicly-traded, the board of directors (or equivalent management body) of the ultimate parent of the Employer (the “Applicable Board”) or (B) the advice of counsel for the Company shall be conclusively presumed to be done, or omitted to be done, by you in good faith and in the best interests of the Company. The cessation of your employment shall not be deemed to be for Cause unless and until there shall have been delivered to you a copy of a resolution duly adopted by the affirmative vote of not less than three-quarters of the entire membership of the Applicable Board (excluding you, if you are a member of the Applicable Board) at a meeting of the Applicable Board called and held for such purpose (after reasonable notice is provided to you and you are given an opportunity, together with your counsel, to be heard before the Applicable Board), finding that, in the good faith opinion of the Applicable Board, you are guilty of the conduct described in this Section 2(e)(i), and specifying the particulars thereof in detail.</w:t>
      </w:r>
    </w:p>
    <w:p>
      <w:pPr>
        <w:spacing w:after="0" w:line="147" w:lineRule="exact"/>
        <w:rPr>
          <w:sz w:val="20"/>
          <w:szCs w:val="20"/>
          <w:color w:val="auto"/>
        </w:rPr>
      </w:pPr>
    </w:p>
    <w:p>
      <w:pPr>
        <w:jc w:val="both"/>
        <w:ind w:firstLine="106"/>
        <w:spacing w:after="0" w:line="241" w:lineRule="auto"/>
        <w:tabs>
          <w:tab w:leader="none" w:pos="432"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“Good Reason” shall mean (1) the assignment to you of any duties inconsistent in any respect with your position (including status, offices, titles and reporting requirements), authority, duties or responsibilities, or any action by the Company that results in a diminution in such position, authority, duties or responsibilities, excluding for this purpose an isolated, insubstantial and inadvertent action not taken in bad faith and that is remedied by the Company promptly after receipt of notice thereof given by you; (2) any failure by the Company to pay your compensation owed other than an isolated, insubstantial and inadvertent failure not occurring in bad faith and that is remedied by the Company promptly after receipt of notice thereof given by you; (3) the Company’s requiring you (I) to be based at any office or location more than 35 miles from the office or location at which you were required to work as of the date of this Agreement or (II) to travel on Company business to a substantially greater extent than required during the 120-day period immediately prior to the date the Change of Control occurs; or (4) any other action or inaction that constitutes a material breach by the Company of this Agreement or any employment agreement. For purposes of this Section 2(e)(ii) of this Agreement, any good faith determination of Good Reason made by you shall be conclusive. Your mental or physical incapacity following the occurrence of an event described above in clauses (1) through (4) shall not affect your ability to terminate employment for Good Reason.</w:t>
      </w:r>
    </w:p>
    <w:p>
      <w:pPr>
        <w:spacing w:after="0" w:line="134" w:lineRule="exact"/>
        <w:rPr>
          <w:rFonts w:ascii="Times New Roman" w:cs="Times New Roman" w:eastAsia="Times New Roman" w:hAnsi="Times New Roman"/>
          <w:sz w:val="13"/>
          <w:szCs w:val="13"/>
          <w:color w:val="auto"/>
        </w:rPr>
      </w:pPr>
    </w:p>
    <w:p>
      <w:pPr>
        <w:jc w:val="both"/>
        <w:ind w:firstLine="69"/>
        <w:spacing w:after="0" w:line="252" w:lineRule="auto"/>
        <w:tabs>
          <w:tab w:leader="none" w:pos="432"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termination by the Company for Cause, or by you for Good Reason, shall be communicated by Notice of Termination to the other party. “Notice of Termination” means a written notice that (1) indicates the specific termination provision in this Agreement relied upon, (2) to the extent applicable, sets forth in reasonable detail the facts and circumstances claimed to provide a basis for termination of your employment under the provision so indicated, and (3) if the Date of Termination (as defined herein) is other than the date of receipt of such notice, specifies the Date of Termination (which Date of Termination shall be not more than 30 days after the giving of such notice). The</w:t>
      </w:r>
    </w:p>
    <w:p>
      <w:pPr>
        <w:sectPr>
          <w:pgSz w:w="11900" w:h="16838" w:orient="portrait"/>
          <w:cols w:equalWidth="0" w:num="1">
            <w:col w:w="10440"/>
          </w:cols>
          <w:pgMar w:left="1160" w:top="989" w:right="299" w:bottom="1440" w:gutter="0" w:footer="0" w:header="0"/>
        </w:sectPr>
      </w:pPr>
    </w:p>
    <w:bookmarkStart w:id="242" w:name="page243"/>
    <w:bookmarkEnd w:id="242"/>
    <w:p>
      <w:pPr>
        <w:ind w:left="652"/>
        <w:spacing w:after="0" w:line="266" w:lineRule="auto"/>
        <w:rPr>
          <w:sz w:val="20"/>
          <w:szCs w:val="20"/>
          <w:color w:val="auto"/>
        </w:rPr>
      </w:pPr>
      <w:r>
        <w:rPr>
          <w:rFonts w:ascii="Times New Roman" w:cs="Times New Roman" w:eastAsia="Times New Roman" w:hAnsi="Times New Roman"/>
          <w:sz w:val="13"/>
          <w:szCs w:val="13"/>
          <w:color w:val="auto"/>
        </w:rPr>
        <w:t>failure by you or the Company to set forth in the Notice of Termination any fact or circumstance that contributes to a showing of Good Reason or Cause shall not waive any right of you or the Company, respectively, hereunder or preclude you or the Company, respectively, from asserting such fact or circumstance in enforcing your or the Company’s respective rights hereunder.</w:t>
      </w:r>
    </w:p>
    <w:p>
      <w:pPr>
        <w:spacing w:after="0" w:line="128" w:lineRule="exact"/>
        <w:rPr>
          <w:sz w:val="20"/>
          <w:szCs w:val="20"/>
          <w:color w:val="auto"/>
        </w:rPr>
      </w:pPr>
    </w:p>
    <w:p>
      <w:pPr>
        <w:jc w:val="both"/>
        <w:ind w:left="652" w:firstLine="76"/>
        <w:spacing w:after="0" w:line="247" w:lineRule="auto"/>
        <w:tabs>
          <w:tab w:leader="none" w:pos="1075" w:val="left"/>
        </w:tabs>
        <w:numPr>
          <w:ilvl w:val="2"/>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of Termination” means, if your employment is terminated by the Company for Cause, or by you for Good Reason, the date of receipt of the Notice of Termination or such later date specified in the Notice of Termination, as the case may be. You and the Company shall take all steps necessary to ensure that any termination described in this Section 2(e) constitutes a “separation from service” within the meaning of Section 409A of the Code, and notwithstanding anything contained herein to the contrary, the date on which such separation from service takes place shall be the “Date of Termination.”</w:t>
      </w:r>
    </w:p>
    <w:p>
      <w:pPr>
        <w:spacing w:after="0" w:line="140" w:lineRule="exact"/>
        <w:rPr>
          <w:rFonts w:ascii="Times New Roman" w:cs="Times New Roman" w:eastAsia="Times New Roman" w:hAnsi="Times New Roman"/>
          <w:sz w:val="13"/>
          <w:szCs w:val="13"/>
          <w:color w:val="auto"/>
        </w:rPr>
      </w:pPr>
    </w:p>
    <w:p>
      <w:pPr>
        <w:ind w:left="-208" w:firstLine="208"/>
        <w:spacing w:after="0" w:line="266" w:lineRule="auto"/>
        <w:tabs>
          <w:tab w:leader="none" w:pos="2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w:t>
      </w:r>
      <w:r>
        <w:rPr>
          <w:rFonts w:ascii="Times New Roman" w:cs="Times New Roman" w:eastAsia="Times New Roman" w:hAnsi="Times New Roman"/>
          <w:sz w:val="13"/>
          <w:szCs w:val="13"/>
          <w:color w:val="auto"/>
        </w:rPr>
        <w:t>. Subject to the provisions of Section 2 hereof, the rights represented by the Restricted Stock Units shall not be assignable or transferable, or otherwise alienated or hypothecated, under any circumstances. Any purported or attempted transfer of such units or such rights shall be null and void and shall result in the immediate forfeiture and cancellation of the Restricted Stock Units.</w:t>
      </w:r>
    </w:p>
    <w:p>
      <w:pPr>
        <w:spacing w:after="0" w:line="118" w:lineRule="exact"/>
        <w:rPr>
          <w:rFonts w:ascii="Times New Roman" w:cs="Times New Roman" w:eastAsia="Times New Roman" w:hAnsi="Times New Roman"/>
          <w:sz w:val="13"/>
          <w:szCs w:val="13"/>
          <w:color w:val="auto"/>
        </w:rPr>
      </w:pPr>
    </w:p>
    <w:p>
      <w:pPr>
        <w:jc w:val="both"/>
        <w:ind w:left="-208" w:firstLine="208"/>
        <w:spacing w:after="0" w:line="247" w:lineRule="auto"/>
        <w:tabs>
          <w:tab w:leader="none" w:pos="2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and Waiver</w:t>
      </w:r>
      <w:r>
        <w:rPr>
          <w:rFonts w:ascii="Times New Roman" w:cs="Times New Roman" w:eastAsia="Times New Roman" w:hAnsi="Times New Roman"/>
          <w:sz w:val="13"/>
          <w:szCs w:val="13"/>
          <w:color w:val="auto"/>
        </w:rPr>
        <w:t>. Except as provided in the Plan with respect to determinations of the Board or the Committee and subject to the Committee’s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30" w:lineRule="exact"/>
        <w:rPr>
          <w:rFonts w:ascii="Times New Roman" w:cs="Times New Roman" w:eastAsia="Times New Roman" w:hAnsi="Times New Roman"/>
          <w:sz w:val="13"/>
          <w:szCs w:val="13"/>
          <w:color w:val="auto"/>
        </w:rPr>
      </w:pPr>
    </w:p>
    <w:p>
      <w:pPr>
        <w:ind w:left="-208" w:firstLine="208"/>
        <w:spacing w:after="0" w:line="281" w:lineRule="auto"/>
        <w:tabs>
          <w:tab w:leader="none" w:pos="2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If you become subject to withholding under applicable tax laws other than as described in Section 2(c), you agree to pay Capital One the amount required to be withheld by one or more of the following methods:</w:t>
      </w:r>
    </w:p>
    <w:p>
      <w:pPr>
        <w:spacing w:after="0" w:line="108" w:lineRule="exact"/>
        <w:rPr>
          <w:rFonts w:ascii="Times New Roman" w:cs="Times New Roman" w:eastAsia="Times New Roman" w:hAnsi="Times New Roman"/>
          <w:sz w:val="13"/>
          <w:szCs w:val="13"/>
          <w:color w:val="auto"/>
        </w:rPr>
      </w:pPr>
    </w:p>
    <w:p>
      <w:pPr>
        <w:ind w:left="632" w:hanging="200"/>
        <w:spacing w:after="0"/>
        <w:tabs>
          <w:tab w:leader="none" w:pos="632" w:val="left"/>
        </w:tabs>
        <w:numPr>
          <w:ilvl w:val="1"/>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automatically through payroll withholding; or</w:t>
      </w:r>
    </w:p>
    <w:p>
      <w:pPr>
        <w:spacing w:after="0" w:line="165"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such other methods as Capital One may make available from time to time.</w:t>
      </w:r>
    </w:p>
    <w:p>
      <w:pPr>
        <w:spacing w:after="0" w:line="165" w:lineRule="exact"/>
        <w:rPr>
          <w:rFonts w:ascii="Times New Roman" w:cs="Times New Roman" w:eastAsia="Times New Roman" w:hAnsi="Times New Roman"/>
          <w:sz w:val="13"/>
          <w:szCs w:val="13"/>
          <w:color w:val="auto"/>
        </w:rPr>
      </w:pPr>
    </w:p>
    <w:p>
      <w:pPr>
        <w:jc w:val="both"/>
        <w:ind w:left="-208" w:firstLine="208"/>
        <w:spacing w:after="0" w:line="247" w:lineRule="auto"/>
        <w:tabs>
          <w:tab w:leader="none" w:pos="2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 Equivalents</w:t>
      </w:r>
      <w:r>
        <w:rPr>
          <w:rFonts w:ascii="Times New Roman" w:cs="Times New Roman" w:eastAsia="Times New Roman" w:hAnsi="Times New Roman"/>
          <w:sz w:val="13"/>
          <w:szCs w:val="13"/>
          <w:color w:val="auto"/>
        </w:rPr>
        <w:t>. With respect to the Restricted Stock Units, you shall be credited with dividend equivalents as and when dividends are paid to holders of shares of the Company’s Common Stock. By accepting this Award, you agree that such dividend equivalents shall accumulate and be paid to you in cash (without interest) as and when you receive payment under Section 2 with respect to the Restricted Stock Units from which such dividend equivalents are derived. You further agree that all such dividend equivalents shall be subject to the same vesting requirements that apply to the Restricted Stock Units from which such dividend equivalents are derived.</w:t>
      </w:r>
    </w:p>
    <w:p>
      <w:pPr>
        <w:spacing w:after="0" w:line="140" w:lineRule="exact"/>
        <w:rPr>
          <w:rFonts w:ascii="Times New Roman" w:cs="Times New Roman" w:eastAsia="Times New Roman" w:hAnsi="Times New Roman"/>
          <w:sz w:val="13"/>
          <w:szCs w:val="13"/>
          <w:color w:val="auto"/>
        </w:rPr>
      </w:pPr>
    </w:p>
    <w:p>
      <w:pPr>
        <w:jc w:val="both"/>
        <w:ind w:left="-208" w:firstLine="208"/>
        <w:spacing w:after="0" w:line="256" w:lineRule="auto"/>
        <w:tabs>
          <w:tab w:leader="none" w:pos="2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United States federal law and, to the extent not preempted thereby, by the laws of the State of Delaware. Capital One and you hereby consent and submit to the personal jurisdiction and venue of any state or federal court located in any city or county of Delaware for resolution of any and all claims, causes of action or disputes arising out of this Agreement. You and Capital One agree that the court shall not set aside the Committee’s determinations unless there is clear and convincing evidence of bad faith or fraud.</w:t>
      </w:r>
    </w:p>
    <w:p>
      <w:pPr>
        <w:sectPr>
          <w:pgSz w:w="11900" w:h="16838" w:orient="portrait"/>
          <w:cols w:equalWidth="0" w:num="1">
            <w:col w:w="11092"/>
          </w:cols>
          <w:pgMar w:left="508" w:top="989" w:right="299" w:bottom="1440" w:gutter="0" w:footer="0" w:header="0"/>
        </w:sectPr>
      </w:pPr>
    </w:p>
    <w:bookmarkStart w:id="243" w:name="page244"/>
    <w:bookmarkEnd w:id="243"/>
    <w:p>
      <w:pPr>
        <w:ind w:left="-208" w:right="20" w:firstLine="208"/>
        <w:spacing w:after="0" w:line="266" w:lineRule="auto"/>
        <w:tabs>
          <w:tab w:leader="none" w:pos="224"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In the event of any conflict between the provisions of the Plan as in effect on the Date of Grant and the provisions of this Agreement, except as provided otherwise herein, the provisions of the Plan shall govern. All references herein to the Plan shall mean the Plan as in effect on the date hereof.</w:t>
      </w:r>
    </w:p>
    <w:p>
      <w:pPr>
        <w:spacing w:after="0" w:line="127" w:lineRule="exact"/>
        <w:rPr>
          <w:rFonts w:ascii="Times New Roman" w:cs="Times New Roman" w:eastAsia="Times New Roman" w:hAnsi="Times New Roman"/>
          <w:sz w:val="13"/>
          <w:szCs w:val="13"/>
          <w:color w:val="auto"/>
        </w:rPr>
      </w:pPr>
    </w:p>
    <w:p>
      <w:pPr>
        <w:ind w:left="-208" w:right="20" w:firstLine="208"/>
        <w:spacing w:after="0" w:line="266" w:lineRule="auto"/>
        <w:tabs>
          <w:tab w:leader="none" w:pos="224"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Bound by Plan</w:t>
      </w:r>
      <w:r>
        <w:rPr>
          <w:rFonts w:ascii="Times New Roman" w:cs="Times New Roman" w:eastAsia="Times New Roman" w:hAnsi="Times New Roman"/>
          <w:sz w:val="13"/>
          <w:szCs w:val="13"/>
          <w:color w:val="auto"/>
        </w:rPr>
        <w:t>. In consideration of the grant of the Restricted Stock Units, you agree that you will comply with such conditions as the Committee may impose on the Restricted Stock Units and be bound by the terms of the Plan.</w:t>
      </w:r>
    </w:p>
    <w:p>
      <w:pPr>
        <w:spacing w:after="0" w:line="127"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Employment Status</w:t>
      </w:r>
      <w:r>
        <w:rPr>
          <w:rFonts w:ascii="Times New Roman" w:cs="Times New Roman" w:eastAsia="Times New Roman" w:hAnsi="Times New Roman"/>
          <w:sz w:val="13"/>
          <w:szCs w:val="13"/>
          <w:color w:val="auto"/>
        </w:rPr>
        <w:t>. This Agreement does not constitute a contract of employment nor does it alter your terminable at will status or otherwise guarantee future employment.</w:t>
      </w:r>
    </w:p>
    <w:p>
      <w:pPr>
        <w:spacing w:after="0" w:line="156" w:lineRule="exact"/>
        <w:rPr>
          <w:rFonts w:ascii="Times New Roman" w:cs="Times New Roman" w:eastAsia="Times New Roman" w:hAnsi="Times New Roman"/>
          <w:sz w:val="13"/>
          <w:szCs w:val="13"/>
          <w:color w:val="auto"/>
        </w:rPr>
      </w:pPr>
    </w:p>
    <w:p>
      <w:pPr>
        <w:ind w:left="-208" w:firstLine="208"/>
        <w:spacing w:after="0" w:line="281" w:lineRule="auto"/>
        <w:tabs>
          <w:tab w:leader="none" w:pos="213"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This Agreement shall be binding upon, enforceable against, and inure to the benefit of you and your legatees, distributees and personal representatives, and Capital One and its successors and assigns.</w:t>
      </w:r>
    </w:p>
    <w:p>
      <w:pPr>
        <w:spacing w:after="0" w:line="108"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Performance-Based Adjustments, Clawbacks and Other Forfeiture Events</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ind w:left="432"/>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Performance-Based Adjustment</w:t>
      </w:r>
      <w:r>
        <w:rPr>
          <w:rFonts w:ascii="Times New Roman" w:cs="Times New Roman" w:eastAsia="Times New Roman" w:hAnsi="Times New Roman"/>
          <w:sz w:val="13"/>
          <w:szCs w:val="13"/>
          <w:color w:val="auto"/>
        </w:rPr>
        <w:t>. The number of Restricted Stock Units vesting on the Vesting Date shall be subject to reduction as follows:</w:t>
      </w:r>
    </w:p>
    <w:p>
      <w:pPr>
        <w:spacing w:after="0" w:line="165" w:lineRule="exact"/>
        <w:rPr>
          <w:rFonts w:ascii="Times New Roman" w:cs="Times New Roman" w:eastAsia="Times New Roman" w:hAnsi="Times New Roman"/>
          <w:sz w:val="13"/>
          <w:szCs w:val="13"/>
          <w:color w:val="auto"/>
        </w:rPr>
      </w:pPr>
    </w:p>
    <w:p>
      <w:pPr>
        <w:ind w:left="652" w:firstLine="142"/>
        <w:spacing w:after="0" w:line="266" w:lineRule="auto"/>
        <w:tabs>
          <w:tab w:leader="none" w:pos="1084" w:val="left"/>
        </w:tabs>
        <w:numPr>
          <w:ilvl w:val="2"/>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fiscal year of the Company ending during the Performance Period, if any, that the Core Earnings for the Company for such fiscal year, as certified by the Committee, are not positive (i.e., Core Earnings are not greater than zero):</w:t>
      </w:r>
    </w:p>
    <w:p>
      <w:pPr>
        <w:spacing w:after="0" w:line="125" w:lineRule="exact"/>
        <w:rPr>
          <w:rFonts w:ascii="Times New Roman" w:cs="Times New Roman" w:eastAsia="Times New Roman" w:hAnsi="Times New Roman"/>
          <w:sz w:val="13"/>
          <w:szCs w:val="13"/>
          <w:color w:val="auto"/>
        </w:rPr>
      </w:pPr>
    </w:p>
    <w:p>
      <w:pPr>
        <w:ind w:left="1492" w:hanging="304"/>
        <w:spacing w:after="0"/>
        <w:tabs>
          <w:tab w:leader="none" w:pos="1492" w:val="left"/>
        </w:tabs>
        <w:numPr>
          <w:ilvl w:val="3"/>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Restricted Stock Units scheduled to vest on the Vesting Date shall be reduced by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of Units];</w:t>
      </w:r>
    </w:p>
    <w:p>
      <w:pPr>
        <w:spacing w:after="0" w:line="158" w:lineRule="exact"/>
        <w:rPr>
          <w:rFonts w:ascii="Times New Roman" w:cs="Times New Roman" w:eastAsia="Times New Roman" w:hAnsi="Times New Roman"/>
          <w:sz w:val="13"/>
          <w:szCs w:val="13"/>
          <w:color w:val="auto"/>
        </w:rPr>
      </w:pPr>
    </w:p>
    <w:p>
      <w:pPr>
        <w:jc w:val="both"/>
        <w:ind w:left="752" w:right="20" w:firstLine="436"/>
        <w:spacing w:after="0" w:line="256" w:lineRule="auto"/>
        <w:tabs>
          <w:tab w:leader="none" w:pos="1504" w:val="left"/>
        </w:tabs>
        <w:numPr>
          <w:ilvl w:val="3"/>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determine the extent, if any, to which you are accountable for such outcome, and, based on such determination, the Committee shall determine (I) whether the number of Restricted Stock Units scheduled to vest on the Vesting Date shall be reduced by up to an additional [# of Units] and (II) whether the Vesting Date shall be delayed for all or any portion of such Restricted Stock Units that are not so reduced.</w:t>
      </w:r>
    </w:p>
    <w:p>
      <w:pPr>
        <w:spacing w:after="0" w:line="125"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3"/>
          <w:szCs w:val="13"/>
          <w:color w:val="auto"/>
        </w:rPr>
        <w:t>The Committee shall make the determinations referenced in Section 12(a)(i)(B) in its sole discretion, taking into account the factors set forth on Appendix A hereto.</w:t>
      </w:r>
    </w:p>
    <w:p>
      <w:pPr>
        <w:spacing w:after="0" w:line="166" w:lineRule="exact"/>
        <w:rPr>
          <w:sz w:val="20"/>
          <w:szCs w:val="20"/>
          <w:color w:val="auto"/>
        </w:rPr>
      </w:pPr>
    </w:p>
    <w:p>
      <w:pPr>
        <w:jc w:val="both"/>
        <w:ind w:left="652" w:firstLine="106"/>
        <w:spacing w:after="0" w:line="256" w:lineRule="auto"/>
        <w:tabs>
          <w:tab w:leader="none" w:pos="1084"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12(a), “Core Earnings” means the Company’s net income available to common stockholders, excluding, on a tax-adjusted basis, the impact of (A) impairment or amortization of goodwill and intangible assets, and (B) the build or release of the allowance for credit losses, calculated as the difference between the provision (benefit) for credit losses and charge-offs, net of recoveries.</w:t>
      </w:r>
    </w:p>
    <w:p>
      <w:pPr>
        <w:spacing w:after="0" w:line="124" w:lineRule="exact"/>
        <w:rPr>
          <w:rFonts w:ascii="Times New Roman" w:cs="Times New Roman" w:eastAsia="Times New Roman" w:hAnsi="Times New Roman"/>
          <w:sz w:val="13"/>
          <w:szCs w:val="13"/>
          <w:color w:val="auto"/>
        </w:rPr>
      </w:pPr>
    </w:p>
    <w:p>
      <w:pPr>
        <w:ind w:left="652" w:firstLine="69"/>
        <w:spacing w:after="0" w:line="266" w:lineRule="auto"/>
        <w:tabs>
          <w:tab w:leader="none" w:pos="1084"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change to U.S. generally accepted accounting principles affecting the treatment or classification of any component of Core Earnings, such metric shall be calculated in a manner consistent with the definitions herein to the extent practicable.</w:t>
      </w:r>
    </w:p>
    <w:p>
      <w:pPr>
        <w:spacing w:after="0" w:line="128" w:lineRule="exact"/>
        <w:rPr>
          <w:sz w:val="20"/>
          <w:szCs w:val="20"/>
          <w:color w:val="auto"/>
        </w:rPr>
      </w:pPr>
    </w:p>
    <w:p>
      <w:pPr>
        <w:ind w:left="212" w:right="100"/>
        <w:spacing w:after="0" w:line="266" w:lineRule="auto"/>
        <w:rPr>
          <w:sz w:val="20"/>
          <w:szCs w:val="20"/>
          <w:color w:val="auto"/>
        </w:rPr>
      </w:pPr>
      <w:r>
        <w:rPr>
          <w:rFonts w:ascii="Times New Roman" w:cs="Times New Roman" w:eastAsia="Times New Roman" w:hAnsi="Times New Roman"/>
          <w:sz w:val="13"/>
          <w:szCs w:val="13"/>
          <w:color w:val="auto"/>
        </w:rPr>
        <w:t>Notwithstanding anything to the contrary in this Agreement and for the avoidance of doubt, in the event of a Change of Control of Capital One, there shall be no reduction pursuant to this Section 12(a) for any fiscal year ending after the date of such Change of Control.</w:t>
      </w:r>
    </w:p>
    <w:p>
      <w:pPr>
        <w:sectPr>
          <w:pgSz w:w="11900" w:h="16838" w:orient="portrait"/>
          <w:cols w:equalWidth="0" w:num="1">
            <w:col w:w="11092"/>
          </w:cols>
          <w:pgMar w:left="508" w:top="989" w:right="299" w:bottom="1440" w:gutter="0" w:footer="0" w:header="0"/>
        </w:sectPr>
      </w:pPr>
    </w:p>
    <w:bookmarkStart w:id="244" w:name="page245"/>
    <w:bookmarkEnd w:id="244"/>
    <w:p>
      <w:pPr>
        <w:jc w:val="both"/>
        <w:ind w:left="212" w:firstLine="220"/>
        <w:spacing w:after="0" w:line="247" w:lineRule="auto"/>
        <w:tabs>
          <w:tab w:leader="none" w:pos="644"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Clawback</w:t>
      </w:r>
      <w:r>
        <w:rPr>
          <w:rFonts w:ascii="Times New Roman" w:cs="Times New Roman" w:eastAsia="Times New Roman" w:hAnsi="Times New Roman"/>
          <w:sz w:val="13"/>
          <w:szCs w:val="13"/>
          <w:color w:val="auto"/>
        </w:rPr>
        <w:t>. The number of Restricted Stock Units vesting on the Vesting Date shall be subject to reduction in an amount as determined by the Committee in its sole discretion in the event that prior to the Vesting Date the Committee in its sole discretion determines that (i) there has been misconduct resulting in either a violation of law or of Capital One policy or procedures, including but not limited to the Capital One Code of Conduct, that in either case causes significant financial or reputational harm to Capital One and (ii) either you committed the misconduct or failed in your responsibility to manage or monitor the applicable conduct or risks.</w:t>
      </w:r>
    </w:p>
    <w:p>
      <w:pPr>
        <w:spacing w:after="0" w:line="140" w:lineRule="exact"/>
        <w:rPr>
          <w:rFonts w:ascii="Times New Roman" w:cs="Times New Roman" w:eastAsia="Times New Roman" w:hAnsi="Times New Roman"/>
          <w:sz w:val="13"/>
          <w:szCs w:val="13"/>
          <w:color w:val="auto"/>
        </w:rPr>
      </w:pPr>
    </w:p>
    <w:p>
      <w:pPr>
        <w:ind w:left="212" w:firstLine="220"/>
        <w:spacing w:after="0" w:line="266" w:lineRule="auto"/>
        <w:tabs>
          <w:tab w:leader="none" w:pos="636"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Forfeiture Event</w:t>
      </w:r>
      <w:r>
        <w:rPr>
          <w:rFonts w:ascii="Times New Roman" w:cs="Times New Roman" w:eastAsia="Times New Roman" w:hAnsi="Times New Roman"/>
          <w:sz w:val="13"/>
          <w:szCs w:val="13"/>
          <w:color w:val="auto"/>
        </w:rPr>
        <w:t>. You agree to reimburse the Company with respect to the Restricted Stock Units to the extent required under Section 304 of the Sarbanes-Oxley Act of 2002, Section 954 of the Dodd-Frank Act or as otherwise required by law.</w:t>
      </w:r>
    </w:p>
    <w:p>
      <w:pPr>
        <w:spacing w:after="0" w:line="127" w:lineRule="exact"/>
        <w:rPr>
          <w:rFonts w:ascii="Times New Roman" w:cs="Times New Roman" w:eastAsia="Times New Roman" w:hAnsi="Times New Roman"/>
          <w:sz w:val="13"/>
          <w:szCs w:val="13"/>
          <w:color w:val="auto"/>
        </w:rPr>
      </w:pPr>
    </w:p>
    <w:p>
      <w:pPr>
        <w:ind w:left="-208" w:right="20" w:firstLine="208"/>
        <w:spacing w:after="0" w:line="266" w:lineRule="auto"/>
        <w:tabs>
          <w:tab w:leader="none" w:pos="218"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a Stockholder</w:t>
      </w:r>
      <w:r>
        <w:rPr>
          <w:rFonts w:ascii="Times New Roman" w:cs="Times New Roman" w:eastAsia="Times New Roman" w:hAnsi="Times New Roman"/>
          <w:sz w:val="13"/>
          <w:szCs w:val="13"/>
          <w:color w:val="auto"/>
        </w:rPr>
        <w:t>. You shall have no rights of a stockholder with respect to the shares of Common Stock represented by Restricted Stock Units, including, but not limited to, the right to vote and to receive dividends, unless and until such shares of Common Stock are transferred to you pursuant to the Plan and this Agreement.</w:t>
      </w:r>
    </w:p>
    <w:p>
      <w:pPr>
        <w:spacing w:after="0" w:line="118" w:lineRule="exact"/>
        <w:rPr>
          <w:rFonts w:ascii="Times New Roman" w:cs="Times New Roman" w:eastAsia="Times New Roman" w:hAnsi="Times New Roman"/>
          <w:sz w:val="13"/>
          <w:szCs w:val="13"/>
          <w:color w:val="auto"/>
        </w:rPr>
      </w:pPr>
    </w:p>
    <w:p>
      <w:pPr>
        <w:ind w:left="-208" w:right="20" w:firstLine="208"/>
        <w:spacing w:after="0" w:line="281" w:lineRule="auto"/>
        <w:tabs>
          <w:tab w:leader="none" w:pos="218"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Protection</w:t>
      </w:r>
      <w:r>
        <w:rPr>
          <w:rFonts w:ascii="Times New Roman" w:cs="Times New Roman" w:eastAsia="Times New Roman" w:hAnsi="Times New Roman"/>
          <w:sz w:val="13"/>
          <w:szCs w:val="13"/>
          <w:color w:val="auto"/>
        </w:rPr>
        <w:t>. You consent to the collection, processing and transfer (including international transfer) of your personally identifiable data in connection with the grant of the Restricted Stock Units and participation in the Plan.</w:t>
      </w:r>
    </w:p>
    <w:p>
      <w:pPr>
        <w:spacing w:after="0" w:line="108" w:lineRule="exact"/>
        <w:rPr>
          <w:rFonts w:ascii="Times New Roman" w:cs="Times New Roman" w:eastAsia="Times New Roman" w:hAnsi="Times New Roman"/>
          <w:sz w:val="13"/>
          <w:szCs w:val="13"/>
          <w:color w:val="auto"/>
        </w:rPr>
      </w:pPr>
    </w:p>
    <w:p>
      <w:pPr>
        <w:jc w:val="both"/>
        <w:ind w:left="-208" w:firstLine="208"/>
        <w:spacing w:after="0" w:line="247" w:lineRule="auto"/>
        <w:tabs>
          <w:tab w:leader="none" w:pos="218"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This Agreement shall be enforceable to the fullest extent allowed by law. In the event that any provision of this Agreement is determined to be invalid, illegal or unenforceable in any respect under any applicable law or rule in any jurisdiction, then that provision shall be reduced, modified or otherwise conformed to the relevant law, judgment or determination to the degree necessary to render it valid and enforceable without affecting the validity, legality or enforceability of any other provision of this Agreement or the validity, legality or enforceability of such provision in any other jurisdiction. Any provision of this Agreement that is prohibited or unenforceable in any jurisdiction shall, as to such jurisdiction, be deemed severable from the remainder of this Agreement, and the remaining provisions contained in this Agreement shall be construed to preserve to the maximum permissible extent the intent and purposes of this Agreement.</w:t>
      </w:r>
    </w:p>
    <w:p>
      <w:pPr>
        <w:spacing w:after="0" w:line="130" w:lineRule="exact"/>
        <w:rPr>
          <w:rFonts w:ascii="Times New Roman" w:cs="Times New Roman" w:eastAsia="Times New Roman" w:hAnsi="Times New Roman"/>
          <w:sz w:val="13"/>
          <w:szCs w:val="13"/>
          <w:color w:val="auto"/>
        </w:rPr>
      </w:pPr>
    </w:p>
    <w:p>
      <w:pPr>
        <w:ind w:left="-208" w:firstLine="208"/>
        <w:spacing w:after="0" w:line="281" w:lineRule="auto"/>
        <w:tabs>
          <w:tab w:leader="none" w:pos="218"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all of which together shall constitute one agreement binding on all the parties hereto, notwithstanding that all such parties are not signatories to the original or the same counterpart</w:t>
      </w:r>
    </w:p>
    <w:p>
      <w:pPr>
        <w:spacing w:after="0" w:line="108"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 In accepting the grant, you acknowledge and agree that:</w:t>
      </w:r>
    </w:p>
    <w:p>
      <w:pPr>
        <w:spacing w:after="0" w:line="165" w:lineRule="exact"/>
        <w:rPr>
          <w:rFonts w:ascii="Times New Roman" w:cs="Times New Roman" w:eastAsia="Times New Roman" w:hAnsi="Times New Roman"/>
          <w:sz w:val="13"/>
          <w:szCs w:val="13"/>
          <w:color w:val="auto"/>
        </w:rPr>
      </w:pPr>
    </w:p>
    <w:p>
      <w:pPr>
        <w:ind w:left="632" w:hanging="200"/>
        <w:spacing w:after="0"/>
        <w:tabs>
          <w:tab w:leader="none" w:pos="63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intended to comply with the applicable requirements of Section 409A of the Code and shall be limited, construed and interpreted in a manner so as to comply therewith;</w:t>
      </w:r>
    </w:p>
    <w:p>
      <w:pPr>
        <w:spacing w:after="0" w:line="156"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obligations under this Agreement shall survive any termination of your employment with the Company for any reason;</w:t>
      </w:r>
    </w:p>
    <w:p>
      <w:pPr>
        <w:spacing w:after="0" w:line="156" w:lineRule="exact"/>
        <w:rPr>
          <w:rFonts w:ascii="Times New Roman" w:cs="Times New Roman" w:eastAsia="Times New Roman" w:hAnsi="Times New Roman"/>
          <w:sz w:val="13"/>
          <w:szCs w:val="13"/>
          <w:color w:val="auto"/>
        </w:rPr>
      </w:pPr>
    </w:p>
    <w:p>
      <w:pPr>
        <w:ind w:left="632" w:hanging="200"/>
        <w:spacing w:after="0"/>
        <w:tabs>
          <w:tab w:leader="none" w:pos="63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rights or remedies under this Agreement shall be cumulative and in addition to whatever other remedies the Company may have under law or equity;</w:t>
      </w:r>
    </w:p>
    <w:p>
      <w:pPr>
        <w:spacing w:after="0" w:line="165"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recovery by the Company under this Agreement will be a recovery of Restricted Stock Units to which you were not entitled under this Agreement and is not to be construed in any manner as a</w:t>
      </w:r>
    </w:p>
    <w:p>
      <w:pPr>
        <w:spacing w:after="0" w:line="8" w:lineRule="exact"/>
        <w:rPr>
          <w:rFonts w:ascii="Times New Roman" w:cs="Times New Roman" w:eastAsia="Times New Roman" w:hAnsi="Times New Roman"/>
          <w:sz w:val="13"/>
          <w:szCs w:val="13"/>
          <w:color w:val="auto"/>
        </w:rPr>
      </w:pPr>
    </w:p>
    <w:p>
      <w:pPr>
        <w:ind w:left="212"/>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penalty;</w:t>
      </w:r>
    </w:p>
    <w:p>
      <w:pPr>
        <w:sectPr>
          <w:pgSz w:w="11900" w:h="16838" w:orient="portrait"/>
          <w:cols w:equalWidth="0" w:num="1">
            <w:col w:w="11092"/>
          </w:cols>
          <w:pgMar w:left="508" w:top="989" w:right="299" w:bottom="1440" w:gutter="0" w:footer="0" w:header="0"/>
        </w:sectPr>
      </w:pPr>
    </w:p>
    <w:bookmarkStart w:id="245" w:name="page246"/>
    <w:bookmarkEnd w:id="245"/>
    <w:p>
      <w:pPr>
        <w:jc w:val="both"/>
        <w:ind w:left="-220" w:right="20" w:firstLine="220"/>
        <w:spacing w:after="0" w:line="256" w:lineRule="auto"/>
        <w:tabs>
          <w:tab w:leader="none" w:pos="204"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to the maximum extent permitted by applicable law and Section 409A of the Code, retain for itself funds or securities otherwise payable to you pursuant to this Agreement to satisfy any obligation or debt that you owe the Company, including any obligations hereunder. The Company may not retain such funds or securities until such time as they would otherwise be distributable to you in accordance with this Agreement;</w:t>
      </w:r>
    </w:p>
    <w:p>
      <w:pPr>
        <w:spacing w:after="0" w:line="124" w:lineRule="exact"/>
        <w:rPr>
          <w:rFonts w:ascii="Times New Roman" w:cs="Times New Roman" w:eastAsia="Times New Roman" w:hAnsi="Times New Roman"/>
          <w:sz w:val="13"/>
          <w:szCs w:val="13"/>
          <w:color w:val="auto"/>
        </w:rPr>
      </w:pPr>
    </w:p>
    <w:p>
      <w:pPr>
        <w:jc w:val="both"/>
        <w:ind w:left="-220" w:firstLine="220"/>
        <w:spacing w:after="0" w:line="256" w:lineRule="auto"/>
        <w:tabs>
          <w:tab w:leader="none" w:pos="208"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reserves the right to impose other requirements on the Restricted Stock Units, any Shares acquired pursuant to the Restricted Stock Units, and your participation in the Plan, to the extent Capital One determines, in its sole discretion, that such other requirements are necessary or advisable in order to comply with local laws, rules and regulations, or to facilitate the administration of the Restricted Stock Units and the Plan. Such requirements may include (but are not limited to) requiring you to sign any agreements or undertakings that may be necessary to accomplish the foregoing; and</w:t>
      </w:r>
    </w:p>
    <w:p>
      <w:pPr>
        <w:spacing w:after="0" w:line="133" w:lineRule="exact"/>
        <w:rPr>
          <w:rFonts w:ascii="Times New Roman" w:cs="Times New Roman" w:eastAsia="Times New Roman" w:hAnsi="Times New Roman"/>
          <w:sz w:val="13"/>
          <w:szCs w:val="13"/>
          <w:color w:val="auto"/>
        </w:rPr>
      </w:pPr>
    </w:p>
    <w:p>
      <w:pPr>
        <w:jc w:val="both"/>
        <w:ind w:left="-220" w:firstLine="220"/>
        <w:spacing w:after="0" w:line="247" w:lineRule="auto"/>
        <w:tabs>
          <w:tab w:leader="none" w:pos="212"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from time to time distributes and makes available to associates disclosure documents, including a prospectus, relating to the Plan. You may also contact the HR Help Center to obtain copies of the Plan disclosure documents and the Plan. You should carefully read the Plan disclosure documents and the Plan. By accepting the benefits of this Agreement you acknowledge receipt of the Plan and the Plan disclosure documents and agree to be bound by the terms of this Agreement and the Plan. You hereby consent to receive such documents by electronic delivery and agree to participate in the Plan through an on-line or electronic system established and maintained by Capital One or a third-party designated by Capital One.</w:t>
      </w:r>
    </w:p>
    <w:p>
      <w:pPr>
        <w:sectPr>
          <w:pgSz w:w="11900" w:h="16838" w:orient="portrait"/>
          <w:cols w:equalWidth="0" w:num="1">
            <w:col w:w="10660"/>
          </w:cols>
          <w:pgMar w:left="940" w:top="989" w:right="2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on their behalf.</w:t>
      </w:r>
    </w:p>
    <w:p>
      <w:pPr>
        <w:spacing w:after="0" w:line="200" w:lineRule="exact"/>
        <w:rPr>
          <w:sz w:val="20"/>
          <w:szCs w:val="20"/>
          <w:color w:val="auto"/>
        </w:rPr>
      </w:pPr>
    </w:p>
    <w:p>
      <w:pPr>
        <w:spacing w:after="0" w:line="27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33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By:</w:t>
      </w:r>
    </w:p>
    <w:p>
      <w:pPr>
        <w:spacing w:after="0" w:line="2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____________________________________</w:t>
      </w:r>
    </w:p>
    <w:p>
      <w:pPr>
        <w:spacing w:after="0" w:line="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François Locoh-Donou</w:t>
      </w:r>
    </w:p>
    <w:p>
      <w:pPr>
        <w:spacing w:after="0" w:line="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Chair, Compensation Committee</w:t>
      </w:r>
    </w:p>
    <w:p>
      <w:pPr>
        <w:spacing w:after="0" w:line="31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580"/>
        <w:spacing w:after="0"/>
        <w:tabs>
          <w:tab w:leader="none" w:pos="2880" w:val="left"/>
        </w:tabs>
        <w:rPr>
          <w:sz w:val="20"/>
          <w:szCs w:val="20"/>
          <w:color w:val="auto"/>
        </w:rPr>
      </w:pPr>
      <w:r>
        <w:rPr>
          <w:rFonts w:ascii="Times New Roman" w:cs="Times New Roman" w:eastAsia="Times New Roman" w:hAnsi="Times New Roman"/>
          <w:sz w:val="13"/>
          <w:szCs w:val="13"/>
          <w:color w:val="auto"/>
        </w:rPr>
        <w:t>By:</w:t>
        <w:tab/>
        <w:t>____________________________________</w:t>
      </w:r>
    </w:p>
    <w:p>
      <w:pPr>
        <w:spacing w:after="0" w:line="2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3"/>
          <w:szCs w:val="13"/>
          <w:color w:val="auto"/>
        </w:rPr>
        <w:t>Richard D. Fairbank</w:t>
      </w:r>
    </w:p>
    <w:p>
      <w:pPr>
        <w:spacing w:after="0" w:line="200" w:lineRule="exact"/>
        <w:rPr>
          <w:sz w:val="20"/>
          <w:szCs w:val="20"/>
          <w:color w:val="auto"/>
        </w:rPr>
      </w:pPr>
    </w:p>
    <w:p>
      <w:pPr>
        <w:spacing w:after="0" w:line="2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color w:val="auto"/>
        </w:rPr>
        <w:t>BY ELECTRONICALLY ACCEPTING THE AWARD, YOU AGREE THAT (i) SUCH ACCEPTANCE CONSTITUTES YOUR ELECTRONIC SIGNATURE IN EXECUTION OF THIS AGREEMENT; (ii) YOU AGREE TO BE BOUND BY THE PROVISIONS OF THE PLAN, THIS AGREEMENT AND THE ADDENDUM; (iii) YOU HAVE REVIEWED THE PLAN, THIS AGREEMENT AND THE ADDENDUM IN THEIR ENTIRETY, HAVE HAD AN OPPORTUNITY TO OBTAIN THE ADVICE OF COUNSEL PRIOR TO ACCEPTING THE AWARD AND FULLY UNDERSTAND ALL OF THE PROVISIONS OF THE PLAN, THIS AGREEMENT AND THE ADDENDUM; (iv) YOU HAVE BEEN PROVIDED WITH A COPY OR ELECTRONIC ACCESS TO A COPY OF THE U.S. PROSPECTUS FOR THE PLAN; AND (v) YOU HEREBY AGREE TO ACCEPT AS BINDING, CONCLUSIVE AND FINAL ALL DECISIONS OR INTERPRETATIONS OF THE COMMITTEE UPON ANY QUESTIONS ARISING UNDER THE PLAN, THIS AGREEMENT AND THE ADDENDUM.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 * * *</w:t>
      </w:r>
    </w:p>
    <w:p>
      <w:pPr>
        <w:sectPr>
          <w:pgSz w:w="11900" w:h="16838" w:orient="portrait"/>
          <w:cols w:equalWidth="0" w:num="1">
            <w:col w:w="11300"/>
          </w:cols>
          <w:pgMar w:left="300" w:top="989" w:right="299" w:bottom="1440" w:gutter="0" w:footer="0" w:header="0"/>
        </w:sectPr>
      </w:pPr>
    </w:p>
    <w:bookmarkStart w:id="247" w:name="page248"/>
    <w:bookmarkEnd w:id="247"/>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APPENDIX A</w:t>
      </w:r>
    </w:p>
    <w:p>
      <w:pPr>
        <w:spacing w:after="0" w:line="15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PERFORMANCE-BASED ADJUSTMENT DETERMINATION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Committee shall take into account the following factors for purposes of making any determinations referenced in Section 12(a)(i)(B) of this Agreement in its sole discretion:</w:t>
      </w:r>
    </w:p>
    <w:p>
      <w:pPr>
        <w:spacing w:after="0" w:line="157" w:lineRule="exact"/>
        <w:rPr>
          <w:sz w:val="20"/>
          <w:szCs w:val="20"/>
          <w:color w:val="auto"/>
        </w:rPr>
      </w:pPr>
    </w:p>
    <w:p>
      <w:pPr>
        <w:ind w:left="420" w:hanging="212"/>
        <w:spacing w:after="0"/>
        <w:tabs>
          <w:tab w:leader="none" w:pos="42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Core Earnings were negative;</w:t>
      </w:r>
    </w:p>
    <w:p>
      <w:pPr>
        <w:spacing w:after="0" w:line="16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outcome was the result of the performance of a line of business, control function or staff group for which you exercised direct or indirect responsibility;</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your performance contributed to the outcome, including your performance with respect to risk management and oversight; and</w:t>
      </w:r>
    </w:p>
    <w:p>
      <w:pPr>
        <w:spacing w:after="0" w:line="16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factors as the Committee deems appropriate.</w:t>
      </w:r>
    </w:p>
    <w:p>
      <w:pPr>
        <w:sectPr>
          <w:pgSz w:w="11900" w:h="16838" w:orient="portrait"/>
          <w:cols w:equalWidth="0" w:num="1">
            <w:col w:w="10159"/>
          </w:cols>
          <w:pgMar w:left="300" w:top="987" w:right="1440"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3"/>
          <w:szCs w:val="13"/>
          <w:b w:val="1"/>
          <w:bCs w:val="1"/>
          <w:color w:val="auto"/>
        </w:rPr>
        <w:t>Exhibit 10.2.22</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2004 Stock Incentive Plan</w:t>
      </w:r>
    </w:p>
    <w:p>
      <w:pPr>
        <w:jc w:val="center"/>
        <w:spacing w:after="0"/>
        <w:rPr>
          <w:sz w:val="20"/>
          <w:szCs w:val="20"/>
          <w:color w:val="auto"/>
        </w:rPr>
      </w:pPr>
      <w:r>
        <w:rPr>
          <w:rFonts w:ascii="Times New Roman" w:cs="Times New Roman" w:eastAsia="Times New Roman" w:hAnsi="Times New Roman"/>
          <w:sz w:val="17"/>
          <w:szCs w:val="17"/>
          <w:color w:val="auto"/>
        </w:rPr>
        <w:t>Performance Unit Award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of Performance Units at Target: 106,833</w:t>
      </w:r>
    </w:p>
    <w:p>
      <w:pPr>
        <w:spacing w:after="0" w:line="327"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3"/>
          <w:szCs w:val="13"/>
          <w:color w:val="auto"/>
        </w:rPr>
        <w:t xml:space="preserve">THIS PERFORMANCE UNIT AWARD AGREEMENT (this “Agreement”), dated January 26, 2023 (the “Date of Grant”), between CAPITAL ONE FINANCIAL CORPORATION, a Delaware corporation (“Capital One” or the “Company”), and </w:t>
      </w:r>
      <w:r>
        <w:rPr>
          <w:rFonts w:ascii="Times New Roman" w:cs="Times New Roman" w:eastAsia="Times New Roman" w:hAnsi="Times New Roman"/>
          <w:sz w:val="13"/>
          <w:szCs w:val="13"/>
          <w:b w:val="1"/>
          <w:bCs w:val="1"/>
          <w:color w:val="auto"/>
        </w:rPr>
        <w:t>Richard D. Fairbank</w:t>
      </w:r>
      <w:r>
        <w:rPr>
          <w:rFonts w:ascii="Times New Roman" w:cs="Times New Roman" w:eastAsia="Times New Roman" w:hAnsi="Times New Roman"/>
          <w:sz w:val="13"/>
          <w:szCs w:val="13"/>
          <w:color w:val="auto"/>
        </w:rPr>
        <w:t xml:space="preserve"> (“you”), is made pursuant and subject to the provisions of the Company’s 2004 Stock Incentive Plan, as amended and restated (the “Plan”) and all capitalized terms used herein that are defined in the Plan shall have the same meaning given to them in the Plan unless otherwise defined herein. For purposes of this Agreement, “Employer” means the entity (i.e., Capital One, Subsidiary or Affiliate) that employs you.</w:t>
      </w:r>
    </w:p>
    <w:p>
      <w:pPr>
        <w:spacing w:after="0" w:line="1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3"/>
          <w:szCs w:val="13"/>
          <w:color w:val="auto"/>
        </w:rPr>
        <w:t>WHEREAS, Article 9 of the Plan provides for the award from time to time in the discretion of the Committee of performance units, the vesting and issuance of which are subject to certain service, performance or other conditions;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W I T N E S S E T H</w:t>
      </w:r>
      <w:r>
        <w:rPr>
          <w:rFonts w:ascii="Times New Roman" w:cs="Times New Roman" w:eastAsia="Times New Roman" w:hAnsi="Times New Roman"/>
          <w:sz w:val="13"/>
          <w:szCs w:val="13"/>
          <w:color w:val="auto"/>
        </w:rPr>
        <w:t xml:space="preserve"> :</w:t>
      </w:r>
    </w:p>
    <w:p>
      <w:pPr>
        <w:spacing w:after="0" w:line="157" w:lineRule="exact"/>
        <w:rPr>
          <w:sz w:val="20"/>
          <w:szCs w:val="20"/>
          <w:color w:val="auto"/>
        </w:rPr>
      </w:pPr>
    </w:p>
    <w:p>
      <w:pPr>
        <w:jc w:val="both"/>
        <w:ind w:firstLine="208"/>
        <w:spacing w:after="0" w:line="256" w:lineRule="auto"/>
        <w:tabs>
          <w:tab w:leader="none" w:pos="432"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Performance Units</w:t>
      </w:r>
      <w:r>
        <w:rPr>
          <w:rFonts w:ascii="Times New Roman" w:cs="Times New Roman" w:eastAsia="Times New Roman" w:hAnsi="Times New Roman"/>
          <w:sz w:val="13"/>
          <w:szCs w:val="13"/>
          <w:color w:val="auto"/>
        </w:rPr>
        <w:t>. Capital One hereby grants to you an award of performance units (the “Units”) with a target award of 106,833 Units (the “Target Award”). The maximum payout for this award is 150% of the Target Award plus accrued dividends pursuant to Section 6. The Units shall vest and the underlying shares of common stock of Capital One, $.01 par value per share (such underlying shares, the “Shares”), shall be issuable only in accordance with the provisions of this Agreement and of the Plan.</w:t>
      </w:r>
    </w:p>
    <w:p>
      <w:pPr>
        <w:spacing w:after="0" w:line="12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Lapse of Restrictions</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420" w:firstLine="216"/>
        <w:spacing w:after="0" w:line="24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xml:space="preserve">. Except as provided in Sections 2(b) and 2(c) below and to the extent not previously vested or forfeited as provided herein, the Units shall vest on a date as determined by the Committee after termination of the Performance Period (as defined below) and certification of performance by the Committee, but no later than March 15, 2026 (the “Date of Issuance”). On the Date of Issuance, the Units shall vest, and the Shares shall become issuable as determined based on the Company’s Adjusted ROTCE and Growth of Tangible Book Value Per Share Plus Common Dividends, each as defined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relative to the Peer Group, as defined on </w:t>
      </w:r>
      <w:r>
        <w:rPr>
          <w:rFonts w:ascii="Times New Roman" w:cs="Times New Roman" w:eastAsia="Times New Roman" w:hAnsi="Times New Roman"/>
          <w:sz w:val="13"/>
          <w:szCs w:val="13"/>
          <w:u w:val="single" w:color="auto"/>
          <w:color w:val="auto"/>
        </w:rPr>
        <w:t>Appendix B</w:t>
      </w:r>
      <w:r>
        <w:rPr>
          <w:rFonts w:ascii="Times New Roman" w:cs="Times New Roman" w:eastAsia="Times New Roman" w:hAnsi="Times New Roman"/>
          <w:sz w:val="13"/>
          <w:szCs w:val="13"/>
          <w:color w:val="auto"/>
        </w:rPr>
        <w:t xml:space="preserve">, over a three-year performance period beginning on January 1, 2023 and ending on December 31, 2025 (the “Performance Period”) as certified by the Committee following the end of the Performance Period. The number of Units that shall vest and the number of Shares that shall become issuable on the Date of Issuance shall be determined as set forth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The number of Units vesting and the number of Shares that shall become issuable on the Date of Issuance shall be reduced in the event that Adjusted ROTCE for one or more fiscal years in the Performance Period is less than or equal to zero, as provided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The number of Units vesting and the number of Shares that shall become issuable on the Date of Issuance shall also be subject to reduction in accordance with section 12(b) below.</w:t>
      </w:r>
    </w:p>
    <w:p>
      <w:pPr>
        <w:sectPr>
          <w:pgSz w:w="11900" w:h="16838" w:orient="portrait"/>
          <w:cols w:equalWidth="0" w:num="1">
            <w:col w:w="11300"/>
          </w:cols>
          <w:pgMar w:left="300" w:top="987" w:right="299" w:bottom="1440" w:gutter="0" w:footer="0" w:header="0"/>
        </w:sectPr>
      </w:pPr>
    </w:p>
    <w:bookmarkStart w:id="249" w:name="page250"/>
    <w:bookmarkEnd w:id="249"/>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With respect to any Units that have vested on the Date of Issuance, the Shares related thereto shall be issued to you, in settlement of such vested Units, on such Date of Issuance. Dividends will be accrued and paid out as additional shares at the time of the award as provided in Section 6 below. All Units, including your rights thereto and to the underlying Shares, which do not vest on or before the Date of Issuance, as provided in this Section 2, shall immediately be forfeited as of such Date of Issuance (to the extent not previously forfeited as provided herein).</w:t>
      </w:r>
    </w:p>
    <w:p>
      <w:pPr>
        <w:spacing w:after="0" w:line="125" w:lineRule="exact"/>
        <w:rPr>
          <w:sz w:val="20"/>
          <w:szCs w:val="20"/>
          <w:color w:val="auto"/>
        </w:rPr>
      </w:pPr>
    </w:p>
    <w:p>
      <w:pPr>
        <w:ind w:left="440" w:hanging="220"/>
        <w:spacing w:after="0"/>
        <w:tabs>
          <w:tab w:leader="none" w:pos="44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Termination of Employment</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440" w:firstLine="142"/>
        <w:spacing w:after="0" w:line="256" w:lineRule="auto"/>
        <w:tabs>
          <w:tab w:leader="none" w:pos="872"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termination of your employment with Capital One for any reason other than death, Disability or Retirement, as defined below, prior to the Date of Issuance, all Units shall immediately be forfeited (to the extent not previously vested or forfeited as provided herein). For the avoidance of doubt, a transfer of employment to an affiliate of Capital One shall not constitute a termination of employment for purposes of this Section 2(b).</w:t>
      </w:r>
    </w:p>
    <w:p>
      <w:pPr>
        <w:spacing w:after="0" w:line="124" w:lineRule="exact"/>
        <w:rPr>
          <w:rFonts w:ascii="Times New Roman" w:cs="Times New Roman" w:eastAsia="Times New Roman" w:hAnsi="Times New Roman"/>
          <w:sz w:val="13"/>
          <w:szCs w:val="13"/>
          <w:color w:val="auto"/>
        </w:rPr>
      </w:pPr>
    </w:p>
    <w:p>
      <w:pPr>
        <w:jc w:val="both"/>
        <w:ind w:left="440" w:firstLine="106"/>
        <w:spacing w:after="0" w:line="247" w:lineRule="auto"/>
        <w:tabs>
          <w:tab w:leader="none" w:pos="872"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termination of your employment as a result of your death or Disability on or prior to December 31, 2025, a number of the Units equal to (1) the Target Award amount as specified above, or (2) following a Change of Control, the Time-Based Units as calculated in Section 2(c) below, shall immediately vest and the Shares shall be immediately issuable to you as soon as practicable following your death or Disability and in all events on or before the later of December 31 of the year of termination or 2.5 months following such termination. Upon your termination of employment as a result of your death or Disability on or after January 1, 2026, but prior to the Date of Issuance, the number of Units that shall vest and the number of Shares that shall be issuable to you shall be as calculated in Section 2(a) above.</w:t>
      </w:r>
    </w:p>
    <w:p>
      <w:pPr>
        <w:spacing w:after="0" w:line="130" w:lineRule="exact"/>
        <w:rPr>
          <w:rFonts w:ascii="Times New Roman" w:cs="Times New Roman" w:eastAsia="Times New Roman" w:hAnsi="Times New Roman"/>
          <w:sz w:val="13"/>
          <w:szCs w:val="13"/>
          <w:color w:val="auto"/>
        </w:rPr>
      </w:pPr>
    </w:p>
    <w:p>
      <w:pPr>
        <w:ind w:left="440" w:right="20" w:firstLine="69"/>
        <w:spacing w:after="0" w:line="266" w:lineRule="auto"/>
        <w:tabs>
          <w:tab w:leader="none" w:pos="872"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in this Agreement, upon your Retirement , the number of Units that shall vest and the number of Shares that shall be issuable to you shall be as calculated in Section 2(a) and 2(c).</w:t>
      </w:r>
    </w:p>
    <w:p>
      <w:pPr>
        <w:spacing w:after="0" w:line="127" w:lineRule="exact"/>
        <w:rPr>
          <w:rFonts w:ascii="Times New Roman" w:cs="Times New Roman" w:eastAsia="Times New Roman" w:hAnsi="Times New Roman"/>
          <w:sz w:val="13"/>
          <w:szCs w:val="13"/>
          <w:color w:val="auto"/>
        </w:rPr>
      </w:pPr>
    </w:p>
    <w:p>
      <w:pPr>
        <w:ind w:left="440" w:firstLine="76"/>
        <w:spacing w:after="0" w:line="266" w:lineRule="auto"/>
        <w:tabs>
          <w:tab w:leader="none" w:pos="863"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termination of your employment with Capital One for Cause, as defined herein, prior to the Date of Issuance, all Units shall be immediately forfeited (to the extent not previously vested or forfeited as provided herein).</w:t>
      </w:r>
    </w:p>
    <w:p>
      <w:pPr>
        <w:spacing w:after="0" w:line="127" w:lineRule="exact"/>
        <w:rPr>
          <w:rFonts w:ascii="Times New Roman" w:cs="Times New Roman" w:eastAsia="Times New Roman" w:hAnsi="Times New Roman"/>
          <w:sz w:val="13"/>
          <w:szCs w:val="13"/>
          <w:color w:val="auto"/>
        </w:rPr>
      </w:pPr>
    </w:p>
    <w:p>
      <w:pPr>
        <w:jc w:val="both"/>
        <w:ind w:firstLine="220"/>
        <w:spacing w:after="0" w:line="242" w:lineRule="auto"/>
        <w:tabs>
          <w:tab w:leader="none" w:pos="424"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Change of Control</w:t>
      </w:r>
      <w:r>
        <w:rPr>
          <w:rFonts w:ascii="Times New Roman" w:cs="Times New Roman" w:eastAsia="Times New Roman" w:hAnsi="Times New Roman"/>
          <w:sz w:val="13"/>
          <w:szCs w:val="13"/>
          <w:color w:val="auto"/>
        </w:rPr>
        <w:t>. Upon a Change of Control, a number of Units shall, upon certification of performance by the Committee, convert into time-based restricted stock units (the “Time-Based Units”) (as may be adjusted in accordance with Section 4.4 of the Plan) calculated based on a performance period from January 1, 2023 through the end of the fiscal quarter immediately preceding the closing date of the transaction giving rise to the Change of Control; and provided further that the Date of Issuance in such case shall be December 31, 2025 subject to either (1) your continued employment through such date or (2) your Retirement, pursuant to Section 2(b)(iii). Upon your termination of employment by Capital One without Cause or for Good Reason (each as defined below), in either case on or prior to the second anniversary of the occurrence of a Change of Control of Capital One and prior to the Date of Issuance with respect to the Time-Based Units, then notwithstanding anything herein to the contrary, all of the Time-Based Units shall vest and the Shares shall be issuable in full without restrictions on transferability immediately upon the occurrence of your termination of employment following such Change of Control (to the extent not previously vested or forfeited as provided herein) and such date shall be the Date of Issuance; provided, however, that if the Time-Based Units are considered deferred compensation under Section 409A of the Code and not exempt from Section 409A of the Code as a short-term deferral or otherwise, and you are a “specified employee,” as</w:t>
      </w:r>
    </w:p>
    <w:p>
      <w:pPr>
        <w:sectPr>
          <w:pgSz w:w="11900" w:h="16838" w:orient="portrait"/>
          <w:cols w:equalWidth="0" w:num="1">
            <w:col w:w="10880"/>
          </w:cols>
          <w:pgMar w:left="720" w:top="989" w:right="299" w:bottom="1440" w:gutter="0" w:footer="0" w:header="0"/>
        </w:sectPr>
      </w:pPr>
    </w:p>
    <w:bookmarkStart w:id="250" w:name="page251"/>
    <w:bookmarkEnd w:id="250"/>
    <w:p>
      <w:pPr>
        <w:jc w:val="both"/>
        <w:spacing w:after="0" w:line="256" w:lineRule="auto"/>
        <w:rPr>
          <w:sz w:val="20"/>
          <w:szCs w:val="20"/>
          <w:color w:val="auto"/>
        </w:rPr>
      </w:pPr>
      <w:r>
        <w:rPr>
          <w:rFonts w:ascii="Times New Roman" w:cs="Times New Roman" w:eastAsia="Times New Roman" w:hAnsi="Times New Roman"/>
          <w:sz w:val="13"/>
          <w:szCs w:val="13"/>
          <w:color w:val="auto"/>
        </w:rPr>
        <w:t>defined in and pursuant to Reg. Section 1.409A 1(i) or any successor regulation, on the date of any such termination of employment without Cause or for Good Reason, you will not be entitled to such vesting prior to the earlier of (i) the date which is six months from the date of your “separation from service” (as defined in Reg. Section 1.409A 1(h) or any successor regulation) as a result of such termination and (ii) your death.</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With respect to any Time-Based Units that have vested, the Shares related thereto shall be issued to you, in settlement of such vested Time-Based Units, on the Date of Issuance. Dividends will be accrued and paid out as additional shares at the time of the award, as provided in Section 6 below. All Time-Based Units, including your rights thereto and to the underlying Shares, which do not vest on or before the Date of Issuance, as provided in this Section 2, shall immediately be forfeited as of such Date of Issuance (to the extent not previously forfeited as provided herein).</w:t>
      </w:r>
    </w:p>
    <w:p>
      <w:pPr>
        <w:spacing w:after="0" w:line="134" w:lineRule="exact"/>
        <w:rPr>
          <w:sz w:val="20"/>
          <w:szCs w:val="20"/>
          <w:color w:val="auto"/>
        </w:rPr>
      </w:pPr>
    </w:p>
    <w:p>
      <w:pPr>
        <w:ind w:left="440" w:hanging="220"/>
        <w:spacing w:after="0"/>
        <w:tabs>
          <w:tab w:leader="none" w:pos="44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440" w:firstLine="142"/>
        <w:spacing w:after="0"/>
        <w:tabs>
          <w:tab w:leader="none" w:pos="872"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“Cause” shall mean (1) the willful and continued failure to perform substantially your duties with the Company or any Affiliate (other than any such failure resulting from incapacity due to physical or mental illness or following your delivery of a Notice of Termination (as defined below) for Good Reason), after a written demand for substantial performance is delivered to you by the Board or the Committee that specifically identifies the manner in which the Board or the Committee believes that you have not substantially performed your duties, or (2) the willful engaging by you in illegal conduct or gross misconduct that is materially and demonstrably injurious to the Company. No act, or failure to act, on your part shall be considered “willful” unless it is done, or omitted to be done, by you in bad faith or without reasonable belief that your action or omission was in the best interests of the Company. Any act, or failure to act, based upon (A) authority given pursuant to a resolution duly adopted by the Board, or if the Company is not the ultimate parent corporation of the Employer and is not publicly-traded, the board of directors (or equivalent management body) of the ultimate parent of the Employer (the “Applicable Board”) or (B) the advice of counsel for the Company shall be conclusively presumed to be done, or omitted to be done, by you in good faith and in the best interests of the Company. The cessation of your employment shall not be deemed to be for Cause unless and until there shall have been delivered to you a copy of a resolution duly adopted by the affirmative vote of not less than three-quarters of the entire membership of the Applicable Board (excluding you, if you are a member of the Applicable Board) at a meeting of the Applicable Board called and held for such purpose (after reasonable notice is provided to you and you are given an opportunity, together with your counsel, to be heard before the Applicable Board), finding that, in the good faith opinion of the Applicable Board, you are guilty of the conduct described in this Section 2(d)(i), and specifying the particulars thereof in detail.</w:t>
      </w:r>
    </w:p>
    <w:p>
      <w:pPr>
        <w:spacing w:after="0" w:line="141" w:lineRule="exact"/>
        <w:rPr>
          <w:rFonts w:ascii="Times New Roman" w:cs="Times New Roman" w:eastAsia="Times New Roman" w:hAnsi="Times New Roman"/>
          <w:sz w:val="13"/>
          <w:szCs w:val="13"/>
          <w:color w:val="auto"/>
        </w:rPr>
      </w:pPr>
    </w:p>
    <w:p>
      <w:pPr>
        <w:jc w:val="both"/>
        <w:ind w:left="440" w:firstLine="106"/>
        <w:spacing w:after="0" w:line="247" w:lineRule="auto"/>
        <w:tabs>
          <w:tab w:leader="none" w:pos="872"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“Good Reason” shall mean (1) the assignment to you of any duties inconsistent in any respect with your position (including status, offices, titles and reporting requirements), authority, duties or responsibilities, or any action by the Company that results in a diminution in such position, authority, duties or responsibilities, excluding for this purpose an isolated, insubstantial and inadvertent action not taken in bad faith and that is remedied by the Company promptly after receipt of notice thereof given by you; (2) any failure by the Company to pay your compensation owed other than an isolated, insubstantial and inadvertent failure not occurring in bad faith and that is remedied by the Company promptly after receipt of notice thereof given by you; (3) the Company’s requiring you (I) to be based at any office or location more than 35 miles from the office or location at which you were required to work as of the</w:t>
      </w:r>
    </w:p>
    <w:p>
      <w:pPr>
        <w:sectPr>
          <w:pgSz w:w="11900" w:h="16838" w:orient="portrait"/>
          <w:cols w:equalWidth="0" w:num="1">
            <w:col w:w="10880"/>
          </w:cols>
          <w:pgMar w:left="720" w:top="989" w:right="299" w:bottom="1440" w:gutter="0" w:footer="0" w:header="0"/>
        </w:sectPr>
      </w:pPr>
    </w:p>
    <w:bookmarkStart w:id="251" w:name="page252"/>
    <w:bookmarkEnd w:id="251"/>
    <w:p>
      <w:pPr>
        <w:ind w:left="652"/>
        <w:spacing w:after="0"/>
        <w:rPr>
          <w:sz w:val="20"/>
          <w:szCs w:val="20"/>
          <w:color w:val="auto"/>
        </w:rPr>
      </w:pPr>
      <w:r>
        <w:rPr>
          <w:rFonts w:ascii="Times New Roman" w:cs="Times New Roman" w:eastAsia="Times New Roman" w:hAnsi="Times New Roman"/>
          <w:sz w:val="13"/>
          <w:szCs w:val="13"/>
          <w:color w:val="auto"/>
        </w:rPr>
        <w:t>date of this Agreement or (II) to travel on Company business to a substantially greater extent than required during the 120-day period immediately prior to the date the Change of Control occurs; or</w:t>
      </w:r>
    </w:p>
    <w:p>
      <w:pPr>
        <w:spacing w:after="0" w:line="9" w:lineRule="exact"/>
        <w:rPr>
          <w:sz w:val="20"/>
          <w:szCs w:val="20"/>
          <w:color w:val="auto"/>
        </w:rPr>
      </w:pPr>
    </w:p>
    <w:p>
      <w:pPr>
        <w:jc w:val="both"/>
        <w:ind w:left="652" w:hanging="4"/>
        <w:spacing w:after="0" w:line="244" w:lineRule="auto"/>
        <w:tabs>
          <w:tab w:leader="none" w:pos="839"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action or inaction that constitutes a material breach by the Company of this Agreement or any employment agreement. For purposes of this Section 2(d)(ii) of this Agreement, any good faith determination of Good Reason made by you shall be conclusive. Your mental or physical incapacity following the occurrence of an event described above in clauses (1) through (4) shall not affect your ability to terminate employment for Good Reason.</w:t>
      </w:r>
    </w:p>
    <w:p>
      <w:pPr>
        <w:spacing w:after="0" w:line="142" w:lineRule="exact"/>
        <w:rPr>
          <w:rFonts w:ascii="Times New Roman" w:cs="Times New Roman" w:eastAsia="Times New Roman" w:hAnsi="Times New Roman"/>
          <w:sz w:val="13"/>
          <w:szCs w:val="13"/>
          <w:color w:val="auto"/>
        </w:rPr>
      </w:pPr>
    </w:p>
    <w:p>
      <w:pPr>
        <w:jc w:val="both"/>
        <w:ind w:left="652" w:firstLine="69"/>
        <w:spacing w:after="0" w:line="244" w:lineRule="auto"/>
        <w:tabs>
          <w:tab w:leader="none" w:pos="1084" w:val="left"/>
        </w:tabs>
        <w:numPr>
          <w:ilvl w:val="2"/>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termination by the Company for Cause, or by you for Good Reason, shall be communicated by Notice of Termination to the other party. “Notice of Termination” means a written notice that (1) indicates the specific termination provision in this Agreement relied upon, (2) to the extent applicable, sets forth in reasonable detail the facts and circumstances claimed to provide a basis for termination of your employment under the provision so indicated, and (3) if the Date of Termination (as defined herein) is other than the date of receipt of such notice, specifies the Date of Termination (which Date of Termination shall be not more than 30 days after the giving of such notice). The failure by you or the Company to set forth in the Notice of Termination any fact or circumstance that contributes to a showing of Good Reason or Cause shall not waive any right of you or the Company, respectively, hereunder or preclude you or the Company, respectively, from asserting such fact or circumstance in enforcing your or the Company’s respective rights hereunder.</w:t>
      </w:r>
    </w:p>
    <w:p>
      <w:pPr>
        <w:spacing w:after="0" w:line="132" w:lineRule="exact"/>
        <w:rPr>
          <w:rFonts w:ascii="Times New Roman" w:cs="Times New Roman" w:eastAsia="Times New Roman" w:hAnsi="Times New Roman"/>
          <w:sz w:val="13"/>
          <w:szCs w:val="13"/>
          <w:color w:val="auto"/>
        </w:rPr>
      </w:pPr>
    </w:p>
    <w:p>
      <w:pPr>
        <w:jc w:val="both"/>
        <w:ind w:left="652" w:firstLine="76"/>
        <w:spacing w:after="0" w:line="247" w:lineRule="auto"/>
        <w:tabs>
          <w:tab w:leader="none" w:pos="1075" w:val="left"/>
        </w:tabs>
        <w:numPr>
          <w:ilvl w:val="2"/>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of Termination” means, if your employment is terminated by the Company for Cause, or by you for Good Reason, the date of receipt of the Notice of Termination or such later date specified in the Notice of Termination, as the case may be. You and the Company shall take all steps necessary to ensure that any termination described in this Section 2(d) constitutes a “separation from service” within the meaning of Section 409A of the Code, and notwithstanding anything contained herein to the contrary, the date on which such separation from service takes place shall be the “Date of Termination.”</w:t>
      </w:r>
    </w:p>
    <w:p>
      <w:pPr>
        <w:spacing w:after="0" w:line="140" w:lineRule="exact"/>
        <w:rPr>
          <w:rFonts w:ascii="Times New Roman" w:cs="Times New Roman" w:eastAsia="Times New Roman" w:hAnsi="Times New Roman"/>
          <w:sz w:val="13"/>
          <w:szCs w:val="13"/>
          <w:color w:val="auto"/>
        </w:rPr>
      </w:pPr>
    </w:p>
    <w:p>
      <w:pPr>
        <w:jc w:val="both"/>
        <w:ind w:left="-208" w:firstLine="208"/>
        <w:spacing w:after="0" w:line="247" w:lineRule="auto"/>
        <w:tabs>
          <w:tab w:leader="none" w:pos="224"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w:t>
      </w:r>
      <w:r>
        <w:rPr>
          <w:rFonts w:ascii="Times New Roman" w:cs="Times New Roman" w:eastAsia="Times New Roman" w:hAnsi="Times New Roman"/>
          <w:sz w:val="13"/>
          <w:szCs w:val="13"/>
          <w:color w:val="auto"/>
        </w:rPr>
        <w:t>. Subject to the provisions of Section 2 and 14 hereof, the right to receive some or all of the Units and the Shares related thereto shall not be assignable or transferable, or otherwise alienated, pledged or hypothecated or otherwise encumbered under any circumstances. Any purported or attempted assignment, transfer, alienation, pledge, hypothecation or encumbrance of such rights or of the Units or the Shares related thereto prior to their issuance to you shall be null and void and shall result in the immediate forfeiture of such rights or Units, including the Shares related thereto, and cancellation of this Agreement.</w:t>
      </w:r>
    </w:p>
    <w:p>
      <w:pPr>
        <w:spacing w:after="0" w:line="140" w:lineRule="exact"/>
        <w:rPr>
          <w:rFonts w:ascii="Times New Roman" w:cs="Times New Roman" w:eastAsia="Times New Roman" w:hAnsi="Times New Roman"/>
          <w:sz w:val="13"/>
          <w:szCs w:val="13"/>
          <w:color w:val="auto"/>
        </w:rPr>
      </w:pPr>
    </w:p>
    <w:p>
      <w:pPr>
        <w:jc w:val="both"/>
        <w:ind w:left="-208" w:firstLine="208"/>
        <w:spacing w:after="0" w:line="243" w:lineRule="auto"/>
        <w:tabs>
          <w:tab w:leader="none" w:pos="224"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and Waiver</w:t>
      </w:r>
      <w:r>
        <w:rPr>
          <w:rFonts w:ascii="Times New Roman" w:cs="Times New Roman" w:eastAsia="Times New Roman" w:hAnsi="Times New Roman"/>
          <w:sz w:val="13"/>
          <w:szCs w:val="13"/>
          <w:color w:val="auto"/>
        </w:rPr>
        <w:t>. Except as provided in the Plan with respect to determinations of the Board or the Committee and subject to the Committee’s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43"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If you become subject to withholding under applicable tax laws, you agree to pay Capital One the amount required to be withheld by one or more of the following methods:</w:t>
      </w:r>
    </w:p>
    <w:p>
      <w:pPr>
        <w:sectPr>
          <w:pgSz w:w="11900" w:h="16838" w:orient="portrait"/>
          <w:cols w:equalWidth="0" w:num="1">
            <w:col w:w="11092"/>
          </w:cols>
          <w:pgMar w:left="508" w:top="989" w:right="299" w:bottom="1440" w:gutter="0" w:footer="0" w:header="0"/>
        </w:sectPr>
      </w:pPr>
    </w:p>
    <w:bookmarkStart w:id="252" w:name="page253"/>
    <w:bookmarkEnd w:id="252"/>
    <w:p>
      <w:pPr>
        <w:ind w:left="212" w:firstLine="220"/>
        <w:spacing w:after="0" w:line="266" w:lineRule="auto"/>
        <w:tabs>
          <w:tab w:leader="none" w:pos="636"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will automatically withhold the number of Shares having a Fair Market Value on the date the tax withholding obligation is to be determined equal to the amount required to be withheld (as determined pursuant to the Plan), rounded up to the nearest whole Share; or</w:t>
      </w:r>
    </w:p>
    <w:p>
      <w:pPr>
        <w:spacing w:after="0" w:line="127"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such other methods as Capital One may make available from time to time.</w:t>
      </w:r>
    </w:p>
    <w:p>
      <w:pPr>
        <w:spacing w:after="0" w:line="156" w:lineRule="exact"/>
        <w:rPr>
          <w:rFonts w:ascii="Times New Roman" w:cs="Times New Roman" w:eastAsia="Times New Roman" w:hAnsi="Times New Roman"/>
          <w:sz w:val="13"/>
          <w:szCs w:val="13"/>
          <w:color w:val="auto"/>
        </w:rPr>
      </w:pPr>
    </w:p>
    <w:p>
      <w:pPr>
        <w:jc w:val="both"/>
        <w:ind w:left="-208" w:firstLine="208"/>
        <w:spacing w:after="0" w:line="252" w:lineRule="auto"/>
        <w:tabs>
          <w:tab w:leader="none" w:pos="2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Dividends with respect to the Shares shall accrue beginning on January 1, 2023, through the applicable Date of Issuance when the Shares underlying the Units or Time-Based Units are delivered, at which time such accrued dividends shall be paid out in the form of additional shares of common stock of the Corporation based on the Fair Market Value of a share of the Company’s common stock on the business day prior to the Date of Issuance. The accrued dividends that shall be paid out to you shall be only such amount that has accrued with respect to the Shares underlying the Units or Time-Based Units that vest on the Date of Issuance.</w:t>
      </w:r>
    </w:p>
    <w:p>
      <w:pPr>
        <w:spacing w:after="0" w:line="128" w:lineRule="exact"/>
        <w:rPr>
          <w:rFonts w:ascii="Times New Roman" w:cs="Times New Roman" w:eastAsia="Times New Roman" w:hAnsi="Times New Roman"/>
          <w:sz w:val="13"/>
          <w:szCs w:val="13"/>
          <w:color w:val="auto"/>
        </w:rPr>
      </w:pPr>
    </w:p>
    <w:p>
      <w:pPr>
        <w:jc w:val="both"/>
        <w:ind w:left="-208" w:firstLine="208"/>
        <w:spacing w:after="0" w:line="256" w:lineRule="auto"/>
        <w:tabs>
          <w:tab w:leader="none" w:pos="2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United States federal law and, to the extent not preempted thereby, by the laws of the State of Delaware. Capital One and you hereby consent and submit to the personal jurisdiction and venue of any state or federal court located in any city or county of Delaware for resolution of any and all claims, causes of action or disputes arising out of this Agreement. You and Capital One agree that the court shall not set aside the Committee’s determinations unless there is clear and convincing evidence of bad faith or fraud.</w:t>
      </w:r>
    </w:p>
    <w:p>
      <w:pPr>
        <w:spacing w:after="0" w:line="124" w:lineRule="exact"/>
        <w:rPr>
          <w:rFonts w:ascii="Times New Roman" w:cs="Times New Roman" w:eastAsia="Times New Roman" w:hAnsi="Times New Roman"/>
          <w:sz w:val="13"/>
          <w:szCs w:val="13"/>
          <w:color w:val="auto"/>
        </w:rPr>
      </w:pPr>
    </w:p>
    <w:p>
      <w:pPr>
        <w:ind w:left="-208" w:firstLine="208"/>
        <w:spacing w:after="0" w:line="281" w:lineRule="auto"/>
        <w:tabs>
          <w:tab w:leader="none" w:pos="2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In the event of any conflict between the provisions of the Plan as in effect on the Date of Grant and the provisions of this Agreement, except as provided otherwise herein, the provisions of this Agreement shall govern. All references herein to the Plan shall mean the Plan as in effect on the date hereof.</w:t>
      </w:r>
    </w:p>
    <w:p>
      <w:pPr>
        <w:spacing w:after="0" w:line="108" w:lineRule="exact"/>
        <w:rPr>
          <w:rFonts w:ascii="Times New Roman" w:cs="Times New Roman" w:eastAsia="Times New Roman" w:hAnsi="Times New Roman"/>
          <w:sz w:val="13"/>
          <w:szCs w:val="13"/>
          <w:color w:val="auto"/>
        </w:rPr>
      </w:pPr>
    </w:p>
    <w:p>
      <w:pPr>
        <w:ind w:left="-208" w:firstLine="208"/>
        <w:spacing w:after="0" w:line="266" w:lineRule="auto"/>
        <w:tabs>
          <w:tab w:leader="none" w:pos="224"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Bound by Plan</w:t>
      </w:r>
      <w:r>
        <w:rPr>
          <w:rFonts w:ascii="Times New Roman" w:cs="Times New Roman" w:eastAsia="Times New Roman" w:hAnsi="Times New Roman"/>
          <w:sz w:val="13"/>
          <w:szCs w:val="13"/>
          <w:color w:val="auto"/>
        </w:rPr>
        <w:t>. In consideration of the grant of the Units and the Shares, you agree that you will comply with such conditions as the Committee may impose on the Units and the Shares and be bound by the terms of the Plan.</w:t>
      </w:r>
    </w:p>
    <w:p>
      <w:pPr>
        <w:spacing w:after="0" w:line="127"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Employment Status</w:t>
      </w:r>
      <w:r>
        <w:rPr>
          <w:rFonts w:ascii="Times New Roman" w:cs="Times New Roman" w:eastAsia="Times New Roman" w:hAnsi="Times New Roman"/>
          <w:sz w:val="13"/>
          <w:szCs w:val="13"/>
          <w:color w:val="auto"/>
        </w:rPr>
        <w:t>. This Agreement does not constitute a contract o</w:t>
      </w:r>
    </w:p>
    <w:p>
      <w:pPr>
        <w:spacing w:after="0" w:line="156" w:lineRule="exact"/>
        <w:rPr>
          <w:rFonts w:ascii="Times New Roman" w:cs="Times New Roman" w:eastAsia="Times New Roman" w:hAnsi="Times New Roman"/>
          <w:sz w:val="13"/>
          <w:szCs w:val="13"/>
          <w:color w:val="auto"/>
        </w:rPr>
      </w:pPr>
    </w:p>
    <w:p>
      <w:pPr>
        <w:ind w:left="-208" w:firstLine="208"/>
        <w:spacing w:after="0" w:line="281" w:lineRule="auto"/>
        <w:tabs>
          <w:tab w:leader="none" w:pos="213"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This Agreement shall be binding upon, enforceable against, and inure to the benefit of you and your legatees, distributees and personal representatives, and Capital One and its successors and assigns.</w:t>
      </w:r>
    </w:p>
    <w:p>
      <w:pPr>
        <w:spacing w:after="0" w:line="108"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Clawbacks and Other Forfeiture Events</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212" w:right="20" w:firstLine="220"/>
        <w:spacing w:after="0" w:line="242" w:lineRule="auto"/>
        <w:tabs>
          <w:tab w:leader="none" w:pos="636" w:val="left"/>
        </w:tabs>
        <w:numPr>
          <w:ilvl w:val="1"/>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third anniversary of the Date of Issuance a Restatement Date occurs, you shall deliver to the Company on the Restatement Delivery Date the Clawback Shares (each as defined below), if any, as determined under this Section 12(a).</w:t>
      </w:r>
    </w:p>
    <w:p>
      <w:pPr>
        <w:ind w:left="652"/>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12(a):</w:t>
      </w:r>
    </w:p>
    <w:p>
      <w:pPr>
        <w:spacing w:after="0" w:line="151" w:lineRule="exact"/>
        <w:rPr>
          <w:rFonts w:ascii="Times New Roman" w:cs="Times New Roman" w:eastAsia="Times New Roman" w:hAnsi="Times New Roman"/>
          <w:sz w:val="13"/>
          <w:szCs w:val="13"/>
          <w:color w:val="auto"/>
        </w:rPr>
      </w:pPr>
    </w:p>
    <w:p>
      <w:pPr>
        <w:ind w:left="1072" w:hanging="278"/>
        <w:spacing w:after="0"/>
        <w:tabs>
          <w:tab w:leader="none" w:pos="1072" w:val="left"/>
        </w:tabs>
        <w:numPr>
          <w:ilvl w:val="2"/>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“Amended Adjusted ROTCE” means the Adjusted ROTCE over the Performance Period and taking into account the financial results of the Company as reflected in the Restatement.</w:t>
      </w:r>
    </w:p>
    <w:p>
      <w:pPr>
        <w:spacing w:after="0" w:line="156" w:lineRule="exact"/>
        <w:rPr>
          <w:rFonts w:ascii="Times New Roman" w:cs="Times New Roman" w:eastAsia="Times New Roman" w:hAnsi="Times New Roman"/>
          <w:sz w:val="13"/>
          <w:szCs w:val="13"/>
          <w:color w:val="auto"/>
        </w:rPr>
      </w:pPr>
    </w:p>
    <w:p>
      <w:pPr>
        <w:ind w:left="652" w:firstLine="106"/>
        <w:spacing w:after="0" w:line="281" w:lineRule="auto"/>
        <w:tabs>
          <w:tab w:leader="none" w:pos="1084" w:val="left"/>
        </w:tabs>
        <w:numPr>
          <w:ilvl w:val="2"/>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“Amended Growth of Tangible Book Value Per Share Plus Common Dividends” means the Growth of Tangible Book Value Per Share Plus Common Dividends over the Performance Period and taking into account the financial results of the Company as reflected in the Restatement.</w:t>
      </w:r>
    </w:p>
    <w:p>
      <w:pPr>
        <w:sectPr>
          <w:pgSz w:w="11900" w:h="16838" w:orient="portrait"/>
          <w:cols w:equalWidth="0" w:num="1">
            <w:col w:w="11092"/>
          </w:cols>
          <w:pgMar w:left="508" w:top="989" w:right="299" w:bottom="1440" w:gutter="0" w:footer="0" w:header="0"/>
        </w:sectPr>
      </w:pPr>
    </w:p>
    <w:bookmarkStart w:id="253" w:name="page254"/>
    <w:bookmarkEnd w:id="253"/>
    <w:p>
      <w:pPr>
        <w:ind w:left="417" w:hanging="351"/>
        <w:spacing w:after="0"/>
        <w:tabs>
          <w:tab w:leader="none" w:pos="417"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“Held Shares” means the Shares held by you as of the Restatement Delivery Date in the event that such number of Shares is less than the Clawback Shares.</w:t>
      </w:r>
    </w:p>
    <w:p>
      <w:pPr>
        <w:spacing w:after="0" w:line="156" w:lineRule="exact"/>
        <w:rPr>
          <w:rFonts w:ascii="Times New Roman" w:cs="Times New Roman" w:eastAsia="Times New Roman" w:hAnsi="Times New Roman"/>
          <w:sz w:val="13"/>
          <w:szCs w:val="13"/>
          <w:color w:val="auto"/>
        </w:rPr>
      </w:pPr>
    </w:p>
    <w:p>
      <w:pPr>
        <w:jc w:val="both"/>
        <w:ind w:left="-3" w:firstLine="76"/>
        <w:spacing w:after="0"/>
        <w:tabs>
          <w:tab w:leader="none" w:pos="4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“Clawback Shares” means the number of Shares equal to (A) the number of Shares that were issued to you under this Agreement on the Date of Issuance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(B) the number of shares of common stock of the Company that would have been issuable to you on the Date of Issuance as determined based on the Amended Adjusted ROTCE and the Amended Growth of Tangible Book Value Per Share Plus Common Dividends and certified by the Committee following the Restatement Date. If any member of the Peer Group restates its financial results for all or any portion of the Performance Period prior to the date that the number of Clawback Shares is certified by the Committee, then the Adjusted ROTCE and Growth of Tangible Book Value Per Share Plus Common Dividends for such member of the Peer Group used for purposes of calculating the Clawback Shares shall take into account such restatement. For the avoidance of doubt, neither you nor the Company shall have any obligation with respect to the Clawback Shares in the event that the number of Shares in clause (B) of the preceding sentence exceeds the number of Shares in clause (A) of the preceding sentence. The Clawback Shares shall be delivered to the Company in Shares; provided, however, that in the event that on the Restatement Delivery Date you do not hold a number of Shares equal to or greater than the Clawback Shares, you shall deliver to the Company (x) all Held Shares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(y) the pre-tax proceeds from sales or other transfers of all Recovery Shares. Such pre-tax proceeds shall be calculated starting with the most recent sale or other transfer of Recovery Shares prior to the Restatement Delivery Date and continuing in reverse chronological order with any prior sales or transfers of Recovery Shares until the pre-tax proceeds of all Recovery Shares are determined. The “pre-tax proceeds” for any Recovery Shares that were transferred by you in a transaction other than a sale on the New York Stock Exchange shall be the Fair Market Value of such Recovery Shares as of the date of such transaction. The “pre-tax proceeds” for any Recovery Shares that were withheld pursuant to Section 5 shall be the Fair Market Value of such Recovery Shares as of the date they were withheld.</w:t>
      </w:r>
    </w:p>
    <w:p>
      <w:pPr>
        <w:spacing w:after="0" w:line="141" w:lineRule="exact"/>
        <w:rPr>
          <w:rFonts w:ascii="Times New Roman" w:cs="Times New Roman" w:eastAsia="Times New Roman" w:hAnsi="Times New Roman"/>
          <w:sz w:val="13"/>
          <w:szCs w:val="13"/>
          <w:color w:val="auto"/>
        </w:rPr>
      </w:pPr>
    </w:p>
    <w:p>
      <w:pPr>
        <w:ind w:left="417" w:hanging="307"/>
        <w:spacing w:after="0"/>
        <w:tabs>
          <w:tab w:leader="none" w:pos="417"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“Recovery Shares” means the number of Shares equal to the difference between the Clawback Shares and your Held Shares.</w:t>
      </w:r>
    </w:p>
    <w:p>
      <w:pPr>
        <w:spacing w:after="0" w:line="165" w:lineRule="exact"/>
        <w:rPr>
          <w:rFonts w:ascii="Times New Roman" w:cs="Times New Roman" w:eastAsia="Times New Roman" w:hAnsi="Times New Roman"/>
          <w:sz w:val="13"/>
          <w:szCs w:val="13"/>
          <w:color w:val="auto"/>
        </w:rPr>
      </w:pPr>
    </w:p>
    <w:p>
      <w:pPr>
        <w:jc w:val="both"/>
        <w:ind w:left="-3" w:firstLine="76"/>
        <w:spacing w:after="0" w:line="247" w:lineRule="auto"/>
        <w:tabs>
          <w:tab w:leader="none" w:pos="429"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“Restatement” means an accounting restatement of the Company’s financial statements, covering all or any portion of the Performance Period, due to the noncompliance of the Company with any financial reporting requirement under the securities laws. For the avoidance of doubt, in the event that the Company makes any accounting restatement solely due to (A) any change after the Date of Issuance in U.S. generally accepted accounting principles or (B) any change after the Date of Issuance in financial reporting requirements under the securities laws, such restatement shall not constitute a “Restatement” under this Section 12(a).</w:t>
      </w:r>
    </w:p>
    <w:p>
      <w:pPr>
        <w:spacing w:after="0" w:line="140" w:lineRule="exact"/>
        <w:rPr>
          <w:rFonts w:ascii="Times New Roman" w:cs="Times New Roman" w:eastAsia="Times New Roman" w:hAnsi="Times New Roman"/>
          <w:sz w:val="13"/>
          <w:szCs w:val="13"/>
          <w:color w:val="auto"/>
        </w:rPr>
      </w:pPr>
    </w:p>
    <w:p>
      <w:pPr>
        <w:ind w:left="-3" w:firstLine="40"/>
        <w:spacing w:after="0" w:line="266" w:lineRule="auto"/>
        <w:tabs>
          <w:tab w:leader="none" w:pos="429"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“Restatement Date” means the date after the Date of Issuance upon which the Company first files (A) a Restatement or (B) a Current Report on Form 8-K with the Securities and Exchange Commission (or otherwise publicly announces) that the Company expects to issue a Restatement.</w:t>
      </w:r>
    </w:p>
    <w:p>
      <w:pPr>
        <w:spacing w:after="0" w:line="118" w:lineRule="exact"/>
        <w:rPr>
          <w:rFonts w:ascii="Times New Roman" w:cs="Times New Roman" w:eastAsia="Times New Roman" w:hAnsi="Times New Roman"/>
          <w:sz w:val="13"/>
          <w:szCs w:val="13"/>
          <w:color w:val="auto"/>
        </w:rPr>
      </w:pPr>
    </w:p>
    <w:p>
      <w:pPr>
        <w:ind w:left="-3" w:right="20" w:firstLine="3"/>
        <w:spacing w:after="0" w:line="281" w:lineRule="auto"/>
        <w:tabs>
          <w:tab w:leader="none" w:pos="429"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“Restatement Delivery Date” means the date that is 30 days after the number of Clawback Shares is certified by the Committee in accordance with this Section 12(a), or such earlier date upon which you deliver the Clawback Shares to the Company.</w:t>
      </w:r>
    </w:p>
    <w:p>
      <w:pPr>
        <w:sectPr>
          <w:pgSz w:w="11900" w:h="16838" w:orient="portrait"/>
          <w:cols w:equalWidth="0" w:num="1">
            <w:col w:w="10437"/>
          </w:cols>
          <w:pgMar w:left="1163" w:top="989" w:right="299" w:bottom="1440" w:gutter="0" w:footer="0" w:header="0"/>
        </w:sectPr>
      </w:pPr>
    </w:p>
    <w:bookmarkStart w:id="254" w:name="page255"/>
    <w:bookmarkEnd w:id="254"/>
    <w:p>
      <w:pPr>
        <w:jc w:val="both"/>
        <w:ind w:left="420" w:firstLine="220"/>
        <w:spacing w:after="0" w:line="247" w:lineRule="auto"/>
        <w:tabs>
          <w:tab w:leader="none" w:pos="852"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Units vesting and the number of Shares that shall become issuable on the Date of Issuance shall be subject to reduction in an amount as determined by the Committee in its sole discretion in the event that, prior to the Date of Issuance, the Committee in its sole discretion determines that (i) there has been misconduct resulting in either a violation of law or of Capital One policy or procedures, including but not limited to the Capital One Code of Conduct, that in either case causes significant financial or reputational harm to Capital One and (ii) either you committed the misconduct or failed in your responsibility to manage or monitor the applicable conduct or risks.</w:t>
      </w:r>
    </w:p>
    <w:p>
      <w:pPr>
        <w:spacing w:after="0" w:line="140" w:lineRule="exact"/>
        <w:rPr>
          <w:rFonts w:ascii="Times New Roman" w:cs="Times New Roman" w:eastAsia="Times New Roman" w:hAnsi="Times New Roman"/>
          <w:sz w:val="13"/>
          <w:szCs w:val="13"/>
          <w:color w:val="auto"/>
        </w:rPr>
      </w:pPr>
    </w:p>
    <w:p>
      <w:pPr>
        <w:ind w:left="420" w:firstLine="220"/>
        <w:spacing w:after="0" w:line="266" w:lineRule="auto"/>
        <w:tabs>
          <w:tab w:leader="none" w:pos="844"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reimburse the Company with respect to the Units and the Shares to the extent required under Section 304 of the Sarbanes-Oxley Act of 2002, Section 954 of the Dodd-Frank Act or as otherwise required by law.</w:t>
      </w:r>
    </w:p>
    <w:p>
      <w:pPr>
        <w:spacing w:after="0" w:line="127" w:lineRule="exact"/>
        <w:rPr>
          <w:rFonts w:ascii="Times New Roman" w:cs="Times New Roman" w:eastAsia="Times New Roman" w:hAnsi="Times New Roman"/>
          <w:sz w:val="13"/>
          <w:szCs w:val="13"/>
          <w:color w:val="auto"/>
        </w:rPr>
      </w:pPr>
    </w:p>
    <w:p>
      <w:pPr>
        <w:ind w:firstLine="208"/>
        <w:spacing w:after="0" w:line="266" w:lineRule="auto"/>
        <w:tabs>
          <w:tab w:leader="none" w:pos="426"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a Stockholder</w:t>
      </w:r>
      <w:r>
        <w:rPr>
          <w:rFonts w:ascii="Times New Roman" w:cs="Times New Roman" w:eastAsia="Times New Roman" w:hAnsi="Times New Roman"/>
          <w:sz w:val="13"/>
          <w:szCs w:val="13"/>
          <w:color w:val="auto"/>
        </w:rPr>
        <w:t>. You shall have no rights of a stockholder with respect to the shares of Common Stock represented by Units, including, but not limited to, the right to vote and to receive dividends, unless and until such shares of Common Stock are transferred to you pursuant to the Plan and this Agreement.</w:t>
      </w:r>
    </w:p>
    <w:p>
      <w:pPr>
        <w:spacing w:after="0" w:line="11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Mandatory Holding Requirement</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420" w:firstLine="220"/>
        <w:spacing w:after="0" w:line="256" w:lineRule="auto"/>
        <w:tabs>
          <w:tab w:leader="none" w:pos="844" w:val="left"/>
        </w:tabs>
        <w:numPr>
          <w:ilvl w:val="1"/>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that with respect to the Applicable Holding Shares you may not transfer, sell, pledge, hypothecate or otherwise dispose of such Applicable Holding Shares until the Holding Date; provided that the requirements set forth in this Section 14 shall immediately lapse and be of no further force and effect upon your death, Disability or termination of employment by Capital One without Cause or for Good Reason following a Change of Control, pursuant to Section 2(c).</w:t>
      </w:r>
    </w:p>
    <w:p>
      <w:pPr>
        <w:spacing w:after="0" w:line="124"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14:</w:t>
      </w:r>
    </w:p>
    <w:p>
      <w:pPr>
        <w:spacing w:after="0" w:line="156" w:lineRule="exact"/>
        <w:rPr>
          <w:rFonts w:ascii="Times New Roman" w:cs="Times New Roman" w:eastAsia="Times New Roman" w:hAnsi="Times New Roman"/>
          <w:sz w:val="13"/>
          <w:szCs w:val="13"/>
          <w:color w:val="auto"/>
        </w:rPr>
      </w:pPr>
    </w:p>
    <w:p>
      <w:pPr>
        <w:jc w:val="both"/>
        <w:ind w:left="860" w:firstLine="142"/>
        <w:spacing w:after="0" w:line="256" w:lineRule="auto"/>
        <w:tabs>
          <w:tab w:leader="none" w:pos="1325" w:val="left"/>
        </w:tabs>
        <w:numPr>
          <w:ilvl w:val="2"/>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Holding Shares” means 50% of the Shares acquired hereunder (not including any Shares sold or retained by the Company or its designated agent to fund the payment of any tax withholding obligation, brokerage commission or fees payable in connection with the Shares) during your term of employment with the Company and during the one-year period after termination of your employment for any reason; and</w:t>
      </w:r>
    </w:p>
    <w:p>
      <w:pPr>
        <w:spacing w:after="0" w:line="133" w:lineRule="exact"/>
        <w:rPr>
          <w:rFonts w:ascii="Times New Roman" w:cs="Times New Roman" w:eastAsia="Times New Roman" w:hAnsi="Times New Roman"/>
          <w:sz w:val="13"/>
          <w:szCs w:val="13"/>
          <w:color w:val="auto"/>
        </w:rPr>
      </w:pPr>
    </w:p>
    <w:p>
      <w:pPr>
        <w:ind w:left="860" w:firstLine="106"/>
        <w:spacing w:after="0" w:line="266" w:lineRule="auto"/>
        <w:tabs>
          <w:tab w:leader="none" w:pos="1292" w:val="left"/>
        </w:tabs>
        <w:numPr>
          <w:ilvl w:val="2"/>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“Holding Date” means the later of: (1) the first anniversary of the date of acquisition of any Applicable Holding Shares; or (2) until your stock ownership requirement is met, as determined by the Committee.</w:t>
      </w:r>
    </w:p>
    <w:p>
      <w:pPr>
        <w:spacing w:after="0" w:line="12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Protection</w:t>
      </w:r>
      <w:r>
        <w:rPr>
          <w:rFonts w:ascii="Times New Roman" w:cs="Times New Roman" w:eastAsia="Times New Roman" w:hAnsi="Times New Roman"/>
          <w:sz w:val="13"/>
          <w:szCs w:val="13"/>
          <w:color w:val="auto"/>
        </w:rPr>
        <w:t>. You consent to the collection, processing and transfer (including international transfer) of your personally identifiable data in connection with the grant of the Units and participation in the</w:t>
      </w:r>
    </w:p>
    <w:p>
      <w:pPr>
        <w:spacing w:after="0" w:line="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w:t>
      </w:r>
    </w:p>
    <w:p>
      <w:pPr>
        <w:spacing w:after="0" w:line="142" w:lineRule="exact"/>
        <w:rPr>
          <w:rFonts w:ascii="Times New Roman" w:cs="Times New Roman" w:eastAsia="Times New Roman" w:hAnsi="Times New Roman"/>
          <w:sz w:val="13"/>
          <w:szCs w:val="13"/>
          <w:color w:val="auto"/>
        </w:rPr>
      </w:pPr>
    </w:p>
    <w:p>
      <w:pPr>
        <w:jc w:val="both"/>
        <w:ind w:firstLine="208"/>
        <w:spacing w:after="0" w:line="247" w:lineRule="auto"/>
        <w:tabs>
          <w:tab w:leader="none" w:pos="426"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This Agreement shall be enforceable to the fullest extent allowed by law. In the event that any provision of this Agreement is determined to be invalid, illegal or unenforceable in any respect under any applicable law or rule in any jurisdiction, then that provision shall be reduced, modified or otherwise conformed to the relevant law, judgment or determination to the degree necessary to render it valid and enforceable without affecting the validity, legality or enforceability of any other provision of this Agreement or the validity, legality or enforceability of such provision in any other jurisdiction. Any provision of this Agreement that is prohibited or unenforceable in any jurisdiction shall, as to such jurisdiction, be deemed severable from the remainder of this Agreement, and the remaining provisions contained in this Agreement shall be construed to preserve to the maximum permissible extent the intent and purposes of this Agreement.</w:t>
      </w:r>
    </w:p>
    <w:p>
      <w:pPr>
        <w:sectPr>
          <w:pgSz w:w="11900" w:h="16838" w:orient="portrait"/>
          <w:cols w:equalWidth="0" w:num="1">
            <w:col w:w="11300"/>
          </w:cols>
          <w:pgMar w:left="300" w:top="989" w:right="299" w:bottom="1440" w:gutter="0" w:footer="0" w:header="0"/>
        </w:sectPr>
      </w:pPr>
    </w:p>
    <w:bookmarkStart w:id="255" w:name="page256"/>
    <w:bookmarkEnd w:id="255"/>
    <w:p>
      <w:pPr>
        <w:ind w:left="-208" w:firstLine="208"/>
        <w:spacing w:after="0" w:line="266" w:lineRule="auto"/>
        <w:tabs>
          <w:tab w:leader="none" w:pos="218"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all of which together shall constitute one agreement binding on all the parties hereto, notwithstanding that all such parties are not signatories to the original or the same counterpart.</w:t>
      </w:r>
    </w:p>
    <w:p>
      <w:pPr>
        <w:spacing w:after="0" w:line="127"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 In accepting the grant, you acknowledge and agree that:</w:t>
      </w:r>
    </w:p>
    <w:p>
      <w:pPr>
        <w:spacing w:after="0" w:line="156" w:lineRule="exact"/>
        <w:rPr>
          <w:rFonts w:ascii="Times New Roman" w:cs="Times New Roman" w:eastAsia="Times New Roman" w:hAnsi="Times New Roman"/>
          <w:sz w:val="13"/>
          <w:szCs w:val="13"/>
          <w:color w:val="auto"/>
        </w:rPr>
      </w:pPr>
    </w:p>
    <w:p>
      <w:pPr>
        <w:ind w:left="632" w:hanging="200"/>
        <w:spacing w:after="0"/>
        <w:tabs>
          <w:tab w:leader="none" w:pos="632"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intended to comply with the applicable requirements of Section 409A of the Code and shall be limited, construed and interpreted in a manner so as to comply therewith;</w:t>
      </w:r>
    </w:p>
    <w:p>
      <w:pPr>
        <w:spacing w:after="0" w:line="165"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obligations under this Agreement shall survive any termination of your employment with the Company for any reason;</w:t>
      </w:r>
    </w:p>
    <w:p>
      <w:pPr>
        <w:spacing w:after="0" w:line="156" w:lineRule="exact"/>
        <w:rPr>
          <w:rFonts w:ascii="Times New Roman" w:cs="Times New Roman" w:eastAsia="Times New Roman" w:hAnsi="Times New Roman"/>
          <w:sz w:val="13"/>
          <w:szCs w:val="13"/>
          <w:color w:val="auto"/>
        </w:rPr>
      </w:pPr>
    </w:p>
    <w:p>
      <w:pPr>
        <w:ind w:left="632" w:hanging="200"/>
        <w:spacing w:after="0"/>
        <w:tabs>
          <w:tab w:leader="none" w:pos="632"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rights or remedies under this Agreement shall be cumulative and in addition to whatever other remedies the Company may have under law or equity;</w:t>
      </w:r>
    </w:p>
    <w:p>
      <w:pPr>
        <w:spacing w:after="0" w:line="165"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recovery by the Company under this Agreement will be a recovery of Shares to which you were not entitled under this Agreement and is not to be construed in any manner as a penalty;</w:t>
      </w:r>
    </w:p>
    <w:p>
      <w:pPr>
        <w:spacing w:after="0" w:line="156" w:lineRule="exact"/>
        <w:rPr>
          <w:rFonts w:ascii="Times New Roman" w:cs="Times New Roman" w:eastAsia="Times New Roman" w:hAnsi="Times New Roman"/>
          <w:sz w:val="13"/>
          <w:szCs w:val="13"/>
          <w:color w:val="auto"/>
        </w:rPr>
      </w:pPr>
    </w:p>
    <w:p>
      <w:pPr>
        <w:jc w:val="both"/>
        <w:ind w:left="212" w:right="20" w:firstLine="220"/>
        <w:spacing w:after="0" w:line="256" w:lineRule="auto"/>
        <w:tabs>
          <w:tab w:leader="none" w:pos="636"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to the maximum extent permitted by applicable law and Section 409A of the Code, retain for itself funds or securities otherwise payable to you pursuant to this Agreement to satisfy any obligation or debt that you owe to the Company, including any obligations hereunder. The Company may not retain such funds or securities until such time as they would otherwise be distributable to you in accordance with this Agreement;</w:t>
      </w:r>
    </w:p>
    <w:p>
      <w:pPr>
        <w:spacing w:after="0" w:line="124" w:lineRule="exact"/>
        <w:rPr>
          <w:rFonts w:ascii="Times New Roman" w:cs="Times New Roman" w:eastAsia="Times New Roman" w:hAnsi="Times New Roman"/>
          <w:sz w:val="13"/>
          <w:szCs w:val="13"/>
          <w:color w:val="auto"/>
        </w:rPr>
      </w:pPr>
    </w:p>
    <w:p>
      <w:pPr>
        <w:jc w:val="both"/>
        <w:ind w:left="212" w:firstLine="220"/>
        <w:spacing w:after="0" w:line="256" w:lineRule="auto"/>
        <w:tabs>
          <w:tab w:leader="none" w:pos="640"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reserves the right to impose other requirements on the Units, any Shares acquired pursuant to the Units, and your participation in the Plan, to the extent Capital One determines, in its sole discretion, that such other requirements are necessary or advisable in order to comply with local laws, rules and regulations, or to facilitate the administration of the Units and the Plan. Such requirements may include (but are not limited to) requiring you to sign any agreements or undertakings that may be necessary to accomplish the foregoing; and</w:t>
      </w:r>
    </w:p>
    <w:p>
      <w:pPr>
        <w:spacing w:after="0" w:line="124" w:lineRule="exact"/>
        <w:rPr>
          <w:rFonts w:ascii="Times New Roman" w:cs="Times New Roman" w:eastAsia="Times New Roman" w:hAnsi="Times New Roman"/>
          <w:sz w:val="13"/>
          <w:szCs w:val="13"/>
          <w:color w:val="auto"/>
        </w:rPr>
      </w:pPr>
    </w:p>
    <w:p>
      <w:pPr>
        <w:jc w:val="both"/>
        <w:ind w:left="212" w:firstLine="220"/>
        <w:spacing w:after="0" w:line="252" w:lineRule="auto"/>
        <w:tabs>
          <w:tab w:leader="none" w:pos="644"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from time to time distributes and makes available to associates disclosure documents, including a prospectus, relating to the Plan. You may also contact the HR Help Center to obtain copies of the Plan disclosure documents and the Plan. You should carefully read the Plan disclosure documents and the Plan. By accepting the benefits of this Agreement you acknowledge receipt of the Plan and the Plan disclosure documents and agree to be bound by the terms of this Agreement and the Plan. You hereby consent to receive such documents by electronic delivery and agree to participate in the Plan through an on-line or electronic system established and maintained by Capital One or a third-party designated by Capital One.</w:t>
      </w:r>
    </w:p>
    <w:p>
      <w:pPr>
        <w:sectPr>
          <w:pgSz w:w="11900" w:h="16838" w:orient="portrait"/>
          <w:cols w:equalWidth="0" w:num="1">
            <w:col w:w="11092"/>
          </w:cols>
          <w:pgMar w:left="508" w:top="1151" w:right="2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on their behalf.</w:t>
      </w:r>
    </w:p>
    <w:p>
      <w:pPr>
        <w:spacing w:after="0" w:line="317" w:lineRule="exact"/>
        <w:rPr>
          <w:sz w:val="20"/>
          <w:szCs w:val="20"/>
          <w:color w:val="auto"/>
        </w:rPr>
      </w:pPr>
    </w:p>
    <w:p>
      <w:pPr>
        <w:jc w:val="right"/>
        <w:ind w:right="4859"/>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33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By:</w:t>
      </w:r>
    </w:p>
    <w:p>
      <w:pPr>
        <w:spacing w:after="0" w:line="2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u w:val="single" w:color="auto"/>
          <w:color w:val="auto"/>
        </w:rPr>
        <w:t>/s/ François Locoh-Donou</w:t>
      </w:r>
    </w:p>
    <w:p>
      <w:pPr>
        <w:spacing w:after="0" w:line="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François Locoh-Donou</w:t>
      </w:r>
    </w:p>
    <w:p>
      <w:pPr>
        <w:spacing w:after="0" w:line="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Chair, Compensation Committee</w:t>
      </w:r>
    </w:p>
    <w:p>
      <w:pPr>
        <w:spacing w:after="0" w:line="31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177" w:lineRule="exact"/>
        <w:rPr>
          <w:sz w:val="20"/>
          <w:szCs w:val="20"/>
          <w:color w:val="auto"/>
        </w:rPr>
      </w:pPr>
    </w:p>
    <w:p>
      <w:pPr>
        <w:jc w:val="right"/>
        <w:ind w:right="6039"/>
        <w:spacing w:after="0"/>
        <w:tabs>
          <w:tab w:leader="none" w:pos="23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u w:val="single" w:color="auto"/>
          <w:color w:val="auto"/>
        </w:rPr>
        <w:t>/s/Richard D. Fairbank</w:t>
      </w:r>
    </w:p>
    <w:p>
      <w:pPr>
        <w:spacing w:after="0" w:line="22" w:lineRule="exact"/>
        <w:rPr>
          <w:sz w:val="20"/>
          <w:szCs w:val="20"/>
          <w:color w:val="auto"/>
        </w:rPr>
      </w:pPr>
    </w:p>
    <w:p>
      <w:pPr>
        <w:jc w:val="right"/>
        <w:ind w:right="6059"/>
        <w:spacing w:after="0"/>
        <w:rPr>
          <w:sz w:val="20"/>
          <w:szCs w:val="20"/>
          <w:color w:val="auto"/>
        </w:rPr>
      </w:pPr>
      <w:r>
        <w:rPr>
          <w:rFonts w:ascii="Times New Roman" w:cs="Times New Roman" w:eastAsia="Times New Roman" w:hAnsi="Times New Roman"/>
          <w:sz w:val="13"/>
          <w:szCs w:val="13"/>
          <w:color w:val="auto"/>
        </w:rPr>
        <w:t>Richard D. Fairbank</w:t>
      </w:r>
    </w:p>
    <w:p>
      <w:pPr>
        <w:sectPr>
          <w:pgSz w:w="11900" w:h="16838" w:orient="portrait"/>
          <w:cols w:equalWidth="0" w:num="1">
            <w:col w:w="10159"/>
          </w:cols>
          <w:pgMar w:left="300" w:top="989" w:right="1440" w:bottom="1440" w:gutter="0" w:footer="0" w:header="0"/>
        </w:sectPr>
      </w:pPr>
    </w:p>
    <w:bookmarkStart w:id="257" w:name="page258"/>
    <w:bookmarkEnd w:id="257"/>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APPENDIX 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PERFORMANCE SHARE METRICS AND PAYOUT</w:t>
      </w:r>
    </w:p>
    <w:p>
      <w:pPr>
        <w:spacing w:after="0" w:line="326"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3"/>
          <w:szCs w:val="13"/>
          <w:b w:val="1"/>
          <w:bCs w:val="1"/>
          <w:i w:val="1"/>
          <w:iCs w:val="1"/>
          <w:color w:val="auto"/>
        </w:rPr>
        <w:t>1.</w:t>
        <w:tab/>
        <w:t>Company Performance Relative to Peer Group</w:t>
      </w:r>
    </w:p>
    <w:p>
      <w:pPr>
        <w:spacing w:after="0" w:line="16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number of Units that shall vest and the number of Shares that shall become issuable on the Date of Issuance pursuant to Section 2(a) shall be based on the Company’s performance over the Performance Period, measured by two metrics weighted as follows:</w:t>
      </w:r>
    </w:p>
    <w:p>
      <w:pPr>
        <w:spacing w:after="0" w:line="107" w:lineRule="exact"/>
        <w:rPr>
          <w:sz w:val="20"/>
          <w:szCs w:val="20"/>
          <w:color w:val="auto"/>
        </w:rPr>
      </w:pPr>
    </w:p>
    <w:p>
      <w:pPr>
        <w:ind w:left="420" w:right="20" w:hanging="212"/>
        <w:spacing w:after="0" w:line="284" w:lineRule="auto"/>
        <w:tabs>
          <w:tab w:leader="none" w:pos="412"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One-Third </w:t>
      </w:r>
      <w:r>
        <w:rPr>
          <w:rFonts w:ascii="Times New Roman" w:cs="Times New Roman" w:eastAsia="Times New Roman" w:hAnsi="Times New Roman"/>
          <w:sz w:val="13"/>
          <w:szCs w:val="13"/>
          <w:color w:val="auto"/>
        </w:rPr>
        <w:t>of the Units (the “Adjusted ROTCE Tranche”) shall become issuable as Shares based on the Adjusted ROTCE achieved by the Company over the Performance Period, relative to the Adjusted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ROTCE achieved by each member of the Peer Group over the Performance Period, expressed as a percentile (the “Adjusted ROTCE Percentile”), such that:</w:t>
      </w:r>
    </w:p>
    <w:p>
      <w:pPr>
        <w:spacing w:after="0" w:line="107" w:lineRule="exact"/>
        <w:rPr>
          <w:rFonts w:ascii="Times New Roman" w:cs="Times New Roman" w:eastAsia="Times New Roman" w:hAnsi="Times New Roman"/>
          <w:sz w:val="13"/>
          <w:szCs w:val="13"/>
          <w:color w:val="auto"/>
        </w:rPr>
      </w:pPr>
    </w:p>
    <w:p>
      <w:pPr>
        <w:ind w:left="860" w:hanging="289"/>
        <w:spacing w:after="0"/>
        <w:tabs>
          <w:tab w:leader="none" w:pos="860"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Percentile is 80th or higher, then 150% of the Adjusted ROTCE Tranche shall be issuable as Shares.</w:t>
      </w:r>
    </w:p>
    <w:p>
      <w:pPr>
        <w:spacing w:after="0" w:line="156" w:lineRule="exact"/>
        <w:rPr>
          <w:rFonts w:ascii="Times New Roman" w:cs="Times New Roman" w:eastAsia="Times New Roman" w:hAnsi="Times New Roman"/>
          <w:sz w:val="13"/>
          <w:szCs w:val="13"/>
          <w:color w:val="auto"/>
        </w:rPr>
      </w:pPr>
    </w:p>
    <w:p>
      <w:pPr>
        <w:ind w:left="860" w:hanging="326"/>
        <w:spacing w:after="0"/>
        <w:tabs>
          <w:tab w:leader="none" w:pos="860"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Percentile is 25th, then 40% of the Adjusted ROTCE Tranche shall be issuable as Shares.</w:t>
      </w:r>
    </w:p>
    <w:p>
      <w:pPr>
        <w:spacing w:after="0" w:line="165" w:lineRule="exact"/>
        <w:rPr>
          <w:rFonts w:ascii="Times New Roman" w:cs="Times New Roman" w:eastAsia="Times New Roman" w:hAnsi="Times New Roman"/>
          <w:sz w:val="13"/>
          <w:szCs w:val="13"/>
          <w:color w:val="auto"/>
        </w:rPr>
      </w:pPr>
    </w:p>
    <w:p>
      <w:pPr>
        <w:ind w:left="860" w:hanging="363"/>
        <w:spacing w:after="0"/>
        <w:tabs>
          <w:tab w:leader="none" w:pos="860"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Percentile below 25th, then 0% of the Adjusted ROTCE Tranche shall be issuable as Shares.</w:t>
      </w:r>
    </w:p>
    <w:p>
      <w:pPr>
        <w:spacing w:after="0" w:line="156" w:lineRule="exact"/>
        <w:rPr>
          <w:rFonts w:ascii="Times New Roman" w:cs="Times New Roman" w:eastAsia="Times New Roman" w:hAnsi="Times New Roman"/>
          <w:sz w:val="13"/>
          <w:szCs w:val="13"/>
          <w:color w:val="auto"/>
        </w:rPr>
      </w:pPr>
    </w:p>
    <w:p>
      <w:pPr>
        <w:ind w:left="840" w:hanging="336"/>
        <w:spacing w:after="0"/>
        <w:tabs>
          <w:tab w:leader="none" w:pos="840"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Percentile is above 25th but below 80th, then the number of issuable Shares shall be calculated by interpolation between the points listed above.</w:t>
      </w:r>
    </w:p>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3"/>
          <w:szCs w:val="13"/>
          <w:color w:val="auto"/>
        </w:rPr>
        <w:t>“Adjusted ROTCE” means the ratio, expressed as a percentage, of (a) the Company’s net income available to common stockholders, excluding, on a tax adjusted basis, the impact of impairment, amortization and re-measurement of intangible assets, to (b) the Company’s average tangible common equity; and shall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Plan or necessary or appropriate to comply with applicable laws, rules or regulations.</w:t>
      </w:r>
    </w:p>
    <w:p>
      <w:pPr>
        <w:spacing w:after="0" w:line="130" w:lineRule="exact"/>
        <w:rPr>
          <w:sz w:val="20"/>
          <w:szCs w:val="20"/>
          <w:color w:val="auto"/>
        </w:rPr>
      </w:pPr>
    </w:p>
    <w:p>
      <w:pPr>
        <w:jc w:val="both"/>
        <w:ind w:left="420" w:hanging="212"/>
        <w:spacing w:after="0" w:line="257" w:lineRule="auto"/>
        <w:tabs>
          <w:tab w:leader="none" w:pos="4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Two-Thirds </w:t>
      </w:r>
      <w:r>
        <w:rPr>
          <w:rFonts w:ascii="Times New Roman" w:cs="Times New Roman" w:eastAsia="Times New Roman" w:hAnsi="Times New Roman"/>
          <w:sz w:val="13"/>
          <w:szCs w:val="13"/>
          <w:color w:val="auto"/>
        </w:rPr>
        <w:t>of the Units (the “Growth of Tangible Book Value Per Share Plus Common Dividends Tranche”) shall become issuable as Shares based on the Growth of Tangible Book Value Per Share Plus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Common Dividends achieved by the Company over the Performance Period, relative to the Growth of Tangible Book Value Per Share Plus Common Dividends achieved by each member of the Peer Group over the Performance Period, expressed as a percentile (the “Growth of Tangible Book Value Per Share Plus Common Dividends Percentile”), such that:</w:t>
      </w:r>
    </w:p>
    <w:p>
      <w:pPr>
        <w:spacing w:after="0" w:line="133" w:lineRule="exact"/>
        <w:rPr>
          <w:rFonts w:ascii="Times New Roman" w:cs="Times New Roman" w:eastAsia="Times New Roman" w:hAnsi="Times New Roman"/>
          <w:sz w:val="13"/>
          <w:szCs w:val="13"/>
          <w:color w:val="auto"/>
        </w:rPr>
      </w:pPr>
    </w:p>
    <w:p>
      <w:pPr>
        <w:ind w:left="860" w:right="20" w:hanging="289"/>
        <w:spacing w:after="0" w:line="266" w:lineRule="auto"/>
        <w:tabs>
          <w:tab w:leader="none" w:pos="860"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Growth of Tangible Book Value Per Share Plus Common Dividends Percentile is 80th or higher, then 150% of the Growth of Tangible Book Value Per Share Plus Common Dividends Tranche shall be issuable as Shares.</w:t>
      </w:r>
    </w:p>
    <w:p>
      <w:pPr>
        <w:sectPr>
          <w:pgSz w:w="11900" w:h="16838" w:orient="portrait"/>
          <w:cols w:equalWidth="0" w:num="1">
            <w:col w:w="11300"/>
          </w:cols>
          <w:pgMar w:left="300" w:top="987" w:right="299" w:bottom="1440" w:gutter="0" w:footer="0" w:header="0"/>
        </w:sectPr>
      </w:pPr>
    </w:p>
    <w:bookmarkStart w:id="258" w:name="page259"/>
    <w:bookmarkEnd w:id="258"/>
    <w:p>
      <w:pPr>
        <w:ind w:left="860" w:right="20" w:hanging="326"/>
        <w:spacing w:after="0" w:line="266" w:lineRule="auto"/>
        <w:tabs>
          <w:tab w:leader="none" w:pos="86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Growth of Tangible Book Value Per Share Plus Common Dividends Percentile is 25th, then 40% of the Growth of Tangible Book Value Per Share Plus Common Dividends Tranche shall be issuable as Shares.</w:t>
      </w:r>
    </w:p>
    <w:p>
      <w:pPr>
        <w:spacing w:after="0" w:line="127" w:lineRule="exact"/>
        <w:rPr>
          <w:rFonts w:ascii="Times New Roman" w:cs="Times New Roman" w:eastAsia="Times New Roman" w:hAnsi="Times New Roman"/>
          <w:sz w:val="13"/>
          <w:szCs w:val="13"/>
          <w:color w:val="auto"/>
        </w:rPr>
      </w:pPr>
    </w:p>
    <w:p>
      <w:pPr>
        <w:ind w:left="860" w:right="20" w:hanging="363"/>
        <w:spacing w:after="0" w:line="266" w:lineRule="auto"/>
        <w:tabs>
          <w:tab w:leader="none" w:pos="86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Growth of Tangible Book Value Per Share Plus Common Dividends Percentile below 25th, then 0% of the Growth of Tangible Book Value Per Share Plus Common Dividends Tranche shall be issuable as Shares.</w:t>
      </w:r>
    </w:p>
    <w:p>
      <w:pPr>
        <w:spacing w:after="0" w:line="127" w:lineRule="exact"/>
        <w:rPr>
          <w:rFonts w:ascii="Times New Roman" w:cs="Times New Roman" w:eastAsia="Times New Roman" w:hAnsi="Times New Roman"/>
          <w:sz w:val="13"/>
          <w:szCs w:val="13"/>
          <w:color w:val="auto"/>
        </w:rPr>
      </w:pPr>
    </w:p>
    <w:p>
      <w:pPr>
        <w:ind w:left="860" w:hanging="356"/>
        <w:spacing w:after="0" w:line="266" w:lineRule="auto"/>
        <w:tabs>
          <w:tab w:leader="none" w:pos="851"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Growth of Tangible Book Value Per Share Plus Common Dividends Percentile is above 25th but below 80th, then the number of issuable Shares shall be calculated by interpolation between the points listed above.</w:t>
      </w:r>
    </w:p>
    <w:p>
      <w:pPr>
        <w:spacing w:after="0" w:line="128" w:lineRule="exact"/>
        <w:rPr>
          <w:sz w:val="20"/>
          <w:szCs w:val="20"/>
          <w:color w:val="auto"/>
        </w:rPr>
      </w:pPr>
    </w:p>
    <w:p>
      <w:pPr>
        <w:jc w:val="both"/>
        <w:ind w:left="420"/>
        <w:spacing w:after="0" w:line="243" w:lineRule="auto"/>
        <w:rPr>
          <w:sz w:val="20"/>
          <w:szCs w:val="20"/>
          <w:color w:val="auto"/>
        </w:rPr>
      </w:pPr>
      <w:r>
        <w:rPr>
          <w:rFonts w:ascii="Times New Roman" w:cs="Times New Roman" w:eastAsia="Times New Roman" w:hAnsi="Times New Roman"/>
          <w:sz w:val="13"/>
          <w:szCs w:val="13"/>
          <w:color w:val="auto"/>
        </w:rPr>
        <w:t>“Growth of Tangible Book Value Per Share Plus Common Dividends” means the three year average of the ratios, expressed as a percentage, of (a) the Company’s tangible book value per share at the end of each year within the Performance Period, plus total common dividends per share paid during such year, to (b) the Company’s tangible book value per share at the beginning of each corresponding year within the Performance Period; and shall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Plan or necessary or appropriate to comply with applicable laws, rules or regulations.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Subject to section 2 below, the total Shares issuable pursuant to this Agreement (the “Total Shares Earned”) shall be equal to the sum of the Shares issuable pursuant to paragraphs (a) and (b) above.</w:t>
      </w:r>
    </w:p>
    <w:p>
      <w:pPr>
        <w:spacing w:after="0" w:line="153" w:lineRule="exact"/>
        <w:rPr>
          <w:sz w:val="20"/>
          <w:szCs w:val="20"/>
          <w:color w:val="auto"/>
        </w:rPr>
      </w:pPr>
    </w:p>
    <w:p>
      <w:pPr>
        <w:ind w:left="200"/>
        <w:spacing w:after="0"/>
        <w:tabs>
          <w:tab w:leader="none" w:pos="400" w:val="left"/>
        </w:tabs>
        <w:rPr>
          <w:sz w:val="20"/>
          <w:szCs w:val="20"/>
          <w:color w:val="auto"/>
        </w:rPr>
      </w:pPr>
      <w:r>
        <w:rPr>
          <w:rFonts w:ascii="Times New Roman" w:cs="Times New Roman" w:eastAsia="Times New Roman" w:hAnsi="Times New Roman"/>
          <w:sz w:val="13"/>
          <w:szCs w:val="13"/>
          <w:b w:val="1"/>
          <w:bCs w:val="1"/>
          <w:i w:val="1"/>
          <w:iCs w:val="1"/>
          <w:color w:val="auto"/>
        </w:rPr>
        <w:t>2.</w:t>
        <w:tab/>
        <w:t>Absolute Performance Modifier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event that the Company’s Adjusted ROTCE for one or more fiscal years in the Performance Period is less than or equal to zero, the Total Shares Earned shall be reduced as provided below:</w:t>
      </w:r>
    </w:p>
    <w:p>
      <w:pPr>
        <w:spacing w:after="0" w:line="166" w:lineRule="exact"/>
        <w:rPr>
          <w:sz w:val="20"/>
          <w:szCs w:val="20"/>
          <w:color w:val="auto"/>
        </w:rPr>
      </w:pPr>
    </w:p>
    <w:p>
      <w:pPr>
        <w:ind w:left="420" w:hanging="212"/>
        <w:spacing w:after="0"/>
        <w:tabs>
          <w:tab w:leader="none" w:pos="4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is less than or equal to zero for one fiscal year within the Performance Period, the Total Shares Earned shall be reduced by one-sixth;</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is less than or equal to zero for any two fiscal years within the Performance Period, the Total Shares Earned shall be reduced by one-third; and</w:t>
      </w:r>
    </w:p>
    <w:p>
      <w:pPr>
        <w:spacing w:after="0" w:line="16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is less than or equal to zero for all three fiscal years within the Performance Period, the Total Shares Earned shall be forfeited in full.</w:t>
      </w:r>
    </w:p>
    <w:p>
      <w:pPr>
        <w:sectPr>
          <w:pgSz w:w="11900" w:h="16838" w:orient="portrait"/>
          <w:cols w:equalWidth="0" w:num="1">
            <w:col w:w="11300"/>
          </w:cols>
          <w:pgMar w:left="300" w:top="989" w:right="29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3"/>
          <w:szCs w:val="13"/>
          <w:b w:val="1"/>
          <w:bCs w:val="1"/>
          <w:color w:val="auto"/>
        </w:rPr>
        <w:t>APPENDIX B</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PEER GROUP</w:t>
      </w:r>
    </w:p>
    <w:p>
      <w:pPr>
        <w:spacing w:after="0" w:line="3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The “Peer Group” shall consist of the companies in the KBW Bank Index as of January 1, 2023, excluding custody banks, as shown below. For members of the Peer Group who fail, are acquired, or cease to have publicly-traded shares before the conclusion of the Performance Period, their Adjusted ROTCE and Growth of Tangible Book Value Per Share Plus Common Dividends (“Adj ROTCE and GTBVPS+D”) through the time the independent company stops reporting GAAP financials will be frozen and this Adj ROTCE and GTBVPS+D measurement will serve as their final Adj ROTCE and GTBVPS+D measurement for the Performance Period. Members of the Peer Group that continue to operate as independent companies, but that are not a member of the KBW Bank Index at the conclusion of the Performance Period, will continue to be used in the Peer Group for purposes of the award determination or calculation through the full three-year Performance Period. Any new entrants to the KBW Bank Index after January 1, 2023 will not be considered members of the Peer Group for any award determination or calculation related to this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Bank of America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Citigroup</w:t>
      </w:r>
    </w:p>
    <w:p>
      <w:pPr>
        <w:spacing w:after="0"/>
        <w:rPr>
          <w:sz w:val="20"/>
          <w:szCs w:val="20"/>
          <w:color w:val="auto"/>
        </w:rPr>
      </w:pPr>
      <w:r>
        <w:rPr>
          <w:rFonts w:ascii="Times New Roman" w:cs="Times New Roman" w:eastAsia="Times New Roman" w:hAnsi="Times New Roman"/>
          <w:sz w:val="13"/>
          <w:szCs w:val="13"/>
          <w:color w:val="auto"/>
        </w:rPr>
        <w:t>Citizens Financial Group</w:t>
      </w:r>
    </w:p>
    <w:p>
      <w:pPr>
        <w:spacing w:after="0" w:line="236" w:lineRule="auto"/>
        <w:rPr>
          <w:sz w:val="20"/>
          <w:szCs w:val="20"/>
          <w:color w:val="auto"/>
        </w:rPr>
      </w:pPr>
      <w:r>
        <w:rPr>
          <w:rFonts w:ascii="Times New Roman" w:cs="Times New Roman" w:eastAsia="Times New Roman" w:hAnsi="Times New Roman"/>
          <w:sz w:val="13"/>
          <w:szCs w:val="13"/>
          <w:color w:val="auto"/>
        </w:rPr>
        <w:t>Comerica</w:t>
      </w:r>
    </w:p>
    <w:p>
      <w:pPr>
        <w:spacing w:after="0" w:line="232" w:lineRule="auto"/>
        <w:rPr>
          <w:sz w:val="20"/>
          <w:szCs w:val="20"/>
          <w:color w:val="auto"/>
        </w:rPr>
      </w:pPr>
      <w:r>
        <w:rPr>
          <w:rFonts w:ascii="Times New Roman" w:cs="Times New Roman" w:eastAsia="Times New Roman" w:hAnsi="Times New Roman"/>
          <w:sz w:val="13"/>
          <w:szCs w:val="13"/>
          <w:color w:val="auto"/>
        </w:rPr>
        <w:t>East West Bancorp</w:t>
      </w:r>
    </w:p>
    <w:p>
      <w:pPr>
        <w:spacing w:after="0"/>
        <w:rPr>
          <w:sz w:val="20"/>
          <w:szCs w:val="20"/>
          <w:color w:val="auto"/>
        </w:rPr>
      </w:pPr>
      <w:r>
        <w:rPr>
          <w:rFonts w:ascii="Times New Roman" w:cs="Times New Roman" w:eastAsia="Times New Roman" w:hAnsi="Times New Roman"/>
          <w:sz w:val="13"/>
          <w:szCs w:val="13"/>
          <w:color w:val="auto"/>
        </w:rPr>
        <w:t>Fifth Third Bancorp</w:t>
      </w:r>
    </w:p>
    <w:p>
      <w:pPr>
        <w:spacing w:after="0" w:line="236" w:lineRule="auto"/>
        <w:rPr>
          <w:sz w:val="20"/>
          <w:szCs w:val="20"/>
          <w:color w:val="auto"/>
        </w:rPr>
      </w:pPr>
      <w:r>
        <w:rPr>
          <w:rFonts w:ascii="Times New Roman" w:cs="Times New Roman" w:eastAsia="Times New Roman" w:hAnsi="Times New Roman"/>
          <w:sz w:val="13"/>
          <w:szCs w:val="13"/>
          <w:color w:val="auto"/>
        </w:rPr>
        <w:t>First Republic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Huntington Bancshares</w:t>
      </w:r>
    </w:p>
    <w:p>
      <w:pPr>
        <w:spacing w:after="0" w:line="236" w:lineRule="auto"/>
        <w:rPr>
          <w:sz w:val="20"/>
          <w:szCs w:val="20"/>
          <w:color w:val="auto"/>
        </w:rPr>
      </w:pPr>
      <w:r>
        <w:rPr>
          <w:rFonts w:ascii="Times New Roman" w:cs="Times New Roman" w:eastAsia="Times New Roman" w:hAnsi="Times New Roman"/>
          <w:sz w:val="13"/>
          <w:szCs w:val="13"/>
          <w:color w:val="auto"/>
        </w:rPr>
        <w:t>JP Morgan Chase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KeyCorp</w:t>
      </w:r>
    </w:p>
    <w:p>
      <w:pPr>
        <w:spacing w:after="0" w:line="236" w:lineRule="auto"/>
        <w:rPr>
          <w:sz w:val="20"/>
          <w:szCs w:val="20"/>
          <w:color w:val="auto"/>
        </w:rPr>
      </w:pPr>
      <w:r>
        <w:rPr>
          <w:rFonts w:ascii="Times New Roman" w:cs="Times New Roman" w:eastAsia="Times New Roman" w:hAnsi="Times New Roman"/>
          <w:sz w:val="13"/>
          <w:szCs w:val="13"/>
          <w:color w:val="auto"/>
        </w:rPr>
        <w:t>M&amp;T Bank Corp</w:t>
      </w:r>
    </w:p>
    <w:p>
      <w:pPr>
        <w:spacing w:after="0" w:line="232" w:lineRule="auto"/>
        <w:rPr>
          <w:sz w:val="20"/>
          <w:szCs w:val="20"/>
          <w:color w:val="auto"/>
        </w:rPr>
      </w:pPr>
      <w:r>
        <w:rPr>
          <w:rFonts w:ascii="Times New Roman" w:cs="Times New Roman" w:eastAsia="Times New Roman" w:hAnsi="Times New Roman"/>
          <w:sz w:val="13"/>
          <w:szCs w:val="13"/>
          <w:color w:val="auto"/>
        </w:rPr>
        <w:t>PNC</w:t>
      </w:r>
    </w:p>
    <w:p>
      <w:pPr>
        <w:spacing w:after="0"/>
        <w:rPr>
          <w:sz w:val="20"/>
          <w:szCs w:val="20"/>
          <w:color w:val="auto"/>
        </w:rPr>
      </w:pPr>
      <w:r>
        <w:rPr>
          <w:rFonts w:ascii="Times New Roman" w:cs="Times New Roman" w:eastAsia="Times New Roman" w:hAnsi="Times New Roman"/>
          <w:sz w:val="13"/>
          <w:szCs w:val="13"/>
          <w:color w:val="auto"/>
        </w:rPr>
        <w:t>Regions</w:t>
      </w:r>
    </w:p>
    <w:p>
      <w:pPr>
        <w:spacing w:after="0" w:line="236" w:lineRule="auto"/>
        <w:rPr>
          <w:sz w:val="20"/>
          <w:szCs w:val="20"/>
          <w:color w:val="auto"/>
        </w:rPr>
      </w:pPr>
      <w:r>
        <w:rPr>
          <w:rFonts w:ascii="Times New Roman" w:cs="Times New Roman" w:eastAsia="Times New Roman" w:hAnsi="Times New Roman"/>
          <w:sz w:val="13"/>
          <w:szCs w:val="13"/>
          <w:color w:val="auto"/>
        </w:rPr>
        <w:t>Signature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SVB Financial</w:t>
      </w:r>
    </w:p>
    <w:p>
      <w:pPr>
        <w:spacing w:after="0" w:line="236" w:lineRule="auto"/>
        <w:rPr>
          <w:sz w:val="20"/>
          <w:szCs w:val="20"/>
          <w:color w:val="auto"/>
        </w:rPr>
      </w:pPr>
      <w:r>
        <w:rPr>
          <w:rFonts w:ascii="Times New Roman" w:cs="Times New Roman" w:eastAsia="Times New Roman" w:hAnsi="Times New Roman"/>
          <w:sz w:val="13"/>
          <w:szCs w:val="13"/>
          <w:color w:val="auto"/>
        </w:rPr>
        <w:t>Truist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Bancorp</w:t>
      </w:r>
    </w:p>
    <w:p>
      <w:pPr>
        <w:spacing w:after="0" w:line="236" w:lineRule="auto"/>
        <w:rPr>
          <w:sz w:val="20"/>
          <w:szCs w:val="20"/>
          <w:color w:val="auto"/>
        </w:rPr>
      </w:pPr>
      <w:r>
        <w:rPr>
          <w:rFonts w:ascii="Times New Roman" w:cs="Times New Roman" w:eastAsia="Times New Roman" w:hAnsi="Times New Roman"/>
          <w:sz w:val="13"/>
          <w:szCs w:val="13"/>
          <w:color w:val="auto"/>
        </w:rPr>
        <w:t>Wells Fargo</w:t>
      </w:r>
    </w:p>
    <w:p>
      <w:pPr>
        <w:spacing w:after="0" w:line="232" w:lineRule="auto"/>
        <w:rPr>
          <w:sz w:val="20"/>
          <w:szCs w:val="20"/>
          <w:color w:val="auto"/>
        </w:rPr>
      </w:pPr>
      <w:r>
        <w:rPr>
          <w:rFonts w:ascii="Times New Roman" w:cs="Times New Roman" w:eastAsia="Times New Roman" w:hAnsi="Times New Roman"/>
          <w:sz w:val="13"/>
          <w:szCs w:val="13"/>
          <w:color w:val="auto"/>
        </w:rPr>
        <w:t>Western Alliance</w:t>
      </w:r>
    </w:p>
    <w:p>
      <w:pPr>
        <w:spacing w:after="0"/>
        <w:rPr>
          <w:sz w:val="20"/>
          <w:szCs w:val="20"/>
          <w:color w:val="auto"/>
        </w:rPr>
      </w:pPr>
      <w:r>
        <w:rPr>
          <w:rFonts w:ascii="Times New Roman" w:cs="Times New Roman" w:eastAsia="Times New Roman" w:hAnsi="Times New Roman"/>
          <w:sz w:val="13"/>
          <w:szCs w:val="13"/>
          <w:color w:val="auto"/>
        </w:rPr>
        <w:t>Zions Bancorp</w:t>
      </w:r>
    </w:p>
    <w:p>
      <w:pPr>
        <w:sectPr>
          <w:pgSz w:w="11900" w:h="16838" w:orient="portrait"/>
          <w:cols w:equalWidth="0" w:num="1">
            <w:col w:w="11300"/>
          </w:cols>
          <w:pgMar w:left="300" w:top="987" w:right="29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3"/>
          <w:szCs w:val="13"/>
          <w:b w:val="1"/>
          <w:bCs w:val="1"/>
          <w:color w:val="auto"/>
        </w:rPr>
        <w:t>Exhibit 10.2.23</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2004 Stock Incentive Plan</w:t>
      </w:r>
    </w:p>
    <w:p>
      <w:pPr>
        <w:jc w:val="center"/>
        <w:spacing w:after="0"/>
        <w:rPr>
          <w:sz w:val="20"/>
          <w:szCs w:val="20"/>
          <w:color w:val="auto"/>
        </w:rPr>
      </w:pPr>
      <w:r>
        <w:rPr>
          <w:rFonts w:ascii="Times New Roman" w:cs="Times New Roman" w:eastAsia="Times New Roman" w:hAnsi="Times New Roman"/>
          <w:sz w:val="17"/>
          <w:szCs w:val="17"/>
          <w:color w:val="auto"/>
        </w:rPr>
        <w:t>Performance Unit Award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of Performance Units at Target: 35,539</w:t>
      </w:r>
    </w:p>
    <w:p>
      <w:pPr>
        <w:spacing w:after="0" w:line="327"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3"/>
          <w:szCs w:val="13"/>
          <w:color w:val="auto"/>
        </w:rPr>
        <w:t xml:space="preserve">THIS PERFORMANCE UNIT AWARD AGREEMENT (this “Agreement”), dated January 26, 2023 (the “Date of Grant”), between CAPITAL ONE FINANCIAL CORPORATION, a Delaware corporation (“Capital One” or the “Company”), and </w:t>
      </w:r>
      <w:r>
        <w:rPr>
          <w:rFonts w:ascii="Times New Roman" w:cs="Times New Roman" w:eastAsia="Times New Roman" w:hAnsi="Times New Roman"/>
          <w:sz w:val="13"/>
          <w:szCs w:val="13"/>
          <w:b w:val="1"/>
          <w:bCs w:val="1"/>
          <w:color w:val="auto"/>
        </w:rPr>
        <w:t>Richard D. Fairbank</w:t>
      </w:r>
      <w:r>
        <w:rPr>
          <w:rFonts w:ascii="Times New Roman" w:cs="Times New Roman" w:eastAsia="Times New Roman" w:hAnsi="Times New Roman"/>
          <w:sz w:val="13"/>
          <w:szCs w:val="13"/>
          <w:color w:val="auto"/>
        </w:rPr>
        <w:t xml:space="preserve"> (“you”), is made pursuant and subject to the provisions of the Company’s 2004 Stock Incentive Plan, as amended and restated (the “Plan”) and all capitalized terms used herein that are defined in the Plan shall have the same meaning given to them in the Plan unless otherwise defined herein. For purposes of this Agreement, “Employer” means the entity (i.e., Capital One, Subsidiary or Affiliate) that employs you.</w:t>
      </w:r>
    </w:p>
    <w:p>
      <w:pPr>
        <w:spacing w:after="0" w:line="1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3"/>
          <w:szCs w:val="13"/>
          <w:color w:val="auto"/>
        </w:rPr>
        <w:t>WHEREAS, Article 9 of the Plan provides for the award from time to time in the discretion of the Committee of performance units, the vesting and issuance of which are subject to certain service, performance or other conditions;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W I T N E S S E T H</w:t>
      </w:r>
      <w:r>
        <w:rPr>
          <w:rFonts w:ascii="Times New Roman" w:cs="Times New Roman" w:eastAsia="Times New Roman" w:hAnsi="Times New Roman"/>
          <w:sz w:val="13"/>
          <w:szCs w:val="13"/>
          <w:color w:val="auto"/>
        </w:rPr>
        <w:t xml:space="preserve"> :</w:t>
      </w:r>
    </w:p>
    <w:p>
      <w:pPr>
        <w:spacing w:after="0" w:line="157" w:lineRule="exact"/>
        <w:rPr>
          <w:sz w:val="20"/>
          <w:szCs w:val="20"/>
          <w:color w:val="auto"/>
        </w:rPr>
      </w:pPr>
    </w:p>
    <w:p>
      <w:pPr>
        <w:jc w:val="both"/>
        <w:ind w:firstLine="208"/>
        <w:spacing w:after="0" w:line="256" w:lineRule="auto"/>
        <w:tabs>
          <w:tab w:leader="none" w:pos="432"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Performance Units</w:t>
      </w:r>
      <w:r>
        <w:rPr>
          <w:rFonts w:ascii="Times New Roman" w:cs="Times New Roman" w:eastAsia="Times New Roman" w:hAnsi="Times New Roman"/>
          <w:sz w:val="13"/>
          <w:szCs w:val="13"/>
          <w:color w:val="auto"/>
        </w:rPr>
        <w:t>. Capital One hereby grants to you an award of performance units (the “Units”) with a target award of 35,539 Units (the “Target Award”). The maximum payout for this award is 150% of the Target Award plus accrued dividends pursuant to Section 6. The Units shall vest and the underlying shares of common stock of Capital One, $.01 par value per share (such underlying shares, the “Shares”), shall be issuable only in accordance with the provisions of this Agreement and of the Plan.</w:t>
      </w:r>
    </w:p>
    <w:p>
      <w:pPr>
        <w:spacing w:after="0" w:line="12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Lapse of Restrictions</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420" w:firstLine="216"/>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xml:space="preserve">. Except as provided in Sections 2(b) and 2(c) below and to the extent not previously vested or forfeited as provided herein, the Units shall vest on a date as determined by the Committee after termination of the Performance Period (as defined below) and certification of performance by the Committee, but no later than March 15, 2026 (the “Date of Issuance”). On the Date of Issuance, the Units shall vest, and the Shares shall become issuable as determined based on the Company’s TSR, as defined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relative to the Peer Group, as defined on </w:t>
      </w:r>
      <w:r>
        <w:rPr>
          <w:rFonts w:ascii="Times New Roman" w:cs="Times New Roman" w:eastAsia="Times New Roman" w:hAnsi="Times New Roman"/>
          <w:sz w:val="13"/>
          <w:szCs w:val="13"/>
          <w:u w:val="single" w:color="auto"/>
          <w:color w:val="auto"/>
        </w:rPr>
        <w:t>Appendix B</w:t>
      </w:r>
      <w:r>
        <w:rPr>
          <w:rFonts w:ascii="Times New Roman" w:cs="Times New Roman" w:eastAsia="Times New Roman" w:hAnsi="Times New Roman"/>
          <w:sz w:val="13"/>
          <w:szCs w:val="13"/>
          <w:color w:val="auto"/>
        </w:rPr>
        <w:t xml:space="preserve">, over a three-year performance period beginning on January 1, 2023 and ending on December 31, 2025 (the “Performance Period”) as certified by the Committee following the end of the Performance Period. The number of Units that shall vest and the number of Shares that shall become issuable on the Date of Issuance shall be determined as set forth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The number of Units vesting and the number of Shares that shall become issuable on the Date of Issuance shall also be subject to reduction in accordance with section 12 below.</w:t>
      </w:r>
    </w:p>
    <w:p>
      <w:pPr>
        <w:spacing w:after="0" w:line="132" w:lineRule="exact"/>
        <w:rPr>
          <w:sz w:val="20"/>
          <w:szCs w:val="20"/>
          <w:color w:val="auto"/>
        </w:rPr>
      </w:pPr>
    </w:p>
    <w:p>
      <w:pPr>
        <w:ind w:left="420" w:right="20" w:firstLine="432"/>
        <w:spacing w:after="0" w:line="281" w:lineRule="auto"/>
        <w:rPr>
          <w:sz w:val="20"/>
          <w:szCs w:val="20"/>
          <w:color w:val="auto"/>
        </w:rPr>
      </w:pPr>
      <w:r>
        <w:rPr>
          <w:rFonts w:ascii="Times New Roman" w:cs="Times New Roman" w:eastAsia="Times New Roman" w:hAnsi="Times New Roman"/>
          <w:sz w:val="13"/>
          <w:szCs w:val="13"/>
          <w:color w:val="auto"/>
        </w:rPr>
        <w:t>With respect to any Units that have vested on the Date of Issuance, the Shares related thereto shall be issued to you, in settlement of such vested Units, on such Date of Issuance. Dividends will be accrued and paid out as additional shares at the time of the award as provided in Section 6 below. All Units, including your rights thereto and to the underlying Shares, which</w:t>
      </w:r>
    </w:p>
    <w:p>
      <w:pPr>
        <w:sectPr>
          <w:pgSz w:w="11900" w:h="16838" w:orient="portrait"/>
          <w:cols w:equalWidth="0" w:num="1">
            <w:col w:w="11300"/>
          </w:cols>
          <w:pgMar w:left="300" w:top="987" w:right="2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3"/>
          <w:szCs w:val="13"/>
          <w:color w:val="auto"/>
        </w:rPr>
        <w:t>do not vest on or before the Date of Issuance, as provided in this Section 2, shall immediately be forfeited as of such Date of Issuance (to the extent not previously forfeited as provided herein).</w:t>
      </w:r>
    </w:p>
    <w:p>
      <w:pPr>
        <w:spacing w:after="0" w:line="18" w:lineRule="exact"/>
        <w:rPr>
          <w:sz w:val="20"/>
          <w:szCs w:val="20"/>
          <w:color w:val="auto"/>
        </w:rPr>
      </w:pPr>
    </w:p>
    <w:p>
      <w:pPr>
        <w:ind w:left="440" w:hanging="220"/>
        <w:spacing w:after="0"/>
        <w:tabs>
          <w:tab w:leader="none" w:pos="44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Termination of Employment</w:t>
      </w:r>
      <w:r>
        <w:rPr>
          <w:rFonts w:ascii="Times New Roman" w:cs="Times New Roman" w:eastAsia="Times New Roman" w:hAnsi="Times New Roman"/>
          <w:sz w:val="13"/>
          <w:szCs w:val="13"/>
          <w:color w:val="auto"/>
        </w:rPr>
        <w:t>.</w:t>
      </w:r>
    </w:p>
    <w:p>
      <w:pPr>
        <w:spacing w:after="0" w:line="151" w:lineRule="exact"/>
        <w:rPr>
          <w:rFonts w:ascii="Times New Roman" w:cs="Times New Roman" w:eastAsia="Times New Roman" w:hAnsi="Times New Roman"/>
          <w:sz w:val="13"/>
          <w:szCs w:val="13"/>
          <w:color w:val="auto"/>
        </w:rPr>
      </w:pPr>
    </w:p>
    <w:p>
      <w:pPr>
        <w:jc w:val="both"/>
        <w:ind w:left="440" w:firstLine="142"/>
        <w:spacing w:after="0" w:line="256" w:lineRule="auto"/>
        <w:tabs>
          <w:tab w:leader="none" w:pos="872"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termination of your employment with Capital One for any reason other than death, Disability or Retirement, as defined below, prior to the Date of Issuance, all Units shall immediately be forfeited (to the extent not previously vested or forfeited as provided herein). For the avoidance of doubt, a transfer of employment to an affiliate of Capital One shall not constitute a termination of employment for purposes of this Section 2(b).</w:t>
      </w:r>
    </w:p>
    <w:p>
      <w:pPr>
        <w:spacing w:after="0" w:line="133" w:lineRule="exact"/>
        <w:rPr>
          <w:rFonts w:ascii="Times New Roman" w:cs="Times New Roman" w:eastAsia="Times New Roman" w:hAnsi="Times New Roman"/>
          <w:sz w:val="13"/>
          <w:szCs w:val="13"/>
          <w:color w:val="auto"/>
        </w:rPr>
      </w:pPr>
    </w:p>
    <w:p>
      <w:pPr>
        <w:jc w:val="both"/>
        <w:ind w:left="440" w:firstLine="106"/>
        <w:spacing w:after="0" w:line="254" w:lineRule="auto"/>
        <w:tabs>
          <w:tab w:leader="none" w:pos="872"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termination of your employment as a result of your death or Disability on or prior to December 31, 2025, a number of the Units equal to (1) the Target Award amount as specified above, or (2) following a Change of Control, the Time-Based Units as calculated in Section 2(c) below, shall immediately vest and the Shares shall be immediately issuable to you as soon as practicable following your death or Disability and in all events on or before the later of December 31 of the year of termination or 2.5 months following such termination. Upon your termination of employment as a result of your death or Disability on or after January 1, 2026, but prior to the Date of Issuance, the number of Units that shall vest and the number of Shares that shall be issuable to you shall be as calculated in Section 2(a) above.</w:t>
      </w:r>
    </w:p>
    <w:p>
      <w:pPr>
        <w:spacing w:after="0" w:line="135" w:lineRule="exact"/>
        <w:rPr>
          <w:rFonts w:ascii="Times New Roman" w:cs="Times New Roman" w:eastAsia="Times New Roman" w:hAnsi="Times New Roman"/>
          <w:sz w:val="13"/>
          <w:szCs w:val="13"/>
          <w:color w:val="auto"/>
        </w:rPr>
      </w:pPr>
    </w:p>
    <w:p>
      <w:pPr>
        <w:ind w:left="440" w:firstLine="69"/>
        <w:spacing w:after="0" w:line="266" w:lineRule="auto"/>
        <w:tabs>
          <w:tab w:leader="none" w:pos="872"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in this Agreement, upon your Retirement, the number of Units that shall vest and the number of Shares that shall be issuable to you shall be as calculated in Section 2(a) and 2(c).</w:t>
      </w:r>
    </w:p>
    <w:p>
      <w:pPr>
        <w:spacing w:after="0" w:line="127" w:lineRule="exact"/>
        <w:rPr>
          <w:rFonts w:ascii="Times New Roman" w:cs="Times New Roman" w:eastAsia="Times New Roman" w:hAnsi="Times New Roman"/>
          <w:sz w:val="13"/>
          <w:szCs w:val="13"/>
          <w:color w:val="auto"/>
        </w:rPr>
      </w:pPr>
    </w:p>
    <w:p>
      <w:pPr>
        <w:ind w:left="440" w:firstLine="76"/>
        <w:spacing w:after="0" w:line="281" w:lineRule="auto"/>
        <w:tabs>
          <w:tab w:leader="none" w:pos="863"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termination of your employment with Capital One for Cause, as defined herein, prior to the Date of Issuance, all Units shall be immediately forfeited (to the extent not previously vested or forfeited as provided herein).</w:t>
      </w:r>
    </w:p>
    <w:p>
      <w:pPr>
        <w:spacing w:after="0" w:line="117" w:lineRule="exact"/>
        <w:rPr>
          <w:rFonts w:ascii="Times New Roman" w:cs="Times New Roman" w:eastAsia="Times New Roman" w:hAnsi="Times New Roman"/>
          <w:sz w:val="13"/>
          <w:szCs w:val="13"/>
          <w:color w:val="auto"/>
        </w:rPr>
      </w:pPr>
    </w:p>
    <w:p>
      <w:pPr>
        <w:jc w:val="both"/>
        <w:ind w:firstLine="220"/>
        <w:spacing w:after="0" w:line="247" w:lineRule="auto"/>
        <w:tabs>
          <w:tab w:leader="none" w:pos="424"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Change of Control</w:t>
      </w:r>
      <w:r>
        <w:rPr>
          <w:rFonts w:ascii="Times New Roman" w:cs="Times New Roman" w:eastAsia="Times New Roman" w:hAnsi="Times New Roman"/>
          <w:sz w:val="13"/>
          <w:szCs w:val="13"/>
          <w:color w:val="auto"/>
        </w:rPr>
        <w:t>. Upon a Change of Control, a number of Units shall, upon certification of performance by the Committee, convert into time-based restricted stock units (the “Time-Based Units”) (as may be adjusted in accordance with Section 4.4 of the Plan) calculated based on a performance period from January 1, 2023 through the end of the fiscal quarter immediately preceding the closing date of the transaction giving rise to the Change of Control; and provided further that the Date of Issuance in such case shall be December 31, 2025 subject to either (1) your continued employment through such date or (2) your Retirement, pursuant to Section 2(b)(iii). Upon your termination of employment by Capital One without Cause or for Good Reason (each as defined below), in either case on or prior to the second anniversary of the occurrence of a Change of Control of Capital One and prior to the Date of Issuance with respect to the Time-Based Units, then notwithstanding anything herein to the contrary, all of the Time-Based Units shall vest and the Shares shall be issuable in full without restrictions on transferability immediately upon the occurrence of your termination of employment following such Change of Control (to the extent not previously vested or forfeited as provided herein) and such date shall be the Date of Issuance; provided, however, that if the Time-Based Units are considered deferred compensation under Section 409A of the Code and not exempt from Section 409A of the Code as a short-term deferral or otherwise, and you are a “specified employee,” as defined in and pursuant to Reg. Section 1.409A 1(i) or any successor regulation, on the date of any such termination of employment without Cause or for Good Reason, you will not be entitled to such vesting prior to the earlier of (i) the date which is six months from the date of your</w:t>
      </w:r>
    </w:p>
    <w:p>
      <w:pPr>
        <w:sectPr>
          <w:pgSz w:w="11900" w:h="16838" w:orient="portrait"/>
          <w:cols w:equalWidth="0" w:num="1">
            <w:col w:w="10880"/>
          </w:cols>
          <w:pgMar w:left="720" w:top="989" w:right="2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3"/>
          <w:szCs w:val="13"/>
          <w:color w:val="auto"/>
        </w:rPr>
        <w:t>“separation from service” (as defined in Reg. Section 1.409A 1(h) or any successor regulation) as a result of such termination and (ii) your death.</w:t>
      </w:r>
    </w:p>
    <w:p>
      <w:pPr>
        <w:spacing w:after="0" w:line="16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With respect to any Time-Based Units that have vested, the Shares related thereto shall be issued to you, in settlement of such vested Time-Based Units, on the Date of Issuance. Dividends will be accrued and paid out as additional shares at the time of the award, as provided in Section 6 below. All Time-Based Units, including your rights thereto and to the underlying Shares, which do not vest on or before the Date of Issuance, as provided in this Section 2, shall immediately be forfeited as of such Date of Issuance (to the extent not previously forfeited as provided herein).</w:t>
      </w:r>
    </w:p>
    <w:p>
      <w:pPr>
        <w:spacing w:after="0" w:line="125" w:lineRule="exact"/>
        <w:rPr>
          <w:sz w:val="20"/>
          <w:szCs w:val="20"/>
          <w:color w:val="auto"/>
        </w:rPr>
      </w:pPr>
    </w:p>
    <w:p>
      <w:pPr>
        <w:ind w:left="440" w:hanging="220"/>
        <w:spacing w:after="0"/>
        <w:tabs>
          <w:tab w:leader="none" w:pos="44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440" w:firstLine="142"/>
        <w:spacing w:after="0" w:line="246" w:lineRule="auto"/>
        <w:tabs>
          <w:tab w:leader="none" w:pos="872"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“Cause” shall mean (1) the willful and continued failure to perform substantially your duties with the Company or any Affiliate (other than any such failure resulting from incapacity due to physical or mental illness or following your delivery of a Notice of Termination (as defined below) for Good Reason), after a written demand for substantial performance is delivered to you by the Board or the Committee that specifically identifies the manner in which the Board or the Committee believes that you have not substantially performed your duties, or (2) the willful engaging by you in illegal conduct or gross misconduct that is materially and demonstrably injurious to the Company. No act, or failure to act, on your part shall be considered “willful” unless it is done, or omitted to be done, by you in bad faith or without reasonable belief that your action or omission was in the best interests of the Company. Any act, or failure to act, based upon (A) authority given pursuant to a resolution duly adopted by the Board, or if the Company is not the ultimate parent corporation of the Employer and is not publicly-traded, the board of directors (or equivalent management body) of the ultimate parent of the Employer (the “Applicable Board”) or (B) the advice of counsel for the Company shall be conclusively presumed to be done, or omitted to be done, by you in good faith and in the best interests of the Company. The cessation of your employment shall not be deemed to be for Cause unless and until there shall have been delivered to you a copy of a resolution duly adopted by the affirmative vote of not less than three-quarters of the entire membership of the Applicable Board (excluding you, if you are a member of the Applicable Board) at a meeting of the Applicable Board called and held for such purpose (after reasonable notice is provided to you and you are given an opportunity, together with your counsel, to be heard before the Applicable Board), finding that, in the good faith opinion of the Applicable Board, you are guilty of the conduct described in this Section 2(d)(i), and specifying the particulars thereof in detail.</w:t>
      </w:r>
    </w:p>
    <w:p>
      <w:pPr>
        <w:spacing w:after="0" w:line="141" w:lineRule="exact"/>
        <w:rPr>
          <w:rFonts w:ascii="Times New Roman" w:cs="Times New Roman" w:eastAsia="Times New Roman" w:hAnsi="Times New Roman"/>
          <w:sz w:val="13"/>
          <w:szCs w:val="13"/>
          <w:color w:val="auto"/>
        </w:rPr>
      </w:pPr>
    </w:p>
    <w:p>
      <w:pPr>
        <w:jc w:val="both"/>
        <w:ind w:left="440" w:firstLine="106"/>
        <w:spacing w:after="0" w:line="252" w:lineRule="auto"/>
        <w:tabs>
          <w:tab w:leader="none" w:pos="872"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“Good Reason” shall mean (1) the assignment to you of any duties inconsistent in any respect with your position (including status, offices, titles and reporting requirements), authority, duties or responsibilities, or any action by the Company that results in a diminution in such position, authority, duties or responsibilities, excluding for this purpose an isolated, insubstantial and inadvertent action not taken in bad faith and that is remedied by the Company promptly after receipt of notice thereof given by you; (2) any failure by the Company to pay your compensation owed other than an isolated, insubstantial and inadvertent failure not occurring in bad faith and that is remedied by the Company promptly after receipt of notice thereof given by you; (3) the Company’s requiring you (I) to be based at any office or location more than 35 miles from the office or location at which you were required to work as of the date of this Agreement or (II) to travel on Company business to a substantially greater extent than required during the 120-day period immediately prior to the date the Change</w:t>
      </w:r>
    </w:p>
    <w:p>
      <w:pPr>
        <w:sectPr>
          <w:pgSz w:w="11900" w:h="16838" w:orient="portrait"/>
          <w:cols w:equalWidth="0" w:num="1">
            <w:col w:w="10880"/>
          </w:cols>
          <w:pgMar w:left="720" w:top="989" w:right="299" w:bottom="1440" w:gutter="0" w:footer="0" w:header="0"/>
        </w:sectPr>
      </w:pPr>
    </w:p>
    <w:bookmarkStart w:id="263" w:name="page264"/>
    <w:bookmarkEnd w:id="263"/>
    <w:p>
      <w:pPr>
        <w:jc w:val="both"/>
        <w:ind w:left="652"/>
        <w:spacing w:after="0" w:line="263" w:lineRule="auto"/>
        <w:rPr>
          <w:sz w:val="20"/>
          <w:szCs w:val="20"/>
          <w:color w:val="auto"/>
        </w:rPr>
      </w:pPr>
      <w:r>
        <w:rPr>
          <w:rFonts w:ascii="Times New Roman" w:cs="Times New Roman" w:eastAsia="Times New Roman" w:hAnsi="Times New Roman"/>
          <w:sz w:val="13"/>
          <w:szCs w:val="13"/>
          <w:color w:val="auto"/>
        </w:rPr>
        <w:t>of Control occurs; or (4) any other action or inaction that constitutes a material breach by the Company of this Agreement or any employment agreement. For purposes of this Section 2(d)(ii) of this Agreement, any good faith determination of Good Reason made by you shall be conclusive. Your mental or physical incapacity following the occurrence of an event described above in clauses (1) through (4) shall not affect your ability to terminate employment for Good Reason.</w:t>
      </w:r>
    </w:p>
    <w:p>
      <w:pPr>
        <w:spacing w:after="0" w:line="130" w:lineRule="exact"/>
        <w:rPr>
          <w:sz w:val="20"/>
          <w:szCs w:val="20"/>
          <w:color w:val="auto"/>
        </w:rPr>
      </w:pPr>
    </w:p>
    <w:p>
      <w:pPr>
        <w:jc w:val="both"/>
        <w:ind w:left="652" w:firstLine="69"/>
        <w:spacing w:after="0" w:line="249" w:lineRule="auto"/>
        <w:tabs>
          <w:tab w:leader="none" w:pos="1084"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termination by the Company for Cause, or by you for Good Reason, shall be communicated by Notice of Termination to the other party. “Notice of Termination” means a written notice that (1) indicates the specific termination provision in this Agreement relied upon, (2) to the extent applicable, sets forth in reasonable detail the facts and circumstances claimed to provide a basis for termination of your employment under the provision so indicated, and (3) if the Date of Termination (as defined herein) is other than the date of receipt of such notice, specifies the Date of Termination (which Date of Termination shall be not more than 30 days after the giving of such notice). The failure by you or the Company to set forth in the Notice of Termination any fact or circumstance that contributes to a showing of Good Reason or Cause shall not waive any right of you or the Company, respectively, hereunder or preclude you or the Company, respectively, from asserting such fact or circumstance in enforcing your or the Company’s respective rights hereunder.</w:t>
      </w:r>
    </w:p>
    <w:p>
      <w:pPr>
        <w:spacing w:after="0" w:line="140" w:lineRule="exact"/>
        <w:rPr>
          <w:rFonts w:ascii="Times New Roman" w:cs="Times New Roman" w:eastAsia="Times New Roman" w:hAnsi="Times New Roman"/>
          <w:sz w:val="13"/>
          <w:szCs w:val="13"/>
          <w:color w:val="auto"/>
        </w:rPr>
      </w:pPr>
    </w:p>
    <w:p>
      <w:pPr>
        <w:jc w:val="both"/>
        <w:ind w:left="652" w:firstLine="76"/>
        <w:spacing w:after="0" w:line="252" w:lineRule="auto"/>
        <w:tabs>
          <w:tab w:leader="none" w:pos="1075" w:val="left"/>
        </w:tabs>
        <w:numPr>
          <w:ilvl w:val="1"/>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of Termination” means, if your employment is terminated by the Company for Cause, or by you for Good Reason, the date of receipt of the Notice of Termination or such later date specified in the Notice of Termination, as the case may be. You and the Company shall take all steps necessary to ensure that any termination described in this Section 2(d) constitutes a “separation from service” within the meaning of Section 409A of the Code, and notwithstanding anything contained herein to the contrary, the date on which such separation from service takes place shall be the “Date of Termination.”</w:t>
      </w:r>
    </w:p>
    <w:p>
      <w:pPr>
        <w:spacing w:after="0" w:line="137" w:lineRule="exact"/>
        <w:rPr>
          <w:rFonts w:ascii="Times New Roman" w:cs="Times New Roman" w:eastAsia="Times New Roman" w:hAnsi="Times New Roman"/>
          <w:sz w:val="13"/>
          <w:szCs w:val="13"/>
          <w:color w:val="auto"/>
        </w:rPr>
      </w:pPr>
    </w:p>
    <w:p>
      <w:pPr>
        <w:jc w:val="both"/>
        <w:ind w:left="-208" w:firstLine="208"/>
        <w:spacing w:after="0" w:line="247" w:lineRule="auto"/>
        <w:tabs>
          <w:tab w:leader="none" w:pos="224"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w:t>
      </w:r>
      <w:r>
        <w:rPr>
          <w:rFonts w:ascii="Times New Roman" w:cs="Times New Roman" w:eastAsia="Times New Roman" w:hAnsi="Times New Roman"/>
          <w:sz w:val="13"/>
          <w:szCs w:val="13"/>
          <w:color w:val="auto"/>
        </w:rPr>
        <w:t>. Subject to the provisions of Section 2 and 14 hereof, the right to receive some or all of the Units and the Shares related thereto shall not be assignable or transferable, or otherwise alienated, pledged or hypothecated or otherwise encumbered under any circumstances. Any purported or attempted assignment, transfer, alienation, pledge, hypothecation or encumbrance of such rights or of the Units or the Shares related thereto prior to their issuance to you shall be null and void and shall result in the immediate forfeiture of such rights or Units, including the Shares related thereto, and cancellation of this Agreement.</w:t>
      </w:r>
    </w:p>
    <w:p>
      <w:pPr>
        <w:spacing w:after="0" w:line="140" w:lineRule="exact"/>
        <w:rPr>
          <w:rFonts w:ascii="Times New Roman" w:cs="Times New Roman" w:eastAsia="Times New Roman" w:hAnsi="Times New Roman"/>
          <w:sz w:val="13"/>
          <w:szCs w:val="13"/>
          <w:color w:val="auto"/>
        </w:rPr>
      </w:pPr>
    </w:p>
    <w:p>
      <w:pPr>
        <w:jc w:val="both"/>
        <w:ind w:left="-208" w:firstLine="208"/>
        <w:spacing w:after="0" w:line="247" w:lineRule="auto"/>
        <w:tabs>
          <w:tab w:leader="none" w:pos="224"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and Waiver</w:t>
      </w:r>
      <w:r>
        <w:rPr>
          <w:rFonts w:ascii="Times New Roman" w:cs="Times New Roman" w:eastAsia="Times New Roman" w:hAnsi="Times New Roman"/>
          <w:sz w:val="13"/>
          <w:szCs w:val="13"/>
          <w:color w:val="auto"/>
        </w:rPr>
        <w:t>. Except as provided in the Plan with respect to determinations of the Board or the Committee and subject to the Committee’s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30"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If you become subject to withholding under applicable tax laws, you agree to pay Capital One the amount required to be withheld by one or more of the following methods:</w:t>
      </w:r>
    </w:p>
    <w:p>
      <w:pPr>
        <w:sectPr>
          <w:pgSz w:w="11900" w:h="16838" w:orient="portrait"/>
          <w:cols w:equalWidth="0" w:num="1">
            <w:col w:w="11092"/>
          </w:cols>
          <w:pgMar w:left="508" w:top="989" w:right="299" w:bottom="1440" w:gutter="0" w:footer="0" w:header="0"/>
        </w:sectPr>
      </w:pPr>
    </w:p>
    <w:bookmarkStart w:id="264" w:name="page265"/>
    <w:bookmarkEnd w:id="264"/>
    <w:p>
      <w:pPr>
        <w:ind w:left="212" w:firstLine="220"/>
        <w:spacing w:after="0" w:line="266" w:lineRule="auto"/>
        <w:tabs>
          <w:tab w:leader="none" w:pos="636" w:val="left"/>
        </w:tabs>
        <w:numPr>
          <w:ilvl w:val="1"/>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will automatically withhold the number of Shares having a Fair Market Value on the date the tax withholding obligation is to be determined equal to the amount required to be withheld (as determined pursuant to the Plan), rounded up to the nearest whole Share; or</w:t>
      </w:r>
    </w:p>
    <w:p>
      <w:pPr>
        <w:spacing w:after="0" w:line="127"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such other methods as Capital One may make available from time to time.</w:t>
      </w:r>
    </w:p>
    <w:p>
      <w:pPr>
        <w:spacing w:after="0" w:line="156" w:lineRule="exact"/>
        <w:rPr>
          <w:rFonts w:ascii="Times New Roman" w:cs="Times New Roman" w:eastAsia="Times New Roman" w:hAnsi="Times New Roman"/>
          <w:sz w:val="13"/>
          <w:szCs w:val="13"/>
          <w:color w:val="auto"/>
        </w:rPr>
      </w:pPr>
    </w:p>
    <w:p>
      <w:pPr>
        <w:jc w:val="both"/>
        <w:ind w:left="-208" w:firstLine="208"/>
        <w:spacing w:after="0" w:line="252" w:lineRule="auto"/>
        <w:tabs>
          <w:tab w:leader="none" w:pos="224"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Dividends with respect to the Shares shall accrue beginning on January 1, 2023, through the applicable Date of Issuance when the Shares underlying the Units or Time-Based Units are delivered, at which time such accrued dividends shall be paid out in the form of additional shares of common stock of the Corporation based on the Fair Market Value of a share of the Company’s common stock on the business day prior to the Date of Issuance. The accrued dividends that shall be paid out to you shall be only such amount that has accrued with respect to the Shares underlying the Units or Time-Based Units that vest on the Date of Issuance.</w:t>
      </w:r>
    </w:p>
    <w:p>
      <w:pPr>
        <w:spacing w:after="0" w:line="128" w:lineRule="exact"/>
        <w:rPr>
          <w:rFonts w:ascii="Times New Roman" w:cs="Times New Roman" w:eastAsia="Times New Roman" w:hAnsi="Times New Roman"/>
          <w:sz w:val="13"/>
          <w:szCs w:val="13"/>
          <w:color w:val="auto"/>
        </w:rPr>
      </w:pPr>
    </w:p>
    <w:p>
      <w:pPr>
        <w:jc w:val="both"/>
        <w:ind w:left="-208" w:firstLine="208"/>
        <w:spacing w:after="0" w:line="256" w:lineRule="auto"/>
        <w:tabs>
          <w:tab w:leader="none" w:pos="224"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United States federal law and, to the extent not preempted thereby, by the laws of the State of Delaware. Capital One and you hereby consent and submit to the personal jurisdiction and venue of any state or federal court located in any city or county of Delaware for resolution of any and all claims, causes of action or disputes arising out of this Agreement. You and Capital One agree that the court shall not set aside the Committee’s determinations unless there is clear and convincing evidence of bad faith or fraud.</w:t>
      </w:r>
    </w:p>
    <w:p>
      <w:pPr>
        <w:spacing w:after="0" w:line="124" w:lineRule="exact"/>
        <w:rPr>
          <w:rFonts w:ascii="Times New Roman" w:cs="Times New Roman" w:eastAsia="Times New Roman" w:hAnsi="Times New Roman"/>
          <w:sz w:val="13"/>
          <w:szCs w:val="13"/>
          <w:color w:val="auto"/>
        </w:rPr>
      </w:pPr>
    </w:p>
    <w:p>
      <w:pPr>
        <w:ind w:left="-208" w:firstLine="208"/>
        <w:spacing w:after="0" w:line="281" w:lineRule="auto"/>
        <w:tabs>
          <w:tab w:leader="none" w:pos="224"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In the event of any conflict between the provisions of the Plan as in effect on the Date of Grant and the provisions of this Agreement, except as provided otherwise herein, the provisions of this Agreement shall govern. All references herein to the Plan shall mean the Plan as in effect on the date hereof.</w:t>
      </w:r>
    </w:p>
    <w:p>
      <w:pPr>
        <w:spacing w:after="0" w:line="108" w:lineRule="exact"/>
        <w:rPr>
          <w:rFonts w:ascii="Times New Roman" w:cs="Times New Roman" w:eastAsia="Times New Roman" w:hAnsi="Times New Roman"/>
          <w:sz w:val="13"/>
          <w:szCs w:val="13"/>
          <w:color w:val="auto"/>
        </w:rPr>
      </w:pPr>
    </w:p>
    <w:p>
      <w:pPr>
        <w:ind w:left="-208" w:firstLine="208"/>
        <w:spacing w:after="0" w:line="266" w:lineRule="auto"/>
        <w:tabs>
          <w:tab w:leader="none" w:pos="224"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Bound by Plan</w:t>
      </w:r>
      <w:r>
        <w:rPr>
          <w:rFonts w:ascii="Times New Roman" w:cs="Times New Roman" w:eastAsia="Times New Roman" w:hAnsi="Times New Roman"/>
          <w:sz w:val="13"/>
          <w:szCs w:val="13"/>
          <w:color w:val="auto"/>
        </w:rPr>
        <w:t>. In consideration of the grant of the Units and the Shares, you agree that you will comply with such conditions as the Committee may impose on the Units and the Shares and be bound by the terms of the Plan.</w:t>
      </w:r>
    </w:p>
    <w:p>
      <w:pPr>
        <w:spacing w:after="0" w:line="127"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Employment Status</w:t>
      </w:r>
      <w:r>
        <w:rPr>
          <w:rFonts w:ascii="Times New Roman" w:cs="Times New Roman" w:eastAsia="Times New Roman" w:hAnsi="Times New Roman"/>
          <w:sz w:val="13"/>
          <w:szCs w:val="13"/>
          <w:color w:val="auto"/>
        </w:rPr>
        <w:t>. This Agreement does not constitute a contract of employment nor does it alter your terminable at will status or otherwise guarantee future employment.</w:t>
      </w:r>
    </w:p>
    <w:p>
      <w:pPr>
        <w:spacing w:after="0" w:line="156" w:lineRule="exact"/>
        <w:rPr>
          <w:rFonts w:ascii="Times New Roman" w:cs="Times New Roman" w:eastAsia="Times New Roman" w:hAnsi="Times New Roman"/>
          <w:sz w:val="13"/>
          <w:szCs w:val="13"/>
          <w:color w:val="auto"/>
        </w:rPr>
      </w:pPr>
    </w:p>
    <w:p>
      <w:pPr>
        <w:ind w:left="-208" w:firstLine="208"/>
        <w:spacing w:after="0" w:line="281" w:lineRule="auto"/>
        <w:tabs>
          <w:tab w:leader="none" w:pos="213"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This Agreement shall be binding upon, enforceable against, and inure to the benefit of you and your legatees, distributees and personal representatives, and Capital One and its successors and assigns.</w:t>
      </w:r>
    </w:p>
    <w:p>
      <w:pPr>
        <w:spacing w:after="0" w:line="108"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Clawback and Other Forfeiture Events</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212" w:firstLine="220"/>
        <w:spacing w:after="0" w:line="247" w:lineRule="auto"/>
        <w:tabs>
          <w:tab w:leader="none" w:pos="636"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Units vesting and the number of Shares that shall become issuable on the Date of Issuance shall be subject to reduction in an amount as determined by the Committee in its sole discretion in the event that, prior to the Date of Issuance, the Committee in its sole discretion determines that (i) there has been misconduct resulting in either a violation of law or of Capital One policy or procedures, including but not limited to the Capital One Code of Conduct, that in either case causes significant financial or reputational harm to Capital One and (ii) either you committed the misconduct or failed in your responsibility to manage or monitor the applicable conduct or risks.</w:t>
      </w:r>
    </w:p>
    <w:p>
      <w:pPr>
        <w:spacing w:after="0" w:line="131" w:lineRule="exact"/>
        <w:rPr>
          <w:rFonts w:ascii="Times New Roman" w:cs="Times New Roman" w:eastAsia="Times New Roman" w:hAnsi="Times New Roman"/>
          <w:sz w:val="13"/>
          <w:szCs w:val="13"/>
          <w:color w:val="auto"/>
        </w:rPr>
      </w:pPr>
    </w:p>
    <w:p>
      <w:pPr>
        <w:ind w:left="212" w:firstLine="220"/>
        <w:spacing w:after="0" w:line="281" w:lineRule="auto"/>
        <w:tabs>
          <w:tab w:leader="none" w:pos="644"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reimburse the Company with respect to the Units and the Shares to the extent required under Section 304 of the Sarbanes-Oxley Act of 2002, Section 954 of the Dodd-Frank Act or as otherwise required by law.</w:t>
      </w:r>
    </w:p>
    <w:p>
      <w:pPr>
        <w:sectPr>
          <w:pgSz w:w="11900" w:h="16838" w:orient="portrait"/>
          <w:cols w:equalWidth="0" w:num="1">
            <w:col w:w="11092"/>
          </w:cols>
          <w:pgMar w:left="508" w:top="989" w:right="299" w:bottom="1440" w:gutter="0" w:footer="0" w:header="0"/>
        </w:sectPr>
      </w:pPr>
    </w:p>
    <w:bookmarkStart w:id="265" w:name="page266"/>
    <w:bookmarkEnd w:id="265"/>
    <w:p>
      <w:pPr>
        <w:ind w:firstLine="208"/>
        <w:spacing w:after="0" w:line="266" w:lineRule="auto"/>
        <w:tabs>
          <w:tab w:leader="none" w:pos="426"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a Stockholder</w:t>
      </w:r>
      <w:r>
        <w:rPr>
          <w:rFonts w:ascii="Times New Roman" w:cs="Times New Roman" w:eastAsia="Times New Roman" w:hAnsi="Times New Roman"/>
          <w:sz w:val="13"/>
          <w:szCs w:val="13"/>
          <w:color w:val="auto"/>
        </w:rPr>
        <w:t>. You shall have no rights of a stockholder with respect to the shares of Common Stock represented by Units, including, but not limited to, the right to vote and to receive dividends, unless and until such shares of Common Stock are transferred to you pursuant to the Plan and this Agreement.</w:t>
      </w:r>
    </w:p>
    <w:p>
      <w:pPr>
        <w:spacing w:after="0" w:line="12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Mandatory Holding Requirement</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420" w:firstLine="220"/>
        <w:spacing w:after="0" w:line="256" w:lineRule="auto"/>
        <w:tabs>
          <w:tab w:leader="none" w:pos="844" w:val="left"/>
        </w:tabs>
        <w:numPr>
          <w:ilvl w:val="1"/>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that with respect to the Applicable Holding Shares you may not transfer, sell, pledge, hypothecate or otherwise dispose of such Applicable Holding Shares until the Holding Date; provided that the requirements set forth in this Section 14 shall immediately lapse and be of no further force and effect upon your death, Disability or termination of employment by Capital One without Cause or for Good Reason following a Change of Control, pursuant to Section 2(c).</w:t>
      </w:r>
    </w:p>
    <w:p>
      <w:pPr>
        <w:spacing w:after="0" w:line="133"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14:</w:t>
      </w:r>
    </w:p>
    <w:p>
      <w:pPr>
        <w:spacing w:after="0" w:line="156" w:lineRule="exact"/>
        <w:rPr>
          <w:rFonts w:ascii="Times New Roman" w:cs="Times New Roman" w:eastAsia="Times New Roman" w:hAnsi="Times New Roman"/>
          <w:sz w:val="13"/>
          <w:szCs w:val="13"/>
          <w:color w:val="auto"/>
        </w:rPr>
      </w:pPr>
    </w:p>
    <w:p>
      <w:pPr>
        <w:jc w:val="both"/>
        <w:ind w:left="860" w:firstLine="142"/>
        <w:spacing w:after="0" w:line="256" w:lineRule="auto"/>
        <w:tabs>
          <w:tab w:leader="none" w:pos="1292" w:val="left"/>
        </w:tabs>
        <w:numPr>
          <w:ilvl w:val="2"/>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Holding Shares” means 50% of the Shares acquired hereunder (not including any Shares sold or retained by the Company or its designated agent to fund the payment of any tax withholding obligation, brokerage commission or fees payable in connection with the Shares) during your term of employment with the Company and during the one-year period after termination of your employment for any reason; and</w:t>
      </w:r>
    </w:p>
    <w:p>
      <w:pPr>
        <w:spacing w:after="0" w:line="124" w:lineRule="exact"/>
        <w:rPr>
          <w:rFonts w:ascii="Times New Roman" w:cs="Times New Roman" w:eastAsia="Times New Roman" w:hAnsi="Times New Roman"/>
          <w:sz w:val="13"/>
          <w:szCs w:val="13"/>
          <w:color w:val="auto"/>
        </w:rPr>
      </w:pPr>
    </w:p>
    <w:p>
      <w:pPr>
        <w:ind w:left="860" w:firstLine="106"/>
        <w:spacing w:after="0" w:line="281" w:lineRule="auto"/>
        <w:tabs>
          <w:tab w:leader="none" w:pos="1292" w:val="left"/>
        </w:tabs>
        <w:numPr>
          <w:ilvl w:val="2"/>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“Holding Date” means the later of: (1) the first anniversary of the date of acquisition of any Applicable Holding Shares; or (2) until your stock ownership requirement is met, as determined by the Committee.</w:t>
      </w:r>
    </w:p>
    <w:p>
      <w:pPr>
        <w:spacing w:after="0" w:line="10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Protection</w:t>
      </w:r>
      <w:r>
        <w:rPr>
          <w:rFonts w:ascii="Times New Roman" w:cs="Times New Roman" w:eastAsia="Times New Roman" w:hAnsi="Times New Roman"/>
          <w:sz w:val="13"/>
          <w:szCs w:val="13"/>
          <w:color w:val="auto"/>
        </w:rPr>
        <w:t>. You consent to the collection, processing and transfer (including international transfer) of your personally identifiable data in connection with the grant of the Units and participation in the</w:t>
      </w:r>
    </w:p>
    <w:p>
      <w:pPr>
        <w:spacing w:after="0" w:line="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w:t>
      </w:r>
    </w:p>
    <w:p>
      <w:pPr>
        <w:spacing w:after="0" w:line="151" w:lineRule="exact"/>
        <w:rPr>
          <w:rFonts w:ascii="Times New Roman" w:cs="Times New Roman" w:eastAsia="Times New Roman" w:hAnsi="Times New Roman"/>
          <w:sz w:val="13"/>
          <w:szCs w:val="13"/>
          <w:color w:val="auto"/>
        </w:rPr>
      </w:pPr>
    </w:p>
    <w:p>
      <w:pPr>
        <w:jc w:val="both"/>
        <w:ind w:firstLine="208"/>
        <w:spacing w:after="0" w:line="247" w:lineRule="auto"/>
        <w:tabs>
          <w:tab w:leader="none" w:pos="426"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This Agreement shall be enforceable to the fullest extent allowed by law. In the event that any provision of this Agreement is determined to be invalid, illegal or unenforceable in any respect under any applicable law or rule in any jurisdiction, then that provision shall be reduced, modified or otherwise conformed to the relevant law, judgment or determination to the degree necessary to render it valid and enforceable without affecting the validity, legality or enforceability of any other provision of this Agreement or the validity, legality or enforceability of such provision in any other jurisdiction. Any provision of this Agreement that is prohibited or unenforceable in any jurisdiction shall, as to such jurisdiction, be deemed severable from the remainder of this Agreement, and the remaining provisions contained in this Agreement shall be construed to preserve to the maximum permissible extent the intent and purposes of this Agreement.</w:t>
      </w:r>
    </w:p>
    <w:p>
      <w:pPr>
        <w:spacing w:after="0" w:line="130" w:lineRule="exact"/>
        <w:rPr>
          <w:rFonts w:ascii="Times New Roman" w:cs="Times New Roman" w:eastAsia="Times New Roman" w:hAnsi="Times New Roman"/>
          <w:sz w:val="13"/>
          <w:szCs w:val="13"/>
          <w:color w:val="auto"/>
        </w:rPr>
      </w:pPr>
    </w:p>
    <w:p>
      <w:pPr>
        <w:ind w:firstLine="208"/>
        <w:spacing w:after="0" w:line="266" w:lineRule="auto"/>
        <w:tabs>
          <w:tab w:leader="none" w:pos="426"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all of which together shall constitute one agreement binding on all the parties hereto, notwithstanding that all such parties are not signatories to the original or the same counterpart.</w:t>
      </w:r>
    </w:p>
    <w:p>
      <w:pPr>
        <w:spacing w:after="0" w:line="12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 In accepting the grant, you acknowledge and agree that:</w:t>
      </w:r>
    </w:p>
    <w:p>
      <w:pPr>
        <w:spacing w:after="0" w:line="156" w:lineRule="exact"/>
        <w:rPr>
          <w:rFonts w:ascii="Times New Roman" w:cs="Times New Roman" w:eastAsia="Times New Roman" w:hAnsi="Times New Roman"/>
          <w:sz w:val="13"/>
          <w:szCs w:val="13"/>
          <w:color w:val="auto"/>
        </w:rPr>
      </w:pPr>
    </w:p>
    <w:p>
      <w:pPr>
        <w:ind w:left="840" w:hanging="200"/>
        <w:spacing w:after="0"/>
        <w:tabs>
          <w:tab w:leader="none" w:pos="840" w:val="left"/>
        </w:tabs>
        <w:numPr>
          <w:ilvl w:val="1"/>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intended to comply with the applicable requirements of Section 409A of the Code and shall be limited, construed and interpreted in a manner so as to comply therewith;</w:t>
      </w:r>
    </w:p>
    <w:p>
      <w:pPr>
        <w:spacing w:after="0" w:line="165"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obligations under this Agreement shall survive any termination of your employment with the Company for any reason;</w:t>
      </w:r>
    </w:p>
    <w:p>
      <w:pPr>
        <w:sectPr>
          <w:pgSz w:w="11900" w:h="16838" w:orient="portrait"/>
          <w:cols w:equalWidth="0" w:num="1">
            <w:col w:w="11300"/>
          </w:cols>
          <w:pgMar w:left="300" w:top="989" w:right="299" w:bottom="1440" w:gutter="0" w:footer="0" w:header="0"/>
        </w:sectPr>
      </w:pPr>
    </w:p>
    <w:bookmarkStart w:id="266" w:name="page267"/>
    <w:bookmarkEnd w:id="266"/>
    <w:p>
      <w:pPr>
        <w:ind w:left="200" w:hanging="200"/>
        <w:spacing w:after="0"/>
        <w:tabs>
          <w:tab w:leader="none" w:pos="20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rights or remedies under this Agreement shall be cumulative and in addition to whatever other remedies the Company may have under law or equity;</w:t>
      </w:r>
    </w:p>
    <w:p>
      <w:pPr>
        <w:spacing w:after="0" w:line="156" w:lineRule="exact"/>
        <w:rPr>
          <w:rFonts w:ascii="Times New Roman" w:cs="Times New Roman" w:eastAsia="Times New Roman" w:hAnsi="Times New Roman"/>
          <w:sz w:val="13"/>
          <w:szCs w:val="13"/>
          <w:color w:val="auto"/>
        </w:rPr>
      </w:pPr>
    </w:p>
    <w:p>
      <w:pPr>
        <w:ind w:left="220" w:hanging="220"/>
        <w:spacing w:after="0"/>
        <w:tabs>
          <w:tab w:leader="none" w:pos="22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recovery by the Company under this Agreement will be a recovery of Shares to which you were not entitled under this Agreement and is not to be construed in any manner as a penalty;</w:t>
      </w:r>
    </w:p>
    <w:p>
      <w:pPr>
        <w:spacing w:after="0" w:line="165" w:lineRule="exact"/>
        <w:rPr>
          <w:rFonts w:ascii="Times New Roman" w:cs="Times New Roman" w:eastAsia="Times New Roman" w:hAnsi="Times New Roman"/>
          <w:sz w:val="13"/>
          <w:szCs w:val="13"/>
          <w:color w:val="auto"/>
        </w:rPr>
      </w:pPr>
    </w:p>
    <w:p>
      <w:pPr>
        <w:jc w:val="both"/>
        <w:ind w:left="-220" w:right="20" w:firstLine="220"/>
        <w:spacing w:after="0" w:line="256" w:lineRule="auto"/>
        <w:tabs>
          <w:tab w:leader="none" w:pos="204"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to the maximum extent permitted by applicable law and Section 409A of the Code, retain for itself funds or securities otherwise payable to you pursuant to this Agreement to satisfy any obligation or debt that you owe to the Company, including any obligations hereunder. The Company may not retain such funds or securities until such time as they would otherwise be distributable to you in accordance with this Agreement;</w:t>
      </w:r>
    </w:p>
    <w:p>
      <w:pPr>
        <w:spacing w:after="0" w:line="124" w:lineRule="exact"/>
        <w:rPr>
          <w:rFonts w:ascii="Times New Roman" w:cs="Times New Roman" w:eastAsia="Times New Roman" w:hAnsi="Times New Roman"/>
          <w:sz w:val="13"/>
          <w:szCs w:val="13"/>
          <w:color w:val="auto"/>
        </w:rPr>
      </w:pPr>
    </w:p>
    <w:p>
      <w:pPr>
        <w:jc w:val="both"/>
        <w:ind w:left="-220" w:firstLine="220"/>
        <w:spacing w:after="0" w:line="256" w:lineRule="auto"/>
        <w:tabs>
          <w:tab w:leader="none" w:pos="20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reserves the right to impose other requirements on the Units, any Shares acquired pursuant to the Units, and your participation in the Plan, to the extent Capital One determines, in its sole discretion, that such other requirements are necessary or advisable in order to comply with local laws, rules and regulations, or to facilitate the administration of the Units and the Plan. Such requirements may include (but are not limited to) requiring you to sign any agreements or undertakings that may be necessary to accomplish the foregoing; and</w:t>
      </w:r>
    </w:p>
    <w:p>
      <w:pPr>
        <w:spacing w:after="0" w:line="124" w:lineRule="exact"/>
        <w:rPr>
          <w:rFonts w:ascii="Times New Roman" w:cs="Times New Roman" w:eastAsia="Times New Roman" w:hAnsi="Times New Roman"/>
          <w:sz w:val="13"/>
          <w:szCs w:val="13"/>
          <w:color w:val="auto"/>
        </w:rPr>
      </w:pPr>
    </w:p>
    <w:p>
      <w:pPr>
        <w:jc w:val="both"/>
        <w:ind w:left="-220" w:firstLine="220"/>
        <w:spacing w:after="0" w:line="252" w:lineRule="auto"/>
        <w:tabs>
          <w:tab w:leader="none" w:pos="212"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from time to time distributes and makes available to associates disclosure documents, including a prospectus, relating to the Plan. You may also contact the HR Help Center to obtain copies of the Plan disclosure documents and the Plan. You should carefully read the Plan disclosure documents and the Plan. By accepting the benefits of this Agreement you acknowledge receipt of the Plan and the Plan disclosure documents and agree to be bound by the terms of this Agreement and the Plan. You hereby consent to receive such documents by electronic delivery and agree to participate in the Plan through an on-line or electronic system established and maintained by Capital One or a third-party designated by Capital One.</w:t>
      </w:r>
    </w:p>
    <w:p>
      <w:pPr>
        <w:sectPr>
          <w:pgSz w:w="11900" w:h="16838" w:orient="portrait"/>
          <w:cols w:equalWidth="0" w:num="1">
            <w:col w:w="10660"/>
          </w:cols>
          <w:pgMar w:left="940" w:top="989" w:right="2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on their behalf.</w:t>
      </w:r>
    </w:p>
    <w:p>
      <w:pPr>
        <w:spacing w:after="0" w:line="317" w:lineRule="exact"/>
        <w:rPr>
          <w:sz w:val="20"/>
          <w:szCs w:val="20"/>
          <w:color w:val="auto"/>
        </w:rPr>
      </w:pPr>
    </w:p>
    <w:p>
      <w:pPr>
        <w:jc w:val="right"/>
        <w:ind w:right="4859"/>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33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By:</w:t>
      </w:r>
    </w:p>
    <w:p>
      <w:pPr>
        <w:spacing w:after="0" w:line="2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u w:val="single" w:color="auto"/>
          <w:color w:val="auto"/>
        </w:rPr>
        <w:t>/s/ François Locoh-Donou</w:t>
      </w:r>
    </w:p>
    <w:p>
      <w:pPr>
        <w:spacing w:after="0" w:line="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François Locoh-Donou</w:t>
      </w:r>
    </w:p>
    <w:p>
      <w:pPr>
        <w:spacing w:after="0" w:line="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Chair, Compensation Committee</w:t>
      </w:r>
    </w:p>
    <w:p>
      <w:pPr>
        <w:spacing w:after="0" w:line="31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177" w:lineRule="exact"/>
        <w:rPr>
          <w:sz w:val="20"/>
          <w:szCs w:val="20"/>
          <w:color w:val="auto"/>
        </w:rPr>
      </w:pPr>
    </w:p>
    <w:p>
      <w:pPr>
        <w:jc w:val="right"/>
        <w:ind w:right="6039"/>
        <w:spacing w:after="0"/>
        <w:tabs>
          <w:tab w:leader="none" w:pos="23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u w:val="single" w:color="auto"/>
          <w:color w:val="auto"/>
        </w:rPr>
        <w:t>/s/Richard D. Fairbank</w:t>
      </w:r>
    </w:p>
    <w:p>
      <w:pPr>
        <w:spacing w:after="0" w:line="22" w:lineRule="exact"/>
        <w:rPr>
          <w:sz w:val="20"/>
          <w:szCs w:val="20"/>
          <w:color w:val="auto"/>
        </w:rPr>
      </w:pPr>
    </w:p>
    <w:p>
      <w:pPr>
        <w:jc w:val="right"/>
        <w:ind w:right="6059"/>
        <w:spacing w:after="0"/>
        <w:rPr>
          <w:sz w:val="20"/>
          <w:szCs w:val="20"/>
          <w:color w:val="auto"/>
        </w:rPr>
      </w:pPr>
      <w:r>
        <w:rPr>
          <w:rFonts w:ascii="Times New Roman" w:cs="Times New Roman" w:eastAsia="Times New Roman" w:hAnsi="Times New Roman"/>
          <w:sz w:val="13"/>
          <w:szCs w:val="13"/>
          <w:color w:val="auto"/>
        </w:rPr>
        <w:t>Richard D. Fairbank</w:t>
      </w:r>
    </w:p>
    <w:p>
      <w:pPr>
        <w:sectPr>
          <w:pgSz w:w="11900" w:h="16838" w:orient="portrait"/>
          <w:cols w:equalWidth="0" w:num="1">
            <w:col w:w="10159"/>
          </w:cols>
          <w:pgMar w:left="300" w:top="989" w:right="1440" w:bottom="1440" w:gutter="0" w:footer="0" w:header="0"/>
        </w:sectPr>
      </w:pPr>
    </w:p>
    <w:bookmarkStart w:id="268" w:name="page269"/>
    <w:bookmarkEnd w:id="268"/>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APPENDIX 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PERFORMANCE SHARE METRICS AND PAYOUT</w:t>
      </w:r>
    </w:p>
    <w:p>
      <w:pPr>
        <w:spacing w:after="0" w:line="3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b w:val="1"/>
          <w:bCs w:val="1"/>
          <w:i w:val="1"/>
          <w:iCs w:val="1"/>
          <w:color w:val="auto"/>
        </w:rPr>
        <w:t>Company Total Shareholder Return Relative to Peer Group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number of Units that shall vest and the number of Shares that shall become issuable on the Date of Issuance pursuant to Section 2(a) shall be based on the Company’s Total Shareholder Return relative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Peer Group on </w:t>
      </w:r>
      <w:r>
        <w:rPr>
          <w:rFonts w:ascii="Times New Roman" w:cs="Times New Roman" w:eastAsia="Times New Roman" w:hAnsi="Times New Roman"/>
          <w:sz w:val="13"/>
          <w:szCs w:val="13"/>
          <w:u w:val="single" w:color="auto"/>
          <w:color w:val="auto"/>
        </w:rPr>
        <w:t>Appendix B</w:t>
      </w:r>
      <w:r>
        <w:rPr>
          <w:rFonts w:ascii="Times New Roman" w:cs="Times New Roman" w:eastAsia="Times New Roman" w:hAnsi="Times New Roman"/>
          <w:sz w:val="13"/>
          <w:szCs w:val="13"/>
          <w:color w:val="auto"/>
        </w:rPr>
        <w:t xml:space="preserve"> over the Performance Period, using a metric calculated as follows:</w:t>
      </w:r>
    </w:p>
    <w:p>
      <w:pPr>
        <w:spacing w:after="0" w:line="14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The Units shall become issuable as Shares based on the TSR achieved by the Company over the Performance Period, relative to the TSR achieved by each member of the Peer Group over the Performance Period, expressed as a percentile (the “Relative TSR Percentile”), such that:</w:t>
      </w:r>
    </w:p>
    <w:p>
      <w:pPr>
        <w:spacing w:after="0" w:line="109" w:lineRule="exact"/>
        <w:rPr>
          <w:sz w:val="20"/>
          <w:szCs w:val="20"/>
          <w:color w:val="auto"/>
        </w:rPr>
      </w:pPr>
    </w:p>
    <w:p>
      <w:pPr>
        <w:ind w:left="860" w:hanging="289"/>
        <w:spacing w:after="0"/>
        <w:tabs>
          <w:tab w:leader="none" w:pos="86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Relative TSR Percentile is 80th or higher, then 150% of the Units shall be issuable as Shares.</w:t>
      </w:r>
    </w:p>
    <w:p>
      <w:pPr>
        <w:spacing w:after="0" w:line="156" w:lineRule="exact"/>
        <w:rPr>
          <w:rFonts w:ascii="Times New Roman" w:cs="Times New Roman" w:eastAsia="Times New Roman" w:hAnsi="Times New Roman"/>
          <w:sz w:val="13"/>
          <w:szCs w:val="13"/>
          <w:color w:val="auto"/>
        </w:rPr>
      </w:pPr>
    </w:p>
    <w:p>
      <w:pPr>
        <w:ind w:left="860" w:hanging="326"/>
        <w:spacing w:after="0"/>
        <w:tabs>
          <w:tab w:leader="none" w:pos="86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Relative TSR Percentile is 25th, then 40% of the Units shall be issuable as Shares.</w:t>
      </w:r>
    </w:p>
    <w:p>
      <w:pPr>
        <w:spacing w:after="0" w:line="165" w:lineRule="exact"/>
        <w:rPr>
          <w:rFonts w:ascii="Times New Roman" w:cs="Times New Roman" w:eastAsia="Times New Roman" w:hAnsi="Times New Roman"/>
          <w:sz w:val="13"/>
          <w:szCs w:val="13"/>
          <w:color w:val="auto"/>
        </w:rPr>
      </w:pPr>
    </w:p>
    <w:p>
      <w:pPr>
        <w:ind w:left="860" w:hanging="363"/>
        <w:spacing w:after="0"/>
        <w:tabs>
          <w:tab w:leader="none" w:pos="86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Relative TSR Percentile below 25th, then 0% of the Units shall be issuable as Shares.</w:t>
      </w:r>
    </w:p>
    <w:p>
      <w:pPr>
        <w:spacing w:after="0" w:line="156" w:lineRule="exact"/>
        <w:rPr>
          <w:rFonts w:ascii="Times New Roman" w:cs="Times New Roman" w:eastAsia="Times New Roman" w:hAnsi="Times New Roman"/>
          <w:sz w:val="13"/>
          <w:szCs w:val="13"/>
          <w:color w:val="auto"/>
        </w:rPr>
      </w:pPr>
    </w:p>
    <w:p>
      <w:pPr>
        <w:ind w:left="840" w:hanging="336"/>
        <w:spacing w:after="0"/>
        <w:tabs>
          <w:tab w:leader="none" w:pos="84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Relative TSR Percentile is above 25th but below 80th, then the number of issuable Shares shall be calculated by interpolation between the points listed above.</w:t>
      </w:r>
    </w:p>
    <w:p>
      <w:pPr>
        <w:spacing w:after="0" w:line="166" w:lineRule="exact"/>
        <w:rPr>
          <w:sz w:val="20"/>
          <w:szCs w:val="20"/>
          <w:color w:val="auto"/>
        </w:rPr>
      </w:pPr>
    </w:p>
    <w:p>
      <w:pPr>
        <w:ind w:left="420" w:right="20"/>
        <w:spacing w:after="0" w:line="266" w:lineRule="auto"/>
        <w:rPr>
          <w:sz w:val="20"/>
          <w:szCs w:val="20"/>
          <w:color w:val="auto"/>
        </w:rPr>
      </w:pPr>
      <w:r>
        <w:rPr>
          <w:rFonts w:ascii="Times New Roman" w:cs="Times New Roman" w:eastAsia="Times New Roman" w:hAnsi="Times New Roman"/>
          <w:sz w:val="13"/>
          <w:szCs w:val="13"/>
          <w:color w:val="auto"/>
        </w:rPr>
        <w:t>“Total Shareholder Return” or “TSR” means the change in the value of the applicable common stock over the Performance Period, taking into account the reinvestment of common dividends on the ex-dividend date. The calculation of the stock price appreciation component of TSR = (Ending Stock Price – Beginning Stock Price)/Beginning Stock Price.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“Beginning Stock Price” means the average Stock Price for the 20 trading days immediately preceding the first day of the Performance Period.</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“Ending Stock Price” means the average Stock Price for the 20 trading days immediately preceding and including the last day of the Performance Period.</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“Stock Price” means the closing price for the day as reported on the applicable exchange or market.</w:t>
      </w:r>
    </w:p>
    <w:p>
      <w:pPr>
        <w:sectPr>
          <w:pgSz w:w="11900" w:h="16838" w:orient="portrait"/>
          <w:cols w:equalWidth="0" w:num="1">
            <w:col w:w="11300"/>
          </w:cols>
          <w:pgMar w:left="300" w:top="987" w:right="29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3"/>
          <w:szCs w:val="13"/>
          <w:b w:val="1"/>
          <w:bCs w:val="1"/>
          <w:color w:val="auto"/>
        </w:rPr>
        <w:t>APPENDIX B</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PEER GROUP</w:t>
      </w:r>
    </w:p>
    <w:p>
      <w:pPr>
        <w:spacing w:after="0" w:line="3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“Peer Group” shall consist of the companies in the KBW Bank Index as of January 1, 2023, excluding custody banks, as shown below. For members of the Peer Group who fail, are acquired, or cease to have publicly-traded shares before the conclusion of the Performance Period, their TSR will be frozen as of the last date on which such company has publicly-traded shares and this TSR measurement will serve as their final TSR for the Performance Period. Members of the Peer Group that continue to operate as independent companies, but that are not a member of the KBW Bank Index at the conclusion of the Performance Period, will continue to be used in the Peer Group for purposes of the award determination or calculation through the full three-year Performance Period. Any new entrants to the KBW Bank Index after January 1, 2023 will not be considered members of the Peer Group for any award determination or calculation related to this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Bank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Citigroup</w:t>
      </w:r>
    </w:p>
    <w:p>
      <w:pPr>
        <w:spacing w:after="0" w:line="236" w:lineRule="auto"/>
        <w:rPr>
          <w:sz w:val="20"/>
          <w:szCs w:val="20"/>
          <w:color w:val="auto"/>
        </w:rPr>
      </w:pPr>
      <w:r>
        <w:rPr>
          <w:rFonts w:ascii="Times New Roman" w:cs="Times New Roman" w:eastAsia="Times New Roman" w:hAnsi="Times New Roman"/>
          <w:sz w:val="13"/>
          <w:szCs w:val="13"/>
          <w:color w:val="auto"/>
        </w:rPr>
        <w:t>Citizens Financial Group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Comerica</w:t>
      </w:r>
    </w:p>
    <w:p>
      <w:pPr>
        <w:spacing w:after="0" w:line="236" w:lineRule="auto"/>
        <w:rPr>
          <w:sz w:val="20"/>
          <w:szCs w:val="20"/>
          <w:color w:val="auto"/>
        </w:rPr>
      </w:pPr>
      <w:r>
        <w:rPr>
          <w:rFonts w:ascii="Times New Roman" w:cs="Times New Roman" w:eastAsia="Times New Roman" w:hAnsi="Times New Roman"/>
          <w:sz w:val="13"/>
          <w:szCs w:val="13"/>
          <w:color w:val="auto"/>
        </w:rPr>
        <w:t>East West Bancorp</w:t>
      </w:r>
    </w:p>
    <w:p>
      <w:pPr>
        <w:spacing w:after="0" w:line="232" w:lineRule="auto"/>
        <w:rPr>
          <w:sz w:val="20"/>
          <w:szCs w:val="20"/>
          <w:color w:val="auto"/>
        </w:rPr>
      </w:pPr>
      <w:r>
        <w:rPr>
          <w:rFonts w:ascii="Times New Roman" w:cs="Times New Roman" w:eastAsia="Times New Roman" w:hAnsi="Times New Roman"/>
          <w:sz w:val="13"/>
          <w:szCs w:val="13"/>
          <w:color w:val="auto"/>
        </w:rPr>
        <w:t>Fifth Third Bancorp</w:t>
      </w:r>
    </w:p>
    <w:p>
      <w:pPr>
        <w:spacing w:after="0"/>
        <w:rPr>
          <w:sz w:val="20"/>
          <w:szCs w:val="20"/>
          <w:color w:val="auto"/>
        </w:rPr>
      </w:pPr>
      <w:r>
        <w:rPr>
          <w:rFonts w:ascii="Times New Roman" w:cs="Times New Roman" w:eastAsia="Times New Roman" w:hAnsi="Times New Roman"/>
          <w:sz w:val="13"/>
          <w:szCs w:val="13"/>
          <w:color w:val="auto"/>
        </w:rPr>
        <w:t>First Republic</w:t>
      </w:r>
    </w:p>
    <w:p>
      <w:pPr>
        <w:spacing w:after="0" w:line="236" w:lineRule="auto"/>
        <w:rPr>
          <w:sz w:val="20"/>
          <w:szCs w:val="20"/>
          <w:color w:val="auto"/>
        </w:rPr>
      </w:pPr>
      <w:r>
        <w:rPr>
          <w:rFonts w:ascii="Times New Roman" w:cs="Times New Roman" w:eastAsia="Times New Roman" w:hAnsi="Times New Roman"/>
          <w:sz w:val="13"/>
          <w:szCs w:val="13"/>
          <w:color w:val="auto"/>
        </w:rPr>
        <w:t>Huntington Bancshares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JP Morgan Chase</w:t>
      </w:r>
    </w:p>
    <w:p>
      <w:pPr>
        <w:spacing w:after="0" w:line="236" w:lineRule="auto"/>
        <w:rPr>
          <w:sz w:val="20"/>
          <w:szCs w:val="20"/>
          <w:color w:val="auto"/>
        </w:rPr>
      </w:pPr>
      <w:r>
        <w:rPr>
          <w:rFonts w:ascii="Times New Roman" w:cs="Times New Roman" w:eastAsia="Times New Roman" w:hAnsi="Times New Roman"/>
          <w:sz w:val="13"/>
          <w:szCs w:val="13"/>
          <w:color w:val="auto"/>
        </w:rPr>
        <w:t>KeyCorp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M&amp;T Bank Corp</w:t>
      </w:r>
    </w:p>
    <w:p>
      <w:pPr>
        <w:spacing w:after="0" w:line="236" w:lineRule="auto"/>
        <w:rPr>
          <w:sz w:val="20"/>
          <w:szCs w:val="20"/>
          <w:color w:val="auto"/>
        </w:rPr>
      </w:pPr>
      <w:r>
        <w:rPr>
          <w:rFonts w:ascii="Times New Roman" w:cs="Times New Roman" w:eastAsia="Times New Roman" w:hAnsi="Times New Roman"/>
          <w:sz w:val="13"/>
          <w:szCs w:val="13"/>
          <w:color w:val="auto"/>
        </w:rPr>
        <w:t>PNC</w:t>
      </w:r>
    </w:p>
    <w:p>
      <w:pPr>
        <w:spacing w:after="0" w:line="232" w:lineRule="auto"/>
        <w:rPr>
          <w:sz w:val="20"/>
          <w:szCs w:val="20"/>
          <w:color w:val="auto"/>
        </w:rPr>
      </w:pPr>
      <w:r>
        <w:rPr>
          <w:rFonts w:ascii="Times New Roman" w:cs="Times New Roman" w:eastAsia="Times New Roman" w:hAnsi="Times New Roman"/>
          <w:sz w:val="13"/>
          <w:szCs w:val="13"/>
          <w:color w:val="auto"/>
        </w:rPr>
        <w:t>Regions</w:t>
      </w:r>
    </w:p>
    <w:p>
      <w:pPr>
        <w:spacing w:after="0"/>
        <w:rPr>
          <w:sz w:val="20"/>
          <w:szCs w:val="20"/>
          <w:color w:val="auto"/>
        </w:rPr>
      </w:pPr>
      <w:r>
        <w:rPr>
          <w:rFonts w:ascii="Times New Roman" w:cs="Times New Roman" w:eastAsia="Times New Roman" w:hAnsi="Times New Roman"/>
          <w:sz w:val="13"/>
          <w:szCs w:val="13"/>
          <w:color w:val="auto"/>
        </w:rPr>
        <w:t>Signature Bank</w:t>
      </w:r>
    </w:p>
    <w:p>
      <w:pPr>
        <w:spacing w:after="0" w:line="236" w:lineRule="auto"/>
        <w:rPr>
          <w:sz w:val="20"/>
          <w:szCs w:val="20"/>
          <w:color w:val="auto"/>
        </w:rPr>
      </w:pPr>
      <w:r>
        <w:rPr>
          <w:rFonts w:ascii="Times New Roman" w:cs="Times New Roman" w:eastAsia="Times New Roman" w:hAnsi="Times New Roman"/>
          <w:sz w:val="13"/>
          <w:szCs w:val="13"/>
          <w:color w:val="auto"/>
        </w:rPr>
        <w:t>SVB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Truist</w:t>
      </w:r>
    </w:p>
    <w:p>
      <w:pPr>
        <w:spacing w:after="0" w:line="236" w:lineRule="auto"/>
        <w:rPr>
          <w:sz w:val="20"/>
          <w:szCs w:val="20"/>
          <w:color w:val="auto"/>
        </w:rPr>
      </w:pPr>
      <w:r>
        <w:rPr>
          <w:rFonts w:ascii="Times New Roman" w:cs="Times New Roman" w:eastAsia="Times New Roman" w:hAnsi="Times New Roman"/>
          <w:sz w:val="13"/>
          <w:szCs w:val="13"/>
          <w:color w:val="auto"/>
        </w:rPr>
        <w:t>US Bancorp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Wells Fargo</w:t>
      </w:r>
    </w:p>
    <w:p>
      <w:pPr>
        <w:spacing w:after="0" w:line="236" w:lineRule="auto"/>
        <w:rPr>
          <w:sz w:val="20"/>
          <w:szCs w:val="20"/>
          <w:color w:val="auto"/>
        </w:rPr>
      </w:pPr>
      <w:r>
        <w:rPr>
          <w:rFonts w:ascii="Times New Roman" w:cs="Times New Roman" w:eastAsia="Times New Roman" w:hAnsi="Times New Roman"/>
          <w:sz w:val="13"/>
          <w:szCs w:val="13"/>
          <w:color w:val="auto"/>
        </w:rPr>
        <w:t>Western Alliance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Zions Bancorp</w:t>
      </w:r>
    </w:p>
    <w:p>
      <w:pPr>
        <w:sectPr>
          <w:pgSz w:w="11900" w:h="16838" w:orient="portrait"/>
          <w:cols w:equalWidth="0" w:num="1">
            <w:col w:w="11300"/>
          </w:cols>
          <w:pgMar w:left="300" w:top="987" w:right="29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3"/>
          <w:szCs w:val="13"/>
          <w:b w:val="1"/>
          <w:bCs w:val="1"/>
          <w:color w:val="auto"/>
        </w:rPr>
        <w:t>Exhibit 10.2.24</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2004 Stock Incentive Plan</w:t>
      </w:r>
    </w:p>
    <w:p>
      <w:pPr>
        <w:jc w:val="center"/>
        <w:spacing w:after="0"/>
        <w:rPr>
          <w:sz w:val="20"/>
          <w:szCs w:val="20"/>
          <w:color w:val="auto"/>
        </w:rPr>
      </w:pPr>
      <w:r>
        <w:rPr>
          <w:rFonts w:ascii="Times New Roman" w:cs="Times New Roman" w:eastAsia="Times New Roman" w:hAnsi="Times New Roman"/>
          <w:sz w:val="17"/>
          <w:szCs w:val="17"/>
          <w:color w:val="auto"/>
        </w:rPr>
        <w:t>Restricted Stock Unit Award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of Units: [# of Units]</w:t>
      </w:r>
    </w:p>
    <w:p>
      <w:pPr>
        <w:spacing w:after="0" w:line="327"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3"/>
          <w:szCs w:val="13"/>
          <w:color w:val="auto"/>
        </w:rPr>
        <w:t xml:space="preserve">THIS RESTRICTED STOCK UNIT AWARD AGREEMENT (this “Agreement”), dated January 26, 2023 (the “Date of Grant”), between CAPITAL ONE FINANCIAL CORPORATION, a Delaware corporation (“Capital One” or the “Company”), and </w:t>
      </w:r>
      <w:r>
        <w:rPr>
          <w:rFonts w:ascii="Times New Roman" w:cs="Times New Roman" w:eastAsia="Times New Roman" w:hAnsi="Times New Roman"/>
          <w:sz w:val="13"/>
          <w:szCs w:val="13"/>
          <w:b w:val="1"/>
          <w:bCs w:val="1"/>
          <w:color w:val="auto"/>
        </w:rPr>
        <w:t>[Full Name]</w:t>
      </w:r>
      <w:r>
        <w:rPr>
          <w:rFonts w:ascii="Times New Roman" w:cs="Times New Roman" w:eastAsia="Times New Roman" w:hAnsi="Times New Roman"/>
          <w:sz w:val="13"/>
          <w:szCs w:val="13"/>
          <w:color w:val="auto"/>
        </w:rPr>
        <w:t xml:space="preserve"> (“you”), is made pursuant and subject to the provisions of the Company’s 2004 Stock Incentive Plan, as amended and restated (the “Plan”), and all capitalized terms used herein that are defined in the Plan shall have the same meaning given to them in the Plan unless otherwise defined herein. For purposes of this Agreement, “Employer” means the entity (i.e., Capital One, Subsidiary or Affiliate) that employs you.</w:t>
      </w:r>
    </w:p>
    <w:p>
      <w:pPr>
        <w:spacing w:after="0" w:line="1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3"/>
          <w:szCs w:val="13"/>
          <w:color w:val="auto"/>
        </w:rPr>
        <w:t>WHEREAS, Article 8 of the Plan provides for the award from time to time in the discretion of the Committee of Restricted Stock Units, representing shares of common stock of Capital One, $.01 par value per share (“Common Stock”), the vesting and issuance of which is subject to continued employment with Capital One or its Subsidiaries or Affiliates (as applicable) or other conditions;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W I T N E S S E T H</w:t>
      </w:r>
      <w:r>
        <w:rPr>
          <w:rFonts w:ascii="Times New Roman" w:cs="Times New Roman" w:eastAsia="Times New Roman" w:hAnsi="Times New Roman"/>
          <w:sz w:val="13"/>
          <w:szCs w:val="13"/>
          <w:color w:val="auto"/>
        </w:rPr>
        <w:t xml:space="preserve"> :</w:t>
      </w:r>
    </w:p>
    <w:p>
      <w:pPr>
        <w:spacing w:after="0" w:line="157" w:lineRule="exact"/>
        <w:rPr>
          <w:sz w:val="20"/>
          <w:szCs w:val="20"/>
          <w:color w:val="auto"/>
        </w:rPr>
      </w:pPr>
    </w:p>
    <w:p>
      <w:pPr>
        <w:ind w:firstLine="208"/>
        <w:spacing w:after="0" w:line="266" w:lineRule="auto"/>
        <w:tabs>
          <w:tab w:leader="none" w:pos="432"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Restricted Stock</w:t>
      </w:r>
      <w:r>
        <w:rPr>
          <w:rFonts w:ascii="Times New Roman" w:cs="Times New Roman" w:eastAsia="Times New Roman" w:hAnsi="Times New Roman"/>
          <w:sz w:val="13"/>
          <w:szCs w:val="13"/>
          <w:color w:val="auto"/>
        </w:rPr>
        <w:t xml:space="preserve"> Units. Capital One hereby grants to you [# of Units] Restricted Stock Units (the “Restricted Stock Units”). The Restricted Stock Units shall vest, and the underlying shares of Common Stock (such underlying shares, the “Shares”) shall be issuable, only in accordance with the provisions of this Agreement and of the Plan.</w:t>
      </w:r>
    </w:p>
    <w:p>
      <w:pPr>
        <w:spacing w:after="0" w:line="12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Issuance of Common Stock</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ind w:left="420" w:right="20" w:firstLine="216"/>
        <w:spacing w:after="0" w:line="28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Except as provided in Sections 2(b), 2(c) and 2(d) and subject to Section 13(a) and 13(b) below and to the extent not previously vested or forfeited as provided herein, the Restricted Stock Units shall vest according to the following schedule:</w:t>
      </w:r>
    </w:p>
    <w:p>
      <w:pPr>
        <w:spacing w:after="0" w:line="10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color w:val="auto"/>
        </w:rPr>
        <w:t>One-third of the Restricted Stock Units on February 15, 2024</w:t>
      </w:r>
    </w:p>
    <w:p>
      <w:pPr>
        <w:spacing w:after="0" w:line="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3"/>
          <w:szCs w:val="13"/>
          <w:color w:val="auto"/>
        </w:rPr>
        <w:t>One-third of the Restricted Stock Units on February 15, 2025</w:t>
      </w:r>
    </w:p>
    <w:p>
      <w:pPr>
        <w:ind w:left="4020"/>
        <w:spacing w:after="0"/>
        <w:rPr>
          <w:sz w:val="20"/>
          <w:szCs w:val="20"/>
          <w:color w:val="auto"/>
        </w:rPr>
      </w:pPr>
      <w:r>
        <w:rPr>
          <w:rFonts w:ascii="Times New Roman" w:cs="Times New Roman" w:eastAsia="Times New Roman" w:hAnsi="Times New Roman"/>
          <w:sz w:val="13"/>
          <w:szCs w:val="13"/>
          <w:color w:val="auto"/>
        </w:rPr>
        <w:t>One-third of the Restricted Stock Units on February 15, 2026</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Each of the immediately above dates shall be a “Scheduled Vesting Date.”</w:t>
      </w:r>
    </w:p>
    <w:p>
      <w:pPr>
        <w:spacing w:after="0" w:line="166" w:lineRule="exact"/>
        <w:rPr>
          <w:sz w:val="20"/>
          <w:szCs w:val="20"/>
          <w:color w:val="auto"/>
        </w:rPr>
      </w:pPr>
    </w:p>
    <w:p>
      <w:pPr>
        <w:ind w:left="860" w:hanging="220"/>
        <w:spacing w:after="0"/>
        <w:tabs>
          <w:tab w:leader="none" w:pos="86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Termination of Employment</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860" w:firstLine="146"/>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Except as provided in Section 2(b)(ii), 2(b)(iii), 2(b)(iv) and 2(d), upon your termination of employment with Capital One for any reason prior to the Scheduled Vesting Date of such Restricted Stock Units, all Restricted Stock Units shall immediately be forfeited (to the extent not previously vested or forfeited as provided herein). For the avoidance of doubt, a transfer of employment to an affiliate of Capital One shall not constitute a termination of employment for purposes of this Section 2(b)</w:t>
      </w:r>
    </w:p>
    <w:p>
      <w:pPr>
        <w:sectPr>
          <w:pgSz w:w="11900" w:h="16838" w:orient="portrait"/>
          <w:cols w:equalWidth="0" w:num="1">
            <w:col w:w="11300"/>
          </w:cols>
          <w:pgMar w:left="300" w:top="987" w:right="299" w:bottom="1440" w:gutter="0" w:footer="0" w:header="0"/>
        </w:sectPr>
      </w:pPr>
    </w:p>
    <w:bookmarkStart w:id="271" w:name="page272"/>
    <w:bookmarkEnd w:id="271"/>
    <w:p>
      <w:pPr>
        <w:ind w:left="220" w:right="20" w:firstLine="106"/>
        <w:spacing w:after="0" w:line="266" w:lineRule="auto"/>
        <w:tabs>
          <w:tab w:leader="none" w:pos="652"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with Capital One as a result of your death or Disability, the Restricted Stock Units shall immediately vest, and the Shares shall be issuable in accordance with this Agreement, upon such termination of employment (to the extent not previously vested or forfeited as provided herein).</w:t>
      </w:r>
    </w:p>
    <w:p>
      <w:pPr>
        <w:spacing w:after="0" w:line="127" w:lineRule="exact"/>
        <w:rPr>
          <w:rFonts w:ascii="Times New Roman" w:cs="Times New Roman" w:eastAsia="Times New Roman" w:hAnsi="Times New Roman"/>
          <w:sz w:val="13"/>
          <w:szCs w:val="13"/>
          <w:color w:val="auto"/>
        </w:rPr>
      </w:pPr>
    </w:p>
    <w:p>
      <w:pPr>
        <w:ind w:left="220" w:right="20" w:firstLine="69"/>
        <w:spacing w:after="0" w:line="266" w:lineRule="auto"/>
        <w:tabs>
          <w:tab w:leader="none" w:pos="652"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with Capital One as a result of Retirement, the Restricted Stock Units shall continue to vest on the Scheduled Vesting Dates (to the extent not previously vested or forfeited as provided herein) and remain subject to reduction pursuant to Section 13(a) and 13(b).</w:t>
      </w:r>
    </w:p>
    <w:p>
      <w:pPr>
        <w:spacing w:after="0" w:line="127" w:lineRule="exact"/>
        <w:rPr>
          <w:rFonts w:ascii="Times New Roman" w:cs="Times New Roman" w:eastAsia="Times New Roman" w:hAnsi="Times New Roman"/>
          <w:sz w:val="13"/>
          <w:szCs w:val="13"/>
          <w:color w:val="auto"/>
        </w:rPr>
      </w:pPr>
    </w:p>
    <w:p>
      <w:pPr>
        <w:jc w:val="both"/>
        <w:ind w:left="220" w:firstLine="76"/>
        <w:spacing w:after="0" w:line="241" w:lineRule="auto"/>
        <w:tabs>
          <w:tab w:leader="none" w:pos="643"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2(b)(v), upon termination of your employment by Capital One not for Cause (as defined below), you will receive continued vesting of the Restricted Stock Units scheduled to vest on each of the Scheduled Vesting Dates as if a termination of employment had not occurred subject to (A) your execution of a separation agreement and/or general release of claims within a period of time as required by Capital One (in a form as prescribed by Capital One, a “Release”), (B) such Release becoming effective and irrevocable in accordance with its terms and (C) your continued compliance with the terms of such Release through each Scheduled Vesting Date. To the extent a Scheduled Vesting Date occurs prior to the expiration of the period of time Capital One provides you to sign the Release, you shall be entitled to vesting of the applicable portion of your Restricted Stock Units on such Scheduled Vesting Date even if you have not yet executed the Release. For avoidance of doubt, such continued vesting shall remain subject to reduction pursuant to Section 13(a) and 13(b) and shall immediately cease (and any then-unvested Restricted Stock Units shall be immediately forfeited) in the event that you violate the terms and conditions of the Release.</w:t>
      </w:r>
    </w:p>
    <w:p>
      <w:pPr>
        <w:spacing w:after="0" w:line="146" w:lineRule="exact"/>
        <w:rPr>
          <w:rFonts w:ascii="Times New Roman" w:cs="Times New Roman" w:eastAsia="Times New Roman" w:hAnsi="Times New Roman"/>
          <w:sz w:val="13"/>
          <w:szCs w:val="13"/>
          <w:color w:val="auto"/>
        </w:rPr>
      </w:pPr>
    </w:p>
    <w:p>
      <w:pPr>
        <w:jc w:val="both"/>
        <w:ind w:left="220" w:firstLine="113"/>
        <w:spacing w:after="0" w:line="241" w:lineRule="auto"/>
        <w:tabs>
          <w:tab w:leader="none" w:pos="643"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right to continued vesting pursuant to Section 2(b)(iv) is expressly conditioned on your compliance with any and all restrictive covenant agreements or provisions to which you are a party with Capital One including, but not limited to, those with respect to non-competition, confidentiality and work product, non-solicitation of employees/no hire of employees, non-solicitation of customers, and garden transition period or leave (collectively, “Restrictive Covenant Agreements”). You understand and agree that any actual or threatened action by you in violation of any Restrictive Covenant Agreements shall forfeit your right to continued post-employment vesting as of the date of such actual or threatened action by you in violation of such Restrictive Covenant Agreement. You further understand and agree that any forfeiture of continued vesting rights under this Agreement, or waiver thereof, shall not limit Capital One’s rights to pursue any and all legal and equitable remedies and damages available for your breach of the Restrictive Covenant Agreements under the terms of such agreements and applicable law, including but not limited to, injunctive relief, monetary damages, costs and fees.</w:t>
      </w:r>
    </w:p>
    <w:p>
      <w:pPr>
        <w:spacing w:after="0" w:line="146" w:lineRule="exact"/>
        <w:rPr>
          <w:rFonts w:ascii="Times New Roman" w:cs="Times New Roman" w:eastAsia="Times New Roman" w:hAnsi="Times New Roman"/>
          <w:sz w:val="13"/>
          <w:szCs w:val="13"/>
          <w:color w:val="auto"/>
        </w:rPr>
      </w:pPr>
    </w:p>
    <w:p>
      <w:pPr>
        <w:ind w:left="200" w:hanging="200"/>
        <w:spacing w:after="0"/>
        <w:tabs>
          <w:tab w:leader="none" w:pos="200"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 Schedule Upon Becoming Subject to Withholding</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220" w:firstLine="142"/>
        <w:spacing w:after="0" w:line="247" w:lineRule="auto"/>
        <w:tabs>
          <w:tab w:leader="none" w:pos="652" w:val="left"/>
        </w:tabs>
        <w:numPr>
          <w:ilvl w:val="1"/>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determined by the Committee or the independent members of the board of directors of the Company (the “Board”), as applicable, and to the extent permitted or required by law, Capital One may determine, in its sole discretion, (A) that you have become subject to withholding under applicable tax laws at a time when Restricted Stock Units are not otherwise vesting pursuant to Section 2, and (B) that a portion of the Restricted Stock Units shall vest, only and to the extent sufficient, if sold at Fair Market Value, on the date of such determination, to provide for the payment of any tax liability in accordance with applicable tax laws. The number of Restricted Stock Units vesting pursuant to the preceding sentence shall be rounded up to the nearest whole</w:t>
      </w:r>
    </w:p>
    <w:p>
      <w:pPr>
        <w:sectPr>
          <w:pgSz w:w="11900" w:h="16838" w:orient="portrait"/>
          <w:cols w:equalWidth="0" w:num="1">
            <w:col w:w="10660"/>
          </w:cols>
          <w:pgMar w:left="940" w:top="989" w:right="299" w:bottom="1440" w:gutter="0" w:footer="0" w:header="0"/>
        </w:sectPr>
      </w:pPr>
    </w:p>
    <w:bookmarkStart w:id="272" w:name="page273"/>
    <w:bookmarkEnd w:id="272"/>
    <w:p>
      <w:pPr>
        <w:ind w:left="220"/>
        <w:spacing w:after="0" w:line="266" w:lineRule="auto"/>
        <w:rPr>
          <w:sz w:val="20"/>
          <w:szCs w:val="20"/>
          <w:color w:val="auto"/>
        </w:rPr>
      </w:pPr>
      <w:r>
        <w:rPr>
          <w:rFonts w:ascii="Times New Roman" w:cs="Times New Roman" w:eastAsia="Times New Roman" w:hAnsi="Times New Roman"/>
          <w:sz w:val="13"/>
          <w:szCs w:val="13"/>
          <w:color w:val="auto"/>
        </w:rPr>
        <w:t>Restricted Stock Unit. It is understood that the remaining portion of the Restricted Stock Units shall continue to vest on the Scheduled Vesting Dates as provided herein (to the extent not previously vested or forfeited as provided herein).</w:t>
      </w:r>
    </w:p>
    <w:p>
      <w:pPr>
        <w:spacing w:after="0" w:line="128" w:lineRule="exact"/>
        <w:rPr>
          <w:sz w:val="20"/>
          <w:szCs w:val="20"/>
          <w:color w:val="auto"/>
        </w:rPr>
      </w:pPr>
    </w:p>
    <w:p>
      <w:pPr>
        <w:ind w:left="220" w:right="20" w:firstLine="106"/>
        <w:spacing w:after="0" w:line="266" w:lineRule="auto"/>
        <w:tabs>
          <w:tab w:leader="none" w:pos="652" w:val="left"/>
        </w:tabs>
        <w:numPr>
          <w:ilvl w:val="1"/>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of this Agreement to the contrary, Capital One will take all necessary steps to withhold the amount determined pursuant to the immediately foregoing paragraph in satisfaction of any applicable tax withholding liability.</w:t>
      </w:r>
    </w:p>
    <w:p>
      <w:pPr>
        <w:spacing w:after="0" w:line="127" w:lineRule="exact"/>
        <w:rPr>
          <w:rFonts w:ascii="Times New Roman" w:cs="Times New Roman" w:eastAsia="Times New Roman" w:hAnsi="Times New Roman"/>
          <w:sz w:val="13"/>
          <w:szCs w:val="13"/>
          <w:color w:val="auto"/>
        </w:rPr>
      </w:pPr>
    </w:p>
    <w:p>
      <w:pPr>
        <w:jc w:val="both"/>
        <w:ind w:left="-220" w:firstLine="220"/>
        <w:spacing w:after="0" w:line="241" w:lineRule="auto"/>
        <w:tabs>
          <w:tab w:leader="none" w:pos="212"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Change of Control</w:t>
      </w:r>
      <w:r>
        <w:rPr>
          <w:rFonts w:ascii="Times New Roman" w:cs="Times New Roman" w:eastAsia="Times New Roman" w:hAnsi="Times New Roman"/>
          <w:sz w:val="13"/>
          <w:szCs w:val="13"/>
          <w:color w:val="auto"/>
        </w:rPr>
        <w:t>. Upon termination of your employment by Capital One without Cause or by you for Good Reason (each as defined below), in either case on or prior to the second anniversary of the occurrence of a Change of Control of Capital One, then, notwithstanding anything herein to the contrary, the Restricted Stock Units shall vest and the Shares (as may be adjusted in accordance with Section 4.4 of the Plan) shall be issuable in accordance with this Agreement immediately upon the occurrence of your termination of employment following such Change of Control (to the extent not previously vested or forfeited as provided herein); provided, however, that if the Restricted Stock Units are considered deferred compensation under Section 409A of the Code and not exempt from Section 409A of the Code as a short-term deferral or otherwise, and you are a “specified employee,” as defined in and pursuant to Reg. Section 1.409A 1(i) or any successor regulation, on the date of any such termination of employment without Cause or for Good Reason, you will not be entitled to such vesting prior to the earlier of (i) the date which is six months from the date of your “separation from service” (as defined in Reg. Section 1.409A 1(h) or any successor regulation) as a result of such termination and (ii) your death.</w:t>
      </w:r>
    </w:p>
    <w:p>
      <w:pPr>
        <w:spacing w:after="0" w:line="146" w:lineRule="exact"/>
        <w:rPr>
          <w:rFonts w:ascii="Times New Roman" w:cs="Times New Roman" w:eastAsia="Times New Roman" w:hAnsi="Times New Roman"/>
          <w:sz w:val="13"/>
          <w:szCs w:val="13"/>
          <w:color w:val="auto"/>
        </w:rPr>
      </w:pPr>
    </w:p>
    <w:p>
      <w:pPr>
        <w:ind w:left="200" w:hanging="200"/>
        <w:spacing w:after="0"/>
        <w:tabs>
          <w:tab w:leader="none" w:pos="20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220" w:firstLine="142"/>
        <w:spacing w:after="0"/>
        <w:tabs>
          <w:tab w:leader="none" w:pos="652"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“Cause” shall mean (1) the willful and continued failure to perform substantially your duties with the Company or any Affiliate (other than any such failure resulting from incapacity due to physical or mental illness or following your delivery of a Notice of Termination (as defined below) for Good Reason), after a written demand for substantial performance is delivered to you by the Board or the Chief Executive Officer of the Company that specifically identifies the manner in which the Board or the Chief Executive Officer of the Company believes that you have not substantially performed your duties, or (2) the willful engaging by you in illegal conduct or gross misconduct that is materially and demonstrably injurious to the Company and/or its Affiliates. No act, or failure to act, on your part shall be considered “willful” unless it is done, or omitted to be done, by you in bad faith or without reasonable belief that your action or omission was in the best interests of the Company and/or its Affiliates. Any act, or failure to act, based upon (A) authority given pursuant to a resolution duly adopted by the Board, or if the Company is not the ultimate parent corporation of the Employer and is not publicly-traded, the board of directors (or equivalent management body) of the ultimate parent of the Employer (the “Applicable Board”), (B) the instructions of the Chief Executive Officer of the Company (unless you are the Chief Executive Officer at the time of any such instruction) or (C) the advice of counsel for the Company shall be conclusively presumed to be done, or omitted to be done, by you in good faith and in the best interests of the Company and/or its Affiliates. The cessation of your employment shall not be deemed to be for Cause unless and until there shall have been delivered to you a copy of a resolution duly adopted by the affirmative vote of not less than three-quarters of the entire membership of the Applicable Board (excluding you, if you are a member of the Applicable Board) at a meeting of the Applicable Board called and held for such purpose (after reasonable notice is provided to you and you are given an</w:t>
      </w:r>
    </w:p>
    <w:p>
      <w:pPr>
        <w:sectPr>
          <w:pgSz w:w="11900" w:h="16838" w:orient="portrait"/>
          <w:cols w:equalWidth="0" w:num="1">
            <w:col w:w="10660"/>
          </w:cols>
          <w:pgMar w:left="940" w:top="989" w:right="299" w:bottom="1440" w:gutter="0" w:footer="0" w:header="0"/>
        </w:sectPr>
      </w:pPr>
    </w:p>
    <w:bookmarkStart w:id="273" w:name="page274"/>
    <w:bookmarkEnd w:id="273"/>
    <w:p>
      <w:pPr>
        <w:ind w:left="652" w:right="20"/>
        <w:spacing w:after="0" w:line="266" w:lineRule="auto"/>
        <w:rPr>
          <w:sz w:val="20"/>
          <w:szCs w:val="20"/>
          <w:color w:val="auto"/>
        </w:rPr>
      </w:pPr>
      <w:r>
        <w:rPr>
          <w:rFonts w:ascii="Times New Roman" w:cs="Times New Roman" w:eastAsia="Times New Roman" w:hAnsi="Times New Roman"/>
          <w:sz w:val="13"/>
          <w:szCs w:val="13"/>
          <w:color w:val="auto"/>
        </w:rPr>
        <w:t>opportunity, together with your counsel, to be heard before the Applicable Board), finding that, in the good faith opinion of the Applicable Board, you are guilty of the conduct described in this Section 2(e)(i), and specifying the particulars thereof in detail.</w:t>
      </w:r>
    </w:p>
    <w:p>
      <w:pPr>
        <w:spacing w:after="0" w:line="128" w:lineRule="exact"/>
        <w:rPr>
          <w:sz w:val="20"/>
          <w:szCs w:val="20"/>
          <w:color w:val="auto"/>
        </w:rPr>
      </w:pPr>
    </w:p>
    <w:p>
      <w:pPr>
        <w:jc w:val="both"/>
        <w:ind w:left="652" w:firstLine="106"/>
        <w:spacing w:after="0" w:line="241" w:lineRule="auto"/>
        <w:tabs>
          <w:tab w:leader="none" w:pos="1084"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“Good Reason” shall mean (1) the assignment to you of any duties inconsistent in any respect with your position (including status, offices, titles and reporting requirements), authority, duties or responsibilities, or any action by the Company that results in a diminution in such position, authority, duties or responsibilities, excluding for this purpose an isolated, insubstantial and inadvertent action not taken in bad faith and that is remedied by the Company promptly after receipt of notice thereof given by you; (2) any failure by the Company to pay your compensation owed other than an isolated, insubstantial and inadvertent failure not occurring in bad faith and that is remedied by the Company promptly after receipt of notice thereof given by you; (3) the Company’s requiring you (I) to be based at any office or location more than 35 miles from the office or location at which you were required to work as of the date of this Agreement or (II) to travel on Company business to a substantially greater extent than required during the 120-day period immediately prior to the date the Change of Control occurs; or (4) any other action or inaction that constitutes a material breach by the Company of this Agreement or any employment agreement. For purposes of this Section 2(e)(ii) of this Agreement, any good faith determination of Good Reason made by you shall be conclusive. Your mental or physical incapacity following the occurrence of an event described above in clauses (1) through (4) shall not affect your ability to terminate employment for Good Reason.</w:t>
      </w:r>
    </w:p>
    <w:p>
      <w:pPr>
        <w:spacing w:after="0" w:line="143" w:lineRule="exact"/>
        <w:rPr>
          <w:rFonts w:ascii="Times New Roman" w:cs="Times New Roman" w:eastAsia="Times New Roman" w:hAnsi="Times New Roman"/>
          <w:sz w:val="13"/>
          <w:szCs w:val="13"/>
          <w:color w:val="auto"/>
        </w:rPr>
      </w:pPr>
    </w:p>
    <w:p>
      <w:pPr>
        <w:jc w:val="both"/>
        <w:ind w:left="652" w:firstLine="69"/>
        <w:spacing w:after="0" w:line="244" w:lineRule="auto"/>
        <w:tabs>
          <w:tab w:leader="none" w:pos="1084"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termination by the Company for Cause, or by you for Good Reason, shall be communicated by Notice of Termination to the other party. “Notice of Termination” means a written notice that (1) indicates the specific termination provision in this Agreement relied upon, (2) to the extent applicable, sets forth in reasonable detail the facts and circumstances claimed to provide a basis for termination of your employment under the provision so indicated, and (3) if the Date of Termination (as defined herein) is other than the date of receipt of such notice, specifies the Date of Termination (which Date of Termination shall be not more than 30 days after the giving of such notice). The failure by you or the Company to set forth in the Notice of Termination any fact or circumstance that contributes to a showing of Good Reason or Cause shall not waive any right of you or the Company, respectively, hereunder or preclude you or the Company, respectively, from asserting such fact or circumstance in enforcing your or the Company’s respective rights hereunder.</w:t>
      </w:r>
    </w:p>
    <w:p>
      <w:pPr>
        <w:spacing w:after="0" w:line="132" w:lineRule="exact"/>
        <w:rPr>
          <w:rFonts w:ascii="Times New Roman" w:cs="Times New Roman" w:eastAsia="Times New Roman" w:hAnsi="Times New Roman"/>
          <w:sz w:val="13"/>
          <w:szCs w:val="13"/>
          <w:color w:val="auto"/>
        </w:rPr>
      </w:pPr>
    </w:p>
    <w:p>
      <w:pPr>
        <w:jc w:val="both"/>
        <w:ind w:left="652" w:firstLine="76"/>
        <w:spacing w:after="0" w:line="247" w:lineRule="auto"/>
        <w:tabs>
          <w:tab w:leader="none" w:pos="1075"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of Termination” means, if your employment is terminated by the Company for Cause, or by you for Good Reason, the date of receipt of the Notice of Termination or such later date specified in the Notice of Termination, as the case may be. You and the Company shall take all steps necessary to ensure that any termination described in this Section 2(e) constitutes a “separation from service” within the meaning of Section 409A of the Code, and notwithstanding anything contained herein to the contrary, the date on which such separation from service takes place shall be the “Date of Termination.”</w:t>
      </w:r>
    </w:p>
    <w:p>
      <w:pPr>
        <w:spacing w:after="0" w:line="140" w:lineRule="exact"/>
        <w:rPr>
          <w:rFonts w:ascii="Times New Roman" w:cs="Times New Roman" w:eastAsia="Times New Roman" w:hAnsi="Times New Roman"/>
          <w:sz w:val="13"/>
          <w:szCs w:val="13"/>
          <w:color w:val="auto"/>
        </w:rPr>
      </w:pPr>
    </w:p>
    <w:p>
      <w:pPr>
        <w:jc w:val="both"/>
        <w:ind w:left="-208" w:firstLine="208"/>
        <w:spacing w:after="0" w:line="256" w:lineRule="auto"/>
        <w:tabs>
          <w:tab w:leader="none" w:pos="224" w:val="left"/>
        </w:tabs>
        <w:numPr>
          <w:ilvl w:val="0"/>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w:t>
      </w:r>
      <w:r>
        <w:rPr>
          <w:rFonts w:ascii="Times New Roman" w:cs="Times New Roman" w:eastAsia="Times New Roman" w:hAnsi="Times New Roman"/>
          <w:sz w:val="13"/>
          <w:szCs w:val="13"/>
          <w:color w:val="auto"/>
        </w:rPr>
        <w:t>. Subject to the provisions of Sections 2 and 12 hereof, the rights represented by the Restricted Stock Units shall not be assignable or transferable, or otherwise alienated or hypothecated, under any circumstances. Any purported or attempted transfer of such Restricted Stock Units or such rights shall be null and void and shall result in the immediate forfeiture and cancellation of the Restricted Stock Units.</w:t>
      </w:r>
    </w:p>
    <w:p>
      <w:pPr>
        <w:sectPr>
          <w:pgSz w:w="11900" w:h="16838" w:orient="portrait"/>
          <w:cols w:equalWidth="0" w:num="1">
            <w:col w:w="11092"/>
          </w:cols>
          <w:pgMar w:left="508" w:top="989" w:right="299" w:bottom="1440" w:gutter="0" w:footer="0" w:header="0"/>
        </w:sectPr>
      </w:pPr>
    </w:p>
    <w:bookmarkStart w:id="274" w:name="page275"/>
    <w:bookmarkEnd w:id="274"/>
    <w:p>
      <w:pPr>
        <w:jc w:val="both"/>
        <w:ind w:left="-208" w:firstLine="208"/>
        <w:spacing w:after="0" w:line="247" w:lineRule="auto"/>
        <w:tabs>
          <w:tab w:leader="none" w:pos="224"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and Waiver</w:t>
      </w:r>
      <w:r>
        <w:rPr>
          <w:rFonts w:ascii="Times New Roman" w:cs="Times New Roman" w:eastAsia="Times New Roman" w:hAnsi="Times New Roman"/>
          <w:sz w:val="13"/>
          <w:szCs w:val="13"/>
          <w:color w:val="auto"/>
        </w:rPr>
        <w:t>. Except as provided in the Plan with respect to determinations of the Board or the Committee and subject to the Committee’s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30" w:lineRule="exact"/>
        <w:rPr>
          <w:rFonts w:ascii="Times New Roman" w:cs="Times New Roman" w:eastAsia="Times New Roman" w:hAnsi="Times New Roman"/>
          <w:sz w:val="13"/>
          <w:szCs w:val="13"/>
          <w:color w:val="auto"/>
        </w:rPr>
      </w:pPr>
    </w:p>
    <w:p>
      <w:pPr>
        <w:ind w:left="-208" w:firstLine="208"/>
        <w:spacing w:after="0" w:line="281" w:lineRule="auto"/>
        <w:tabs>
          <w:tab w:leader="none" w:pos="224"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Subject to Section 2(c), if you become subject to withholding under applicable tax laws, you agree to pay Capital One the amount required to be withheld by one or more of the following methods:</w:t>
      </w:r>
    </w:p>
    <w:p>
      <w:pPr>
        <w:spacing w:after="0" w:line="108" w:lineRule="exact"/>
        <w:rPr>
          <w:rFonts w:ascii="Times New Roman" w:cs="Times New Roman" w:eastAsia="Times New Roman" w:hAnsi="Times New Roman"/>
          <w:sz w:val="13"/>
          <w:szCs w:val="13"/>
          <w:color w:val="auto"/>
        </w:rPr>
      </w:pPr>
    </w:p>
    <w:p>
      <w:pPr>
        <w:ind w:left="212" w:firstLine="220"/>
        <w:spacing w:after="0" w:line="266" w:lineRule="auto"/>
        <w:tabs>
          <w:tab w:leader="none" w:pos="636"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will automatically withhold the number of Shares having a Fair Market Value on the date the tax withholding obligation is to be determined equal to the amount required to be withheld (as determined pursuant to the Plan), rounded up to the nearest whole Share; or</w:t>
      </w:r>
    </w:p>
    <w:p>
      <w:pPr>
        <w:spacing w:after="0" w:line="127"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such other methods as Capital One may make available from time to time.</w:t>
      </w:r>
    </w:p>
    <w:p>
      <w:pPr>
        <w:spacing w:after="0" w:line="156" w:lineRule="exact"/>
        <w:rPr>
          <w:rFonts w:ascii="Times New Roman" w:cs="Times New Roman" w:eastAsia="Times New Roman" w:hAnsi="Times New Roman"/>
          <w:sz w:val="13"/>
          <w:szCs w:val="13"/>
          <w:color w:val="auto"/>
        </w:rPr>
      </w:pPr>
    </w:p>
    <w:p>
      <w:pPr>
        <w:jc w:val="both"/>
        <w:ind w:left="-208" w:firstLine="208"/>
        <w:spacing w:after="0" w:line="248" w:lineRule="auto"/>
        <w:tabs>
          <w:tab w:leader="none" w:pos="224"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 Equivalents</w:t>
      </w:r>
      <w:r>
        <w:rPr>
          <w:rFonts w:ascii="Times New Roman" w:cs="Times New Roman" w:eastAsia="Times New Roman" w:hAnsi="Times New Roman"/>
          <w:sz w:val="13"/>
          <w:szCs w:val="13"/>
          <w:color w:val="auto"/>
        </w:rPr>
        <w:t>. With respect to the Restricted Stock Units, you shall be credited with dividend equivalents as and when dividends are paid to holders of shares of Common Stock. By accepting this award, you agree that such dividend equivalents shall accumulate and be paid to you in cash (without interest) as and when the Restricted Stock Units from which such dividend equivalents are derived vest pursuant to Section 2. You further agree that all such dividend equivalents shall be subject to the same vesting requirements that apply to the Restricted Stock Units from which such dividend equivalents are derived.</w:t>
      </w:r>
    </w:p>
    <w:p>
      <w:pPr>
        <w:spacing w:after="0" w:line="292" w:lineRule="exact"/>
        <w:rPr>
          <w:rFonts w:ascii="Times New Roman" w:cs="Times New Roman" w:eastAsia="Times New Roman" w:hAnsi="Times New Roman"/>
          <w:sz w:val="13"/>
          <w:szCs w:val="13"/>
          <w:color w:val="auto"/>
        </w:rPr>
      </w:pPr>
    </w:p>
    <w:p>
      <w:pPr>
        <w:jc w:val="both"/>
        <w:ind w:left="-208" w:firstLine="208"/>
        <w:spacing w:after="0" w:line="256" w:lineRule="auto"/>
        <w:tabs>
          <w:tab w:leader="none" w:pos="224"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United States federal law and, to the extent not preempted thereby, by the laws of the State of Delaware. Capital One and you hereby consent and submit to the personal jurisdiction and venue of any state or federal court located in any city or county of Delaware for resolution of any and all claims, causes of action or disputes arising out of this Agreement. You and Capital One agree that the court shall not set aside the Committee’s determinations unless there is clear and convincing evidence of bad faith or fraud.</w:t>
      </w:r>
    </w:p>
    <w:p>
      <w:pPr>
        <w:spacing w:after="0" w:line="124" w:lineRule="exact"/>
        <w:rPr>
          <w:rFonts w:ascii="Times New Roman" w:cs="Times New Roman" w:eastAsia="Times New Roman" w:hAnsi="Times New Roman"/>
          <w:sz w:val="13"/>
          <w:szCs w:val="13"/>
          <w:color w:val="auto"/>
        </w:rPr>
      </w:pPr>
    </w:p>
    <w:p>
      <w:pPr>
        <w:ind w:left="-208" w:right="20" w:firstLine="208"/>
        <w:spacing w:after="0" w:line="281" w:lineRule="auto"/>
        <w:tabs>
          <w:tab w:leader="none" w:pos="224"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In the event of any conflict between the provisions of the Plan as in effect on the Date of Grant and the provisions of this Agreement, except as provided otherwise herein, the provisions of the Plan shall govern. All references herein to the Plan shall mean the Plan as in effect on the date hereof.</w:t>
      </w:r>
    </w:p>
    <w:p>
      <w:pPr>
        <w:spacing w:after="0" w:line="108" w:lineRule="exact"/>
        <w:rPr>
          <w:rFonts w:ascii="Times New Roman" w:cs="Times New Roman" w:eastAsia="Times New Roman" w:hAnsi="Times New Roman"/>
          <w:sz w:val="13"/>
          <w:szCs w:val="13"/>
          <w:color w:val="auto"/>
        </w:rPr>
      </w:pPr>
    </w:p>
    <w:p>
      <w:pPr>
        <w:ind w:left="-208" w:right="20" w:firstLine="208"/>
        <w:spacing w:after="0" w:line="266" w:lineRule="auto"/>
        <w:tabs>
          <w:tab w:leader="none" w:pos="224"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Bound by Plan</w:t>
      </w:r>
      <w:r>
        <w:rPr>
          <w:rFonts w:ascii="Times New Roman" w:cs="Times New Roman" w:eastAsia="Times New Roman" w:hAnsi="Times New Roman"/>
          <w:sz w:val="13"/>
          <w:szCs w:val="13"/>
          <w:color w:val="auto"/>
        </w:rPr>
        <w:t>. In consideration of the grant of the Restricted Stock Units, you agree that you will comply with such conditions as the Committee may impose on the Restricted Stock Units and be bound by the terms of the Plan.</w:t>
      </w:r>
    </w:p>
    <w:p>
      <w:pPr>
        <w:spacing w:after="0" w:line="127"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Employment Status</w:t>
      </w:r>
      <w:r>
        <w:rPr>
          <w:rFonts w:ascii="Times New Roman" w:cs="Times New Roman" w:eastAsia="Times New Roman" w:hAnsi="Times New Roman"/>
          <w:sz w:val="13"/>
          <w:szCs w:val="13"/>
          <w:color w:val="auto"/>
        </w:rPr>
        <w:t>. This Agreement does not constitute a contract of employment nor does it alter your terminable at will status or otherwise guarantee future employment.</w:t>
      </w:r>
    </w:p>
    <w:p>
      <w:pPr>
        <w:spacing w:after="0" w:line="156" w:lineRule="exact"/>
        <w:rPr>
          <w:rFonts w:ascii="Times New Roman" w:cs="Times New Roman" w:eastAsia="Times New Roman" w:hAnsi="Times New Roman"/>
          <w:sz w:val="13"/>
          <w:szCs w:val="13"/>
          <w:color w:val="auto"/>
        </w:rPr>
      </w:pPr>
    </w:p>
    <w:p>
      <w:pPr>
        <w:ind w:left="-208" w:firstLine="208"/>
        <w:spacing w:after="0" w:line="281" w:lineRule="auto"/>
        <w:tabs>
          <w:tab w:leader="none" w:pos="213"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This Agreement shall be binding upon, enforceable against, and inure to the benefit of you and your legatees, distributees and personal representatives, and Capital One and its successors and assigns.</w:t>
      </w:r>
    </w:p>
    <w:p>
      <w:pPr>
        <w:spacing w:after="0" w:line="108"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Mandatory Holding Requirement</w:t>
      </w:r>
      <w:r>
        <w:rPr>
          <w:rFonts w:ascii="Times New Roman" w:cs="Times New Roman" w:eastAsia="Times New Roman" w:hAnsi="Times New Roman"/>
          <w:sz w:val="13"/>
          <w:szCs w:val="13"/>
          <w:color w:val="auto"/>
        </w:rPr>
        <w:t>.</w:t>
      </w:r>
    </w:p>
    <w:p>
      <w:pPr>
        <w:sectPr>
          <w:pgSz w:w="11900" w:h="16838" w:orient="portrait"/>
          <w:cols w:equalWidth="0" w:num="1">
            <w:col w:w="11092"/>
          </w:cols>
          <w:pgMar w:left="508" w:top="989" w:right="299" w:bottom="1440" w:gutter="0" w:footer="0" w:header="0"/>
        </w:sectPr>
      </w:pPr>
    </w:p>
    <w:bookmarkStart w:id="275" w:name="page276"/>
    <w:bookmarkEnd w:id="275"/>
    <w:p>
      <w:pPr>
        <w:jc w:val="both"/>
        <w:ind w:left="212" w:firstLine="220"/>
        <w:spacing w:after="0" w:line="256" w:lineRule="auto"/>
        <w:tabs>
          <w:tab w:leader="none" w:pos="636"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You agree that with respect to the Applicable Holding Shares (as defined below) you may not transfer, sell, pledge, hypothecate or otherwise dispose of such Applicable Holding Shares until the Holding Date (as defined below);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requirements set forth in this Section 12 shall immediately lapse and be of no further force and effect upon your death, Disability or termination of employment by Capital One without Cause or for Good Reason following a Change of Control, pursuant to Section 2(d).</w:t>
      </w:r>
    </w:p>
    <w:p>
      <w:pPr>
        <w:spacing w:after="0" w:line="124"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12:</w:t>
      </w:r>
    </w:p>
    <w:p>
      <w:pPr>
        <w:spacing w:after="0" w:line="165" w:lineRule="exact"/>
        <w:rPr>
          <w:rFonts w:ascii="Times New Roman" w:cs="Times New Roman" w:eastAsia="Times New Roman" w:hAnsi="Times New Roman"/>
          <w:sz w:val="13"/>
          <w:szCs w:val="13"/>
          <w:color w:val="auto"/>
        </w:rPr>
      </w:pPr>
    </w:p>
    <w:p>
      <w:pPr>
        <w:jc w:val="both"/>
        <w:ind w:left="652" w:firstLine="142"/>
        <w:spacing w:after="0" w:line="256" w:lineRule="auto"/>
        <w:tabs>
          <w:tab w:leader="none" w:pos="1084" w:val="left"/>
        </w:tabs>
        <w:numPr>
          <w:ilvl w:val="2"/>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Holding Shares” means 50% of the Shares acquired hereunder (not including any Shares sold or retained by the Company or its designated agent to fund the payment of any tax withholding obligation, brokerage commission or fees payable in connection with the Shares) during your term of employment with the Company and during the one-year period after termination of your employment for any reason; and</w:t>
      </w:r>
    </w:p>
    <w:p>
      <w:pPr>
        <w:spacing w:after="0" w:line="124" w:lineRule="exact"/>
        <w:rPr>
          <w:rFonts w:ascii="Times New Roman" w:cs="Times New Roman" w:eastAsia="Times New Roman" w:hAnsi="Times New Roman"/>
          <w:sz w:val="13"/>
          <w:szCs w:val="13"/>
          <w:color w:val="auto"/>
        </w:rPr>
      </w:pPr>
    </w:p>
    <w:p>
      <w:pPr>
        <w:ind w:left="652" w:firstLine="106"/>
        <w:spacing w:after="0" w:line="266" w:lineRule="auto"/>
        <w:tabs>
          <w:tab w:leader="none" w:pos="1084" w:val="left"/>
        </w:tabs>
        <w:numPr>
          <w:ilvl w:val="2"/>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“Holding Date” means the later of: (1) the first anniversary of the date of acquisition of any Applicable Holding Shares; or (2) the date on which your stock ownership requirement is met, as determined by the Committee.</w:t>
      </w:r>
    </w:p>
    <w:p>
      <w:pPr>
        <w:spacing w:after="0" w:line="127"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Performance-Based Adjustments, Clawbacks and Other Forfeiture Events</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ind w:left="632" w:hanging="200"/>
        <w:spacing w:after="0"/>
        <w:tabs>
          <w:tab w:leader="none" w:pos="632" w:val="left"/>
        </w:tabs>
        <w:numPr>
          <w:ilvl w:val="1"/>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Performance-Based Adjustment</w:t>
      </w:r>
      <w:r>
        <w:rPr>
          <w:rFonts w:ascii="Times New Roman" w:cs="Times New Roman" w:eastAsia="Times New Roman" w:hAnsi="Times New Roman"/>
          <w:sz w:val="13"/>
          <w:szCs w:val="13"/>
          <w:color w:val="auto"/>
        </w:rPr>
        <w:t>. The number of Restricted Stock Units vesting on the Scheduled Vesting Date shall be subject to reduction as follows:</w:t>
      </w:r>
    </w:p>
    <w:p>
      <w:pPr>
        <w:spacing w:after="0" w:line="165" w:lineRule="exact"/>
        <w:rPr>
          <w:rFonts w:ascii="Times New Roman" w:cs="Times New Roman" w:eastAsia="Times New Roman" w:hAnsi="Times New Roman"/>
          <w:sz w:val="13"/>
          <w:szCs w:val="13"/>
          <w:color w:val="auto"/>
        </w:rPr>
      </w:pPr>
    </w:p>
    <w:p>
      <w:pPr>
        <w:ind w:left="652" w:right="20" w:firstLine="142"/>
        <w:spacing w:after="0" w:line="266" w:lineRule="auto"/>
        <w:tabs>
          <w:tab w:leader="none" w:pos="1084" w:val="left"/>
        </w:tabs>
        <w:numPr>
          <w:ilvl w:val="2"/>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the Core Earnings (as defined below) of the Company for the Company’s fiscal year ended immediately prior to such Scheduled Vesting Date, as certified by the Committee, are not positive (i.e., Core Earnings are not greater than zero):</w:t>
      </w:r>
    </w:p>
    <w:p>
      <w:pPr>
        <w:spacing w:after="0" w:line="118" w:lineRule="exact"/>
        <w:rPr>
          <w:rFonts w:ascii="Times New Roman" w:cs="Times New Roman" w:eastAsia="Times New Roman" w:hAnsi="Times New Roman"/>
          <w:sz w:val="13"/>
          <w:szCs w:val="13"/>
          <w:color w:val="auto"/>
        </w:rPr>
      </w:pPr>
    </w:p>
    <w:p>
      <w:pPr>
        <w:ind w:left="1512" w:hanging="324"/>
        <w:spacing w:after="0"/>
        <w:tabs>
          <w:tab w:leader="none" w:pos="1512" w:val="left"/>
        </w:tabs>
        <w:numPr>
          <w:ilvl w:val="3"/>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Restricted Stock Units scheduled to vest on such Scheduled Vesting Date shall be reduced by 50%, rounding up to the nearest whole share; and</w:t>
      </w:r>
    </w:p>
    <w:p>
      <w:pPr>
        <w:spacing w:after="0" w:line="165" w:lineRule="exact"/>
        <w:rPr>
          <w:rFonts w:ascii="Times New Roman" w:cs="Times New Roman" w:eastAsia="Times New Roman" w:hAnsi="Times New Roman"/>
          <w:sz w:val="13"/>
          <w:szCs w:val="13"/>
          <w:color w:val="auto"/>
        </w:rPr>
      </w:pPr>
    </w:p>
    <w:p>
      <w:pPr>
        <w:jc w:val="both"/>
        <w:ind w:left="752" w:firstLine="436"/>
        <w:spacing w:after="0" w:line="256" w:lineRule="auto"/>
        <w:tabs>
          <w:tab w:leader="none" w:pos="1502" w:val="left"/>
        </w:tabs>
        <w:numPr>
          <w:ilvl w:val="3"/>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determine the extent, if any, to which you are accountable for such outcome and, based on such determination, the Committee shall determine (I) whether all or any portion of the remaining Restricted Stock Units scheduled to vest on such Scheduled Vesting Date shall be forfeited and (II) whether the Scheduled Vesting Date shall be delayed for all or any portion of such Restricted Stock Units that are not so forfeited.</w:t>
      </w:r>
    </w:p>
    <w:p>
      <w:pPr>
        <w:spacing w:after="0" w:line="125"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13"/>
          <w:szCs w:val="13"/>
          <w:color w:val="auto"/>
        </w:rPr>
        <w:t xml:space="preserve">The Committee shall make the determinations referenced in Section 13(a)(i)(B) in its sole discretion, taking into account the factors set forth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hereto.</w:t>
      </w:r>
    </w:p>
    <w:p>
      <w:pPr>
        <w:spacing w:after="0" w:line="166" w:lineRule="exact"/>
        <w:rPr>
          <w:sz w:val="20"/>
          <w:szCs w:val="20"/>
          <w:color w:val="auto"/>
        </w:rPr>
      </w:pPr>
    </w:p>
    <w:p>
      <w:pPr>
        <w:jc w:val="both"/>
        <w:ind w:left="652" w:firstLine="106"/>
        <w:spacing w:after="0" w:line="248" w:lineRule="auto"/>
        <w:tabs>
          <w:tab w:leader="none" w:pos="1084"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13(a), “Core Earnings” means the Company’s net income available to common stockholders, excluding, on a tax-adjusted basis, the impact of (A) impairment or amortization of goodwill and intangible assets, and (B) the build or release of the allowance for credit losses, calculated as the difference between the provision (benefit) for credit losses and charge-offs, net of recoveries.</w:t>
      </w:r>
    </w:p>
    <w:p>
      <w:pPr>
        <w:spacing w:after="0" w:line="139" w:lineRule="exact"/>
        <w:rPr>
          <w:rFonts w:ascii="Times New Roman" w:cs="Times New Roman" w:eastAsia="Times New Roman" w:hAnsi="Times New Roman"/>
          <w:sz w:val="13"/>
          <w:szCs w:val="13"/>
          <w:color w:val="auto"/>
        </w:rPr>
      </w:pPr>
    </w:p>
    <w:p>
      <w:pPr>
        <w:ind w:left="1112" w:hanging="391"/>
        <w:spacing w:after="0"/>
        <w:tabs>
          <w:tab w:leader="none" w:pos="1112"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change to U.S. generally accepted accounting principles affecting the treatment or classification of any component of Core Earnings, such metric</w:t>
      </w:r>
    </w:p>
    <w:p>
      <w:pPr>
        <w:sectPr>
          <w:pgSz w:w="11900" w:h="16838" w:orient="portrait"/>
          <w:cols w:equalWidth="0" w:num="1">
            <w:col w:w="11092"/>
          </w:cols>
          <w:pgMar w:left="508" w:top="989" w:right="299" w:bottom="1440" w:gutter="0" w:footer="0" w:header="0"/>
        </w:sectPr>
      </w:pPr>
    </w:p>
    <w:bookmarkStart w:id="276" w:name="page277"/>
    <w:bookmarkEnd w:id="276"/>
    <w:p>
      <w:pPr>
        <w:ind w:left="652"/>
        <w:spacing w:after="0"/>
        <w:rPr>
          <w:sz w:val="20"/>
          <w:szCs w:val="20"/>
          <w:color w:val="auto"/>
        </w:rPr>
      </w:pPr>
      <w:r>
        <w:rPr>
          <w:rFonts w:ascii="Times New Roman" w:cs="Times New Roman" w:eastAsia="Times New Roman" w:hAnsi="Times New Roman"/>
          <w:sz w:val="13"/>
          <w:szCs w:val="13"/>
          <w:color w:val="auto"/>
        </w:rPr>
        <w:t>shall be calculated in a manner consistent with the definitions herein to the extent practicable.</w:t>
      </w:r>
    </w:p>
    <w:p>
      <w:pPr>
        <w:spacing w:after="0" w:line="157" w:lineRule="exact"/>
        <w:rPr>
          <w:sz w:val="20"/>
          <w:szCs w:val="20"/>
          <w:color w:val="auto"/>
        </w:rPr>
      </w:pPr>
    </w:p>
    <w:p>
      <w:pPr>
        <w:ind w:left="212"/>
        <w:spacing w:after="0" w:line="281" w:lineRule="auto"/>
        <w:rPr>
          <w:sz w:val="20"/>
          <w:szCs w:val="20"/>
          <w:color w:val="auto"/>
        </w:rPr>
      </w:pPr>
      <w:r>
        <w:rPr>
          <w:rFonts w:ascii="Times New Roman" w:cs="Times New Roman" w:eastAsia="Times New Roman" w:hAnsi="Times New Roman"/>
          <w:sz w:val="13"/>
          <w:szCs w:val="13"/>
          <w:color w:val="auto"/>
        </w:rPr>
        <w:t>Notwithstanding anything to the contrary in this Agreement and for the avoidance of doubt, in the event of a Change of Control of Capital One, there shall be no reduction pursuant to this Section 13(a) for any fiscal year ending after the date of such Change of Control.</w:t>
      </w:r>
    </w:p>
    <w:p>
      <w:pPr>
        <w:spacing w:after="0" w:line="109" w:lineRule="exact"/>
        <w:rPr>
          <w:sz w:val="20"/>
          <w:szCs w:val="20"/>
          <w:color w:val="auto"/>
        </w:rPr>
      </w:pPr>
    </w:p>
    <w:p>
      <w:pPr>
        <w:jc w:val="both"/>
        <w:ind w:left="212" w:firstLine="220"/>
        <w:spacing w:after="0" w:line="247" w:lineRule="auto"/>
        <w:tabs>
          <w:tab w:leader="none" w:pos="644" w:val="left"/>
        </w:tabs>
        <w:numPr>
          <w:ilvl w:val="1"/>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Clawback</w:t>
      </w:r>
      <w:r>
        <w:rPr>
          <w:rFonts w:ascii="Times New Roman" w:cs="Times New Roman" w:eastAsia="Times New Roman" w:hAnsi="Times New Roman"/>
          <w:sz w:val="13"/>
          <w:szCs w:val="13"/>
          <w:color w:val="auto"/>
        </w:rPr>
        <w:t>. All unvested Restricted Stock Units granted hereunder shall be subject to forfeiture in the event that the Committee, in its sole discretion, determines that (i) there has been misconduct resulting in either a violation of law or of Capital One policy or procedures, including but not limited to the Capital One Code of Conduct, that in either case causes significant financial or reputational harm to Capital One and (ii) either you committed the misconduct or failed in your responsibility to manage or monitor the applicable conduct or risks. In the event that the Committee makes a determination as provided in the preceding sentence, all or any portion of the Restricted Stock Units that have not yet vested under this Agreement as of the date of such determination shall be forfeited in an amount as determined by the Committee in its sole discretion.</w:t>
      </w:r>
    </w:p>
    <w:p>
      <w:pPr>
        <w:spacing w:after="0" w:line="130" w:lineRule="exact"/>
        <w:rPr>
          <w:rFonts w:ascii="Times New Roman" w:cs="Times New Roman" w:eastAsia="Times New Roman" w:hAnsi="Times New Roman"/>
          <w:sz w:val="13"/>
          <w:szCs w:val="13"/>
          <w:color w:val="auto"/>
        </w:rPr>
      </w:pPr>
    </w:p>
    <w:p>
      <w:pPr>
        <w:ind w:left="212" w:firstLine="220"/>
        <w:spacing w:after="0" w:line="281" w:lineRule="auto"/>
        <w:tabs>
          <w:tab w:leader="none" w:pos="636" w:val="left"/>
        </w:tabs>
        <w:numPr>
          <w:ilvl w:val="1"/>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Forfeiture Event</w:t>
      </w:r>
      <w:r>
        <w:rPr>
          <w:rFonts w:ascii="Times New Roman" w:cs="Times New Roman" w:eastAsia="Times New Roman" w:hAnsi="Times New Roman"/>
          <w:sz w:val="13"/>
          <w:szCs w:val="13"/>
          <w:color w:val="auto"/>
        </w:rPr>
        <w:t>. You agree to reimburse the Company with respect to the Restricted Stock Units to the extent required under Section 304 of the Sarbanes-Oxley Act of 2002, Section 954 of the Dodd-Frank Act or as otherwise required by law.</w:t>
      </w:r>
    </w:p>
    <w:p>
      <w:pPr>
        <w:spacing w:after="0" w:line="108" w:lineRule="exact"/>
        <w:rPr>
          <w:rFonts w:ascii="Times New Roman" w:cs="Times New Roman" w:eastAsia="Times New Roman" w:hAnsi="Times New Roman"/>
          <w:sz w:val="13"/>
          <w:szCs w:val="13"/>
          <w:color w:val="auto"/>
        </w:rPr>
      </w:pPr>
    </w:p>
    <w:p>
      <w:pPr>
        <w:ind w:left="-208" w:right="20" w:firstLine="208"/>
        <w:spacing w:after="0" w:line="281" w:lineRule="auto"/>
        <w:tabs>
          <w:tab w:leader="none" w:pos="218"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a Stockholder</w:t>
      </w:r>
      <w:r>
        <w:rPr>
          <w:rFonts w:ascii="Times New Roman" w:cs="Times New Roman" w:eastAsia="Times New Roman" w:hAnsi="Times New Roman"/>
          <w:sz w:val="13"/>
          <w:szCs w:val="13"/>
          <w:color w:val="auto"/>
        </w:rPr>
        <w:t>. You shall have no rights of a stockholder with respect to the shares of Common Stock represented by Restricted Stock Units, including, but not limited to, the right to vote and to receive dividends, unless and until such shares of Common Stock are transferred to you pursuant to the Plan and this Agreement.</w:t>
      </w:r>
    </w:p>
    <w:p>
      <w:pPr>
        <w:spacing w:after="0" w:line="108" w:lineRule="exact"/>
        <w:rPr>
          <w:rFonts w:ascii="Times New Roman" w:cs="Times New Roman" w:eastAsia="Times New Roman" w:hAnsi="Times New Roman"/>
          <w:sz w:val="13"/>
          <w:szCs w:val="13"/>
          <w:color w:val="auto"/>
        </w:rPr>
      </w:pPr>
    </w:p>
    <w:p>
      <w:pPr>
        <w:ind w:left="-208" w:right="20" w:firstLine="208"/>
        <w:spacing w:after="0" w:line="266" w:lineRule="auto"/>
        <w:tabs>
          <w:tab w:leader="none" w:pos="218"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Protection</w:t>
      </w:r>
      <w:r>
        <w:rPr>
          <w:rFonts w:ascii="Times New Roman" w:cs="Times New Roman" w:eastAsia="Times New Roman" w:hAnsi="Times New Roman"/>
          <w:sz w:val="13"/>
          <w:szCs w:val="13"/>
          <w:color w:val="auto"/>
        </w:rPr>
        <w:t>. You consent to the collection, processing and transfer (including international transfer) of your personally identifiable data in connection with the grant of the Restricted Stock Units and participation in the Plan.</w:t>
      </w:r>
    </w:p>
    <w:p>
      <w:pPr>
        <w:spacing w:after="0" w:line="127" w:lineRule="exact"/>
        <w:rPr>
          <w:rFonts w:ascii="Times New Roman" w:cs="Times New Roman" w:eastAsia="Times New Roman" w:hAnsi="Times New Roman"/>
          <w:sz w:val="13"/>
          <w:szCs w:val="13"/>
          <w:color w:val="auto"/>
        </w:rPr>
      </w:pPr>
    </w:p>
    <w:p>
      <w:pPr>
        <w:jc w:val="both"/>
        <w:ind w:left="-208" w:firstLine="208"/>
        <w:spacing w:after="0" w:line="247" w:lineRule="auto"/>
        <w:tabs>
          <w:tab w:leader="none" w:pos="218"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This Agreement shall be enforceable to the fullest extent allowed by law. In the event that any provision of this Agreement is determined to be invalid, illegal or unenforceable in any respect under any applicable law or rule in any jurisdiction, then that provision shall be reduced, modified or otherwise conformed to the relevant law, judgment or determination to the degree necessary to render it valid and enforceable without affecting the validity, legality or enforceability of any other provision of this Agreement or the validity, legality or enforceability of such provision in any other jurisdiction. Any provision of this Agreement that is prohibited or unenforceable in any jurisdiction shall, as to such jurisdiction, be deemed severable from the remainder of this Agreement, and the remaining provisions contained in this Agreement shall be construed to preserve to the maximum permissible extent the intent and purposes of this Agreement.</w:t>
      </w:r>
    </w:p>
    <w:p>
      <w:pPr>
        <w:spacing w:after="0" w:line="130" w:lineRule="exact"/>
        <w:rPr>
          <w:rFonts w:ascii="Times New Roman" w:cs="Times New Roman" w:eastAsia="Times New Roman" w:hAnsi="Times New Roman"/>
          <w:sz w:val="13"/>
          <w:szCs w:val="13"/>
          <w:color w:val="auto"/>
        </w:rPr>
      </w:pPr>
    </w:p>
    <w:p>
      <w:pPr>
        <w:ind w:left="-208" w:firstLine="208"/>
        <w:spacing w:after="0" w:line="266" w:lineRule="auto"/>
        <w:tabs>
          <w:tab w:leader="none" w:pos="218"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all of which together shall constitute one agreement binding on all the parties hereto, notwithstanding that all such parties are not signatories to the original or the same counterpart.</w:t>
      </w:r>
    </w:p>
    <w:p>
      <w:pPr>
        <w:spacing w:after="0" w:line="127"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 In accepting the grant, you acknowledge and agree that:</w:t>
      </w:r>
    </w:p>
    <w:p>
      <w:pPr>
        <w:spacing w:after="0" w:line="156" w:lineRule="exact"/>
        <w:rPr>
          <w:rFonts w:ascii="Times New Roman" w:cs="Times New Roman" w:eastAsia="Times New Roman" w:hAnsi="Times New Roman"/>
          <w:sz w:val="13"/>
          <w:szCs w:val="13"/>
          <w:color w:val="auto"/>
        </w:rPr>
      </w:pPr>
    </w:p>
    <w:p>
      <w:pPr>
        <w:ind w:left="212" w:right="20" w:firstLine="220"/>
        <w:spacing w:after="0" w:line="281" w:lineRule="auto"/>
        <w:tabs>
          <w:tab w:leader="none" w:pos="636" w:val="left"/>
        </w:tabs>
        <w:numPr>
          <w:ilvl w:val="1"/>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intended to comply with the applicable requirements of Section 409A of the Code as it relates to U.S. taxpayers and shall be limited, construed and interpreted in a manner so as to comply therewith;</w:t>
      </w:r>
    </w:p>
    <w:p>
      <w:pPr>
        <w:sectPr>
          <w:pgSz w:w="11900" w:h="16838" w:orient="portrait"/>
          <w:cols w:equalWidth="0" w:num="1">
            <w:col w:w="11092"/>
          </w:cols>
          <w:pgMar w:left="508" w:top="989" w:right="299" w:bottom="1440" w:gutter="0" w:footer="0" w:header="0"/>
        </w:sectPr>
      </w:pPr>
    </w:p>
    <w:bookmarkStart w:id="277" w:name="page278"/>
    <w:bookmarkEnd w:id="277"/>
    <w:p>
      <w:pPr>
        <w:ind w:left="440" w:hanging="220"/>
        <w:spacing w:after="0"/>
        <w:tabs>
          <w:tab w:leader="none" w:pos="44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obligations under this Agreement shall survive any termination of your employment with the Company for any reason;</w:t>
      </w:r>
    </w:p>
    <w:p>
      <w:pPr>
        <w:spacing w:after="0" w:line="156" w:lineRule="exact"/>
        <w:rPr>
          <w:rFonts w:ascii="Times New Roman" w:cs="Times New Roman" w:eastAsia="Times New Roman" w:hAnsi="Times New Roman"/>
          <w:sz w:val="13"/>
          <w:szCs w:val="13"/>
          <w:color w:val="auto"/>
        </w:rPr>
      </w:pPr>
    </w:p>
    <w:p>
      <w:pPr>
        <w:ind w:left="420" w:hanging="200"/>
        <w:spacing w:after="0"/>
        <w:tabs>
          <w:tab w:leader="none" w:pos="42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rights or remedies under this Agreement shall be cumulative and in addition to whatever other remedies the Company may have under law or equity;</w:t>
      </w:r>
    </w:p>
    <w:p>
      <w:pPr>
        <w:spacing w:after="0" w:line="165" w:lineRule="exact"/>
        <w:rPr>
          <w:rFonts w:ascii="Times New Roman" w:cs="Times New Roman" w:eastAsia="Times New Roman" w:hAnsi="Times New Roman"/>
          <w:sz w:val="13"/>
          <w:szCs w:val="13"/>
          <w:color w:val="auto"/>
        </w:rPr>
      </w:pPr>
    </w:p>
    <w:p>
      <w:pPr>
        <w:ind w:left="440" w:hanging="220"/>
        <w:spacing w:after="0"/>
        <w:tabs>
          <w:tab w:leader="none" w:pos="44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recovery by the Company under this Agreement will be a recovery of Restricted Stock Units to which you were not entitled under this Agreement and is not to be construed in any manner as a</w:t>
      </w:r>
    </w:p>
    <w:p>
      <w:pPr>
        <w:spacing w:after="0" w:line="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penalty;</w:t>
      </w:r>
    </w:p>
    <w:p>
      <w:pPr>
        <w:spacing w:after="0" w:line="151" w:lineRule="exact"/>
        <w:rPr>
          <w:rFonts w:ascii="Times New Roman" w:cs="Times New Roman" w:eastAsia="Times New Roman" w:hAnsi="Times New Roman"/>
          <w:sz w:val="13"/>
          <w:szCs w:val="13"/>
          <w:color w:val="auto"/>
        </w:rPr>
      </w:pPr>
    </w:p>
    <w:p>
      <w:pPr>
        <w:jc w:val="both"/>
        <w:ind w:firstLine="220"/>
        <w:spacing w:after="0" w:line="256" w:lineRule="auto"/>
        <w:tabs>
          <w:tab w:leader="none" w:pos="424"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to the maximum extent permitted by applicable law and Section 409A of the Code as it relates to U.S. taxpayers, retain for itself funds or securities otherwise payable to you pursuant to this Agreement to satisfy any obligation or debt that you owe to the Company, including any obligations hereunder. The Company may not retain such funds or securities until such time as they would otherwise be distributable to you in accordance with this Agreement;</w:t>
      </w:r>
    </w:p>
    <w:p>
      <w:pPr>
        <w:spacing w:after="0" w:line="124" w:lineRule="exact"/>
        <w:rPr>
          <w:rFonts w:ascii="Times New Roman" w:cs="Times New Roman" w:eastAsia="Times New Roman" w:hAnsi="Times New Roman"/>
          <w:sz w:val="13"/>
          <w:szCs w:val="13"/>
          <w:color w:val="auto"/>
        </w:rPr>
      </w:pPr>
    </w:p>
    <w:p>
      <w:pPr>
        <w:jc w:val="both"/>
        <w:ind w:firstLine="220"/>
        <w:spacing w:after="0" w:line="256" w:lineRule="auto"/>
        <w:tabs>
          <w:tab w:leader="none" w:pos="428"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reserves the right to impose other requirements on the Restricted Stock Units, any Shares acquired pursuant to the Restricted Stock Units, and your participation in the Plan, to the extent Capital One determines, in its sole discretion, that such other requirements are necessary or advisable in order to comply with local laws, rules and regulations, or to facilitate the administration of the Restricted Stock Units and the Plan. Such requirements may include (but are not limited to) requiring you to sign any agreements or undertakings that may be necessary to accomplish the foregoing; and</w:t>
      </w:r>
    </w:p>
    <w:p>
      <w:pPr>
        <w:spacing w:after="0" w:line="124" w:lineRule="exact"/>
        <w:rPr>
          <w:rFonts w:ascii="Times New Roman" w:cs="Times New Roman" w:eastAsia="Times New Roman" w:hAnsi="Times New Roman"/>
          <w:sz w:val="13"/>
          <w:szCs w:val="13"/>
          <w:color w:val="auto"/>
        </w:rPr>
      </w:pPr>
    </w:p>
    <w:p>
      <w:pPr>
        <w:jc w:val="both"/>
        <w:ind w:firstLine="220"/>
        <w:spacing w:after="0" w:line="247" w:lineRule="auto"/>
        <w:tabs>
          <w:tab w:leader="none" w:pos="432"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from time to time distributes and makes available to associates disclosure documents, including a prospectus, relating to the Plan. You may also contact the HR Help Center to obtain copies of the Plan disclosure documents and the Plan. You should carefully read the Plan disclosure documents and the Plan. By accepting the benefits of this Agreement you acknowledge receipt of the Plan and the Plan disclosure documents and agree to be bound by the terms of this Agreement and the Plan. You hereby consent to receive such documents by electronic delivery and agree to participate in the Plan through an on-line or electronic system established and maintained by Capital One or a third-party designated by Capital One.</w:t>
      </w:r>
    </w:p>
    <w:p>
      <w:pPr>
        <w:sectPr>
          <w:pgSz w:w="11900" w:h="16838" w:orient="portrait"/>
          <w:cols w:equalWidth="0" w:num="1">
            <w:col w:w="10880"/>
          </w:cols>
          <w:pgMar w:left="720" w:top="989" w:right="2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on their behalf.</w:t>
      </w:r>
    </w:p>
    <w:p>
      <w:pPr>
        <w:spacing w:after="0" w:line="31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CAPITAL ONE FINANCIAL CORPORATION</w:t>
      </w:r>
    </w:p>
    <w:p>
      <w:pPr>
        <w:spacing w:after="0" w:line="16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w:t>
      </w:r>
    </w:p>
    <w:p>
      <w:pPr>
        <w:spacing w:after="0" w:line="31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____________________________________</w:t>
      </w:r>
    </w:p>
    <w:p>
      <w:pPr>
        <w:spacing w:after="0" w:line="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Kaitlin Haggerty</w:t>
      </w:r>
    </w:p>
    <w:p>
      <w:pPr>
        <w:ind w:left="1940"/>
        <w:spacing w:after="0"/>
        <w:rPr>
          <w:sz w:val="20"/>
          <w:szCs w:val="20"/>
          <w:color w:val="auto"/>
        </w:rPr>
      </w:pPr>
      <w:r>
        <w:rPr>
          <w:rFonts w:ascii="Times New Roman" w:cs="Times New Roman" w:eastAsia="Times New Roman" w:hAnsi="Times New Roman"/>
          <w:sz w:val="13"/>
          <w:szCs w:val="13"/>
          <w:color w:val="auto"/>
        </w:rPr>
        <w:t>Chief Human Resources Officer</w:t>
      </w:r>
    </w:p>
    <w:p>
      <w:pPr>
        <w:spacing w:after="0" w:line="3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15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 ____________________________________</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[Full Name]</w:t>
      </w:r>
    </w:p>
    <w:p>
      <w:pPr>
        <w:spacing w:after="0" w:line="3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b w:val="1"/>
          <w:bCs w:val="1"/>
          <w:color w:val="auto"/>
        </w:rPr>
        <w:t>BY ELECTRONICALLY ACCEPTING THE AWARD, YOU AGREE THAT (i) SUCH ACCEPTANCE CONSTITUTES YOUR ELECTRONIC SIGNATURE IN EXECUTION OF THIS AGREEMENT; (ii) YOU AGREE TO BE BOUND BY THE PROVISIONS OF THE PLAN AND THIS AGREEMENT; (iii) YOU HAVE REVIEWED THE PLAN AND THIS AGREEMENT IN THEIR ENTIRETY, HAVE HAD AN OPPORTUNITY TO OBTAIN THE ADVICE OF COUNSEL PRIOR TO ACCEPTING THE AWARD AND FULLY UNDERSTAND ALL OF THE PROVISIONS OF THE PLAN AND THIS AGREEMENT; (iv) YOU HAVE BEEN PROVIDED WITH A COPY OR ELECTRONIC ACCESS TO A COPY OF THE PROSPECTUS FOR THE PLAN; AND (v) YOU HEREBY AGREE TO ACCEPT AS BINDING, CONCLUSIVE AND FINAL ALL DECISIONS OR INTERPRETATIONS OF THE COMMITTEE UPON ANY QUESTIONS ARISING UNDER THE PLAN AND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 * * *</w:t>
      </w:r>
    </w:p>
    <w:p>
      <w:pPr>
        <w:sectPr>
          <w:pgSz w:w="11900" w:h="16838" w:orient="portrait"/>
          <w:cols w:equalWidth="0" w:num="1">
            <w:col w:w="11300"/>
          </w:cols>
          <w:pgMar w:left="300" w:top="989" w:right="299" w:bottom="1440" w:gutter="0" w:footer="0" w:header="0"/>
        </w:sectPr>
      </w:pPr>
    </w:p>
    <w:bookmarkStart w:id="279" w:name="page280"/>
    <w:bookmarkEnd w:id="279"/>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APPENDIX A</w:t>
      </w:r>
    </w:p>
    <w:p>
      <w:pPr>
        <w:spacing w:after="0" w:line="15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PERFORMANCE-BASED ADJUSTMENT DETERMINATION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Committee shall take into account the following factors for purposes of making any determinations referenced in Section 13(a)(i)(B) of this Agreement in its sole discretion:</w:t>
      </w:r>
    </w:p>
    <w:p>
      <w:pPr>
        <w:spacing w:after="0" w:line="157" w:lineRule="exact"/>
        <w:rPr>
          <w:sz w:val="20"/>
          <w:szCs w:val="20"/>
          <w:color w:val="auto"/>
        </w:rPr>
      </w:pPr>
    </w:p>
    <w:p>
      <w:pPr>
        <w:ind w:left="420" w:hanging="212"/>
        <w:spacing w:after="0"/>
        <w:tabs>
          <w:tab w:leader="none" w:pos="42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Core Earnings were negative;</w:t>
      </w:r>
    </w:p>
    <w:p>
      <w:pPr>
        <w:spacing w:after="0" w:line="16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outcome was the result of the performance of a line of business, control function or staff group for which you exercised direct or indirect responsibility;</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your performance contributed to the outcome, including your performance with respect to risk management and oversight; and</w:t>
      </w:r>
    </w:p>
    <w:p>
      <w:pPr>
        <w:spacing w:after="0" w:line="16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other factors as the Committee deems appropriate.</w:t>
      </w:r>
    </w:p>
    <w:p>
      <w:pPr>
        <w:sectPr>
          <w:pgSz w:w="11900" w:h="16838" w:orient="portrait"/>
          <w:cols w:equalWidth="0" w:num="1">
            <w:col w:w="10159"/>
          </w:cols>
          <w:pgMar w:left="300" w:top="987" w:right="1440"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3"/>
          <w:szCs w:val="13"/>
          <w:b w:val="1"/>
          <w:bCs w:val="1"/>
          <w:color w:val="auto"/>
        </w:rPr>
        <w:t>Exhibit 10.2.25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2004 Stock Incentive Plan</w:t>
      </w:r>
    </w:p>
    <w:p>
      <w:pPr>
        <w:jc w:val="center"/>
        <w:spacing w:after="0"/>
        <w:rPr>
          <w:sz w:val="20"/>
          <w:szCs w:val="20"/>
          <w:color w:val="auto"/>
        </w:rPr>
      </w:pPr>
      <w:r>
        <w:rPr>
          <w:rFonts w:ascii="Times New Roman" w:cs="Times New Roman" w:eastAsia="Times New Roman" w:hAnsi="Times New Roman"/>
          <w:sz w:val="17"/>
          <w:szCs w:val="17"/>
          <w:color w:val="auto"/>
        </w:rPr>
        <w:t>Performance Unit Award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of Performance Units at Target: [# of Units]</w:t>
      </w:r>
    </w:p>
    <w:p>
      <w:pPr>
        <w:spacing w:after="0" w:line="327"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3"/>
          <w:szCs w:val="13"/>
          <w:color w:val="auto"/>
        </w:rPr>
        <w:t xml:space="preserve">THIS PERFORMANCE UNIT AWARD AGREEMENT (this “Agreement”), dated January 26, 2023 (the “Date of Grant”), between CAPITAL ONE FINANCIAL CORPORATION, a Delaware corporation ("Capital One" or the “Company”), and </w:t>
      </w:r>
      <w:r>
        <w:rPr>
          <w:rFonts w:ascii="Times New Roman" w:cs="Times New Roman" w:eastAsia="Times New Roman" w:hAnsi="Times New Roman"/>
          <w:sz w:val="13"/>
          <w:szCs w:val="13"/>
          <w:b w:val="1"/>
          <w:bCs w:val="1"/>
          <w:color w:val="auto"/>
        </w:rPr>
        <w:t>[Full Name]</w:t>
      </w:r>
      <w:r>
        <w:rPr>
          <w:rFonts w:ascii="Times New Roman" w:cs="Times New Roman" w:eastAsia="Times New Roman" w:hAnsi="Times New Roman"/>
          <w:sz w:val="13"/>
          <w:szCs w:val="13"/>
          <w:color w:val="auto"/>
        </w:rPr>
        <w:t xml:space="preserve"> (“you”), is made pursuant and subject to the provisions of the Company's 2004 Stock Incentive Plan, as amended and restated (the “Plan”) and all capitalized terms used herein that are defined in the Plan shall have the same meaning given to them in the Plan unless otherwise defined herein. For purposes of this Agreement, “Employer” means the entity (i.e., Capital One, Subsidiary or Affiliate) that employs you.</w:t>
      </w:r>
    </w:p>
    <w:p>
      <w:pPr>
        <w:spacing w:after="0" w:line="1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3"/>
          <w:szCs w:val="13"/>
          <w:color w:val="auto"/>
        </w:rPr>
        <w:t>WHEREAS, Article 9 of the Plan provides for the award from time to time in the discretion of the Committee of performance units, the vesting and issuance of which are subject to certain service, performance or other conditions;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W I T N E S S E T H</w:t>
      </w:r>
      <w:r>
        <w:rPr>
          <w:rFonts w:ascii="Times New Roman" w:cs="Times New Roman" w:eastAsia="Times New Roman" w:hAnsi="Times New Roman"/>
          <w:sz w:val="13"/>
          <w:szCs w:val="13"/>
          <w:color w:val="auto"/>
        </w:rPr>
        <w:t xml:space="preserve"> :</w:t>
      </w:r>
    </w:p>
    <w:p>
      <w:pPr>
        <w:spacing w:after="0" w:line="157" w:lineRule="exact"/>
        <w:rPr>
          <w:sz w:val="20"/>
          <w:szCs w:val="20"/>
          <w:color w:val="auto"/>
        </w:rPr>
      </w:pPr>
    </w:p>
    <w:p>
      <w:pPr>
        <w:jc w:val="both"/>
        <w:ind w:firstLine="208"/>
        <w:spacing w:after="0" w:line="256" w:lineRule="auto"/>
        <w:tabs>
          <w:tab w:leader="none" w:pos="432"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Performance Units</w:t>
      </w:r>
      <w:r>
        <w:rPr>
          <w:rFonts w:ascii="Times New Roman" w:cs="Times New Roman" w:eastAsia="Times New Roman" w:hAnsi="Times New Roman"/>
          <w:sz w:val="13"/>
          <w:szCs w:val="13"/>
          <w:color w:val="auto"/>
        </w:rPr>
        <w:t>. Capital One hereby grants to you an award of performance units (the “Units”) with a target award of [# of Units] Units (the “Target Award”). The maximum payout for this award is 150% of the Target Award plus accrued dividends pursuant to Section 6. The Units shall vest and the underlying shares of common stock of Capital One, $.01 par value per share (such underlying shares, the “Shares”), shall be issuable only in accordance with the provisions of this Agreement and of the Plan.</w:t>
      </w:r>
    </w:p>
    <w:p>
      <w:pPr>
        <w:spacing w:after="0" w:line="12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Lapse of Restrictions</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420" w:firstLine="216"/>
        <w:spacing w:after="0" w:line="24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xml:space="preserve">. Except as provided in Sections 2(b) and 2(c) below and to the extent not previously vested or forfeited as provided herein, the Units shall vest on a date as determined by the Committee after termination of the Performance Period (as defined below) and certification of performance by the Committee, but no later than March 15, 2026 (the “Date of Issuance”). On the Date of Issuance, the Units shall vest, and the Shares shall become issuable as determined based on the Company’s Adjusted ROTCE and Growth of Tangible Book Value Per Share Plus Common Dividends, each as defined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relative to the Peer Group, as defined on </w:t>
      </w:r>
      <w:r>
        <w:rPr>
          <w:rFonts w:ascii="Times New Roman" w:cs="Times New Roman" w:eastAsia="Times New Roman" w:hAnsi="Times New Roman"/>
          <w:sz w:val="13"/>
          <w:szCs w:val="13"/>
          <w:u w:val="single" w:color="auto"/>
          <w:color w:val="auto"/>
        </w:rPr>
        <w:t>Appendix B</w:t>
      </w:r>
      <w:r>
        <w:rPr>
          <w:rFonts w:ascii="Times New Roman" w:cs="Times New Roman" w:eastAsia="Times New Roman" w:hAnsi="Times New Roman"/>
          <w:sz w:val="13"/>
          <w:szCs w:val="13"/>
          <w:color w:val="auto"/>
        </w:rPr>
        <w:t xml:space="preserve">, over a three-year performance period beginning on January 1, 2023 and ending on December 31, 2025 (the “Performance Period”) as certified by the Committee following the end of the Performance Period. The number of Units that shall vest and the number of Shares that shall become issuable on the Date of Issuance shall be determined as set forth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The number of Units vesting and the number of Shares that shall become issuable on the Date of Issuance shall be reduced in the event that Adjusted ROTCE for one or more fiscal years in the Performance Period is less than or equal to zero, as provided on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The number of Units vesting and the number of Shares that shall become issuable on the Date of Issuance shall also be subject to reduction in accordance with section 12(b) below.</w:t>
      </w:r>
    </w:p>
    <w:p>
      <w:pPr>
        <w:spacing w:after="0" w:line="1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With respect to any Units that have vested on the Date of Issuance, the Shares related thereto shall be issued to you, in settlement of such vested Units, on such Date of Issuance.</w:t>
      </w:r>
    </w:p>
    <w:p>
      <w:pPr>
        <w:sectPr>
          <w:pgSz w:w="11900" w:h="16838" w:orient="portrait"/>
          <w:cols w:equalWidth="0" w:num="1">
            <w:col w:w="11300"/>
          </w:cols>
          <w:pgMar w:left="300" w:top="987" w:right="299" w:bottom="1440" w:gutter="0" w:footer="0" w:header="0"/>
        </w:sectPr>
      </w:pPr>
    </w:p>
    <w:bookmarkStart w:id="281" w:name="page282"/>
    <w:bookmarkEnd w:id="281"/>
    <w:p>
      <w:pPr>
        <w:spacing w:after="0" w:line="266" w:lineRule="auto"/>
        <w:rPr>
          <w:sz w:val="20"/>
          <w:szCs w:val="20"/>
          <w:color w:val="auto"/>
        </w:rPr>
      </w:pPr>
      <w:r>
        <w:rPr>
          <w:rFonts w:ascii="Times New Roman" w:cs="Times New Roman" w:eastAsia="Times New Roman" w:hAnsi="Times New Roman"/>
          <w:sz w:val="13"/>
          <w:szCs w:val="13"/>
          <w:color w:val="auto"/>
        </w:rPr>
        <w:t>Dividends will be accrued and paid out as additional shares at the time of the award, as provided in Section 6 below. All Units, including your rights thereto and to the underlying Shares, which do not vest on or before the Date of Issuance, as provided in this Section 2, shall immediately be forfeited as of such Date of Issuance (to the extent not previously forfeited as provided herein).</w:t>
      </w:r>
    </w:p>
    <w:p>
      <w:pPr>
        <w:spacing w:after="0" w:line="128" w:lineRule="exact"/>
        <w:rPr>
          <w:sz w:val="20"/>
          <w:szCs w:val="20"/>
          <w:color w:val="auto"/>
        </w:rPr>
      </w:pPr>
    </w:p>
    <w:p>
      <w:pPr>
        <w:ind w:left="440" w:hanging="220"/>
        <w:spacing w:after="0"/>
        <w:tabs>
          <w:tab w:leader="none" w:pos="440"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Termination of Employment</w:t>
      </w:r>
      <w:r>
        <w:rPr>
          <w:rFonts w:ascii="Times New Roman" w:cs="Times New Roman" w:eastAsia="Times New Roman" w:hAnsi="Times New Roman"/>
          <w:sz w:val="13"/>
          <w:szCs w:val="13"/>
          <w:color w:val="auto"/>
        </w:rPr>
        <w:t>.</w:t>
      </w:r>
    </w:p>
    <w:p>
      <w:pPr>
        <w:spacing w:after="0" w:line="156" w:lineRule="exact"/>
        <w:rPr>
          <w:rFonts w:ascii="Times New Roman" w:cs="Times New Roman" w:eastAsia="Times New Roman" w:hAnsi="Times New Roman"/>
          <w:sz w:val="13"/>
          <w:szCs w:val="13"/>
          <w:color w:val="auto"/>
        </w:rPr>
      </w:pPr>
    </w:p>
    <w:p>
      <w:pPr>
        <w:jc w:val="both"/>
        <w:ind w:left="440" w:firstLine="142"/>
        <w:spacing w:after="0" w:line="256" w:lineRule="auto"/>
        <w:tabs>
          <w:tab w:leader="none" w:pos="872"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Sections 2(b)(ii), 2(b)(iii), and 2(b)(iv), upon termination of your employment with Capital One for any reason prior to the Date of Issuance, all Units shall immediately be forfeited (to the extent not previously vested or forfeited as provided herein). For the avoidance of doubt, a transfer of employment to an affiliate of Capital One shall not constitute a termination of employment for purposes of this Section 2(b).</w:t>
      </w:r>
    </w:p>
    <w:p>
      <w:pPr>
        <w:spacing w:after="0" w:line="133" w:lineRule="exact"/>
        <w:rPr>
          <w:rFonts w:ascii="Times New Roman" w:cs="Times New Roman" w:eastAsia="Times New Roman" w:hAnsi="Times New Roman"/>
          <w:sz w:val="13"/>
          <w:szCs w:val="13"/>
          <w:color w:val="auto"/>
        </w:rPr>
      </w:pPr>
    </w:p>
    <w:p>
      <w:pPr>
        <w:jc w:val="both"/>
        <w:ind w:left="440" w:firstLine="106"/>
        <w:spacing w:after="0" w:line="243" w:lineRule="auto"/>
        <w:tabs>
          <w:tab w:leader="none" w:pos="872"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termination of your employment as a result of your death or Disability on or prior to December 31, 2025, a number of the Units equal to (1) the Target Award amount as specified above, or (2) following a Change of Control, the Time-Based Units as calculated in Section 2(c) below, shall immediately vest and the Shares shall be immediately issuable to you as soon as practicable following your death or Disability and in all events on or before the later of December 31 of the year of termination or 2.5 months following such termination. Upon your termination of employment as a result of your death or Disability on or after January 1, 2026, but prior to the Date of Issuance, the number of Units that shall vest and the number of Shares that shall be issuable to you shall be as calculated in Section 2(a) above.</w:t>
      </w:r>
    </w:p>
    <w:p>
      <w:pPr>
        <w:spacing w:after="0" w:line="143" w:lineRule="exact"/>
        <w:rPr>
          <w:rFonts w:ascii="Times New Roman" w:cs="Times New Roman" w:eastAsia="Times New Roman" w:hAnsi="Times New Roman"/>
          <w:sz w:val="13"/>
          <w:szCs w:val="13"/>
          <w:color w:val="auto"/>
        </w:rPr>
      </w:pPr>
    </w:p>
    <w:p>
      <w:pPr>
        <w:ind w:left="860" w:hanging="351"/>
        <w:spacing w:after="0"/>
        <w:tabs>
          <w:tab w:leader="none" w:pos="860"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Retirement, the number of Units that shall vest and the number of Shares that shall be issuable to you shall be as calculated in Section 2(a) and 2(c).</w:t>
      </w:r>
    </w:p>
    <w:p>
      <w:pPr>
        <w:spacing w:after="0" w:line="156" w:lineRule="exact"/>
        <w:rPr>
          <w:rFonts w:ascii="Times New Roman" w:cs="Times New Roman" w:eastAsia="Times New Roman" w:hAnsi="Times New Roman"/>
          <w:sz w:val="13"/>
          <w:szCs w:val="13"/>
          <w:color w:val="auto"/>
        </w:rPr>
      </w:pPr>
    </w:p>
    <w:p>
      <w:pPr>
        <w:jc w:val="both"/>
        <w:ind w:left="440" w:firstLine="76"/>
        <w:spacing w:after="0" w:line="244" w:lineRule="auto"/>
        <w:tabs>
          <w:tab w:leader="none" w:pos="863"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2(b)(v), upon termination of your employment by Capital One not for Cause on or before the Date of Issuance and prior to the occurrence of a Change of Control, the number of Units that will vest and the number of underlying Shares that will become issuable to you shall be as calculated in Section 2(a) as if a termination of employment had not occurred, subject to (A) your execution of a separation agreement and/or general release of claims within a period of time as required by Capital One (in a form as prescribed by Capital One, a “Release”), (B) such Release becoming effective and irrevocable in accordance with its terms and (C) your continued compliance with the terms of such Release through the Date of Issuance. If the Date of Issuance occurs prior to the expiration of the period of time Capital One provides you to sign the Release, you shall be entitled to vesting of the Units even if you have not yet executed the Release. For avoidance of doubt, such continued vesting shall immediately cease (and any Units shall be immediately forfeited) in the event that you violate the terms and conditions of the Release.</w:t>
      </w:r>
    </w:p>
    <w:p>
      <w:pPr>
        <w:spacing w:after="0" w:line="141" w:lineRule="exact"/>
        <w:rPr>
          <w:rFonts w:ascii="Times New Roman" w:cs="Times New Roman" w:eastAsia="Times New Roman" w:hAnsi="Times New Roman"/>
          <w:sz w:val="13"/>
          <w:szCs w:val="13"/>
          <w:color w:val="auto"/>
        </w:rPr>
      </w:pPr>
    </w:p>
    <w:p>
      <w:pPr>
        <w:jc w:val="both"/>
        <w:ind w:left="440" w:firstLine="113"/>
        <w:spacing w:after="0" w:line="247" w:lineRule="auto"/>
        <w:tabs>
          <w:tab w:leader="none" w:pos="863" w:val="left"/>
        </w:tabs>
        <w:numPr>
          <w:ilvl w:val="1"/>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right to continued vesting pursuant to Section 2(b)(iv) is expressly conditioned on your compliance with any and all restrictive covenant agreements or provisions to which you are a party with Capital One including, but not limited to, those with respect to non-competition, confidentiality and work product, non-solicitation of employees/no hire of employees, non-solicitation of customers, and garden transition period or leave (collectively, “Restrictive Covenant Agreements”). You understand and agree that any actual or threatened action by you in violation of any Restrictive Covenant Agreements shall forfeit your right to continued post-employment vesting as of the date of such actual or threatened action by you in violation of such Restrictive Covenant</w:t>
      </w:r>
    </w:p>
    <w:p>
      <w:pPr>
        <w:sectPr>
          <w:pgSz w:w="11900" w:h="16838" w:orient="portrait"/>
          <w:cols w:equalWidth="0" w:num="1">
            <w:col w:w="10880"/>
          </w:cols>
          <w:pgMar w:left="720" w:top="989" w:right="299" w:bottom="1440" w:gutter="0" w:footer="0" w:header="0"/>
        </w:sectPr>
      </w:pPr>
    </w:p>
    <w:bookmarkStart w:id="282" w:name="page283"/>
    <w:bookmarkEnd w:id="282"/>
    <w:p>
      <w:pPr>
        <w:jc w:val="both"/>
        <w:ind w:left="440"/>
        <w:spacing w:after="0" w:line="256" w:lineRule="auto"/>
        <w:rPr>
          <w:sz w:val="20"/>
          <w:szCs w:val="20"/>
          <w:color w:val="auto"/>
        </w:rPr>
      </w:pPr>
      <w:r>
        <w:rPr>
          <w:rFonts w:ascii="Times New Roman" w:cs="Times New Roman" w:eastAsia="Times New Roman" w:hAnsi="Times New Roman"/>
          <w:sz w:val="13"/>
          <w:szCs w:val="13"/>
          <w:color w:val="auto"/>
        </w:rPr>
        <w:t>Agreement. You further understand and agree that any forfeiture of continued vesting rights under this Agreement, or waiver thereof, shall not limit Capital One’s rights to pursue any and all legal and equitable remedies and damages available for your breach of the Restrictive Covenant Agreements under the terms of such agreements and applicable law, including but not limited to, injunctive relief, monetary damages, costs and fees.</w:t>
      </w:r>
    </w:p>
    <w:p>
      <w:pPr>
        <w:spacing w:after="0" w:line="125" w:lineRule="exact"/>
        <w:rPr>
          <w:sz w:val="20"/>
          <w:szCs w:val="20"/>
          <w:color w:val="auto"/>
        </w:rPr>
      </w:pPr>
    </w:p>
    <w:p>
      <w:pPr>
        <w:jc w:val="both"/>
        <w:ind w:firstLine="220"/>
        <w:spacing w:after="0"/>
        <w:tabs>
          <w:tab w:leader="none" w:pos="424"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Change of Control</w:t>
      </w:r>
      <w:r>
        <w:rPr>
          <w:rFonts w:ascii="Times New Roman" w:cs="Times New Roman" w:eastAsia="Times New Roman" w:hAnsi="Times New Roman"/>
          <w:sz w:val="13"/>
          <w:szCs w:val="13"/>
          <w:color w:val="auto"/>
        </w:rPr>
        <w:t>. Upon a Change of Control, a number of Units shall, upon certification of performance by the Committee, convert into time-based restricted stock units (the “Time-Based Units”) (as may be adjusted in accordance with Section 4.4 of the Plan) calculated based on a performance period from January 1, 2023 through the end of the fiscal quarter immediately preceding the closing date of the transaction giving rise to the Change of Control; and provided further that the Date of Issuance in such case shall be December 31, 2025 subject to either (1) your continued employment through such date or (2) your Retirement, pursuant to Section 2(b)(iii). Upon termination of your employment by Capital One without Cause or by you for Good Reason (each as defined below), in either case on or prior to the second anniversary of the occurrence of a Change of Control of Capital One and prior to the Date of Issuance with respect to the Time-Based Units, then notwithstanding anything herein to the contrary, all of the Time-Based Units shall vest and the Shares shall be issuable in full without restrictions on transferability immediately upon the occurrence of your termination of employment following such Change of Control (to the extent not previously vested or forfeited as provided herein) and such date shall be the Date of Issuance; provided, however, that if the Time-Based Units are considered deferred compensation under Section 409A of the Code and not exempt from Section 409A of the Code as a short-term deferral or otherwise, and you are a “specified employee,” as defined in and pursuant to Reg. Section 1.409A 1(i) or any successor regulation, on the date of any such termination of employment without Cause or for Good Reason, you will not be entitled to such vesting prior to the earlier of (i) the date which is six months from the date of your “separation from service” (as defined in Reg. Section 1.409A 1(h) or any successor regulation) as a result of such termination and (ii) your death.</w:t>
      </w:r>
    </w:p>
    <w:p>
      <w:pPr>
        <w:spacing w:after="0" w:line="296"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3"/>
          <w:szCs w:val="13"/>
          <w:color w:val="auto"/>
        </w:rPr>
        <w:t>With respect to any Time-Based Units that have vested, the Shares related thereto shall be issued to you, in settlement of such vested Time-Based Units, on the Date of Issuance. Dividends will be accrued and paid out as additional shares at the time of the award, as provided in Section 6 below. All Time-Based Units, including your rights thereto and to the underlying Shares, which do not vest on or before the Date of Issuance, as provided in this Section 2, shall immediately be forfeited as of such Date of Issuance (to the extent not previously forfeited as provided herein).</w:t>
      </w:r>
    </w:p>
    <w:p>
      <w:pPr>
        <w:spacing w:after="0" w:line="121" w:lineRule="exact"/>
        <w:rPr>
          <w:sz w:val="20"/>
          <w:szCs w:val="20"/>
          <w:color w:val="auto"/>
        </w:rPr>
      </w:pPr>
    </w:p>
    <w:p>
      <w:pPr>
        <w:ind w:left="440" w:hanging="220"/>
        <w:spacing w:after="0"/>
        <w:tabs>
          <w:tab w:leader="none" w:pos="440"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jc w:val="both"/>
        <w:ind w:left="440" w:firstLine="146"/>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For purposes of this Agreement, “Cause” shall mean (1) the willful and continued failure to perform substantially your duties with the Company or any Affiliate (other than any such failure resulting from incapacity due to physical or mental illness or following your delivery of a Notice of Termination (as defined below) for Good Reason), after a written demand for substantial performance is delivered to you by the Board or the Chief Executive Officer of the Company that specifically identifies the manner in which the Board or the Chief Executive Officer of the Company believes that you have not substantially performed your duties, or (2) the willful engaging by you in illegal conduct or gross misconduct that is materially and demonstrably injurious to the Company. No act, or failure to act, on your part shall be considered “willful” unless it is done, or omitted to be done, by you in bad faith or without reasonable belief that your action or omission was in the best interests of the Company. Any act, or failure to act, based upon (A) authority given pursuant to a resolution duly adopted by the Board, or if the Company is not the ultimate parent corporation of the Employer and is not publicly-</w:t>
      </w:r>
    </w:p>
    <w:p>
      <w:pPr>
        <w:sectPr>
          <w:pgSz w:w="11900" w:h="16838" w:orient="portrait"/>
          <w:cols w:equalWidth="0" w:num="1">
            <w:col w:w="10880"/>
          </w:cols>
          <w:pgMar w:left="720" w:top="989" w:right="299" w:bottom="1440" w:gutter="0" w:footer="0" w:header="0"/>
        </w:sectPr>
      </w:pPr>
    </w:p>
    <w:bookmarkStart w:id="283" w:name="page284"/>
    <w:bookmarkEnd w:id="283"/>
    <w:p>
      <w:pPr>
        <w:jc w:val="both"/>
        <w:spacing w:after="0" w:line="244" w:lineRule="auto"/>
        <w:rPr>
          <w:sz w:val="20"/>
          <w:szCs w:val="20"/>
          <w:color w:val="auto"/>
        </w:rPr>
      </w:pPr>
      <w:r>
        <w:rPr>
          <w:rFonts w:ascii="Times New Roman" w:cs="Times New Roman" w:eastAsia="Times New Roman" w:hAnsi="Times New Roman"/>
          <w:sz w:val="13"/>
          <w:szCs w:val="13"/>
          <w:color w:val="auto"/>
        </w:rPr>
        <w:t>traded, the board of directors (or equivalent management body) of the ultimate parent of the Employer (the “Applicable Board”), (B) the instructions of the Chief Executive Officer of the Company (unless you are the Chief Executive Officer at the time of any such instruction) or (C) the advice of counsel for the Company shall be conclusively presumed to be done, or omitted to be done, by you in good faith and in the best interests of the Company. The cessation of your employment shall not be deemed to be for Cause unless and until there shall have been delivered to you a copy of a resolution duly adopted by the affirmative vote of not less than three-quarters of the entire membership of the Applicable Board (excluding you, if you are a member of the Applicable Board) at a meeting of the Applicable Board called and held for such purpose (after reasonable notice is provided to you and you are given an opportunity, together with your counsel, to be heard before the Applicable Board), finding that, in the good faith opinion of the Applicable Board, you are guilty of the conduct described in this Section 2(d)(i), and specifying the particulars thereof in detail.</w:t>
      </w:r>
    </w:p>
    <w:p>
      <w:pPr>
        <w:spacing w:after="0" w:line="141" w:lineRule="exact"/>
        <w:rPr>
          <w:sz w:val="20"/>
          <w:szCs w:val="20"/>
          <w:color w:val="auto"/>
        </w:rPr>
      </w:pPr>
    </w:p>
    <w:p>
      <w:pPr>
        <w:jc w:val="both"/>
        <w:ind w:firstLine="106"/>
        <w:spacing w:after="0" w:line="241" w:lineRule="auto"/>
        <w:tabs>
          <w:tab w:leader="none" w:pos="432"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“Good Reason” shall mean (1) the assignment to you of any duties inconsistent in any respect with your position (including status, offices, titles and reporting requirements), authority, duties or responsibilities, or any action by the Company that results in a diminution in such position, authority, duties or responsibilities, excluding for this purpose an isolated, insubstantial and inadvertent action not taken in bad faith and that is remedied by the Company promptly after receipt of notice thereof given by you; (2) any failure by the Company to pay your compensation owed other than an isolated, insubstantial and inadvertent failure not occurring in bad faith and that is remedied by the Company promptly after receipt of notice thereof given by you; (3) the Company’s requiring you (I) to be based at any office or location more than 35 miles from the office or location at which you were required to work as of the date of this Agreement or (II) to travel on Company business to a substantially greater extent than required during the 120-day period immediately prior to the date the Change of Control occurs; or (4) any other action or inaction that constitutes a material breach by the Company of this Agreement or any employment agreement. For purposes of this Section 2(d)(ii) of this Agreement, any good faith determination of Good Reason made by you shall be conclusive. Your mental or physical incapacity following the occurrence of an event described above in clauses (1) through (4) shall not affect your ability to terminate employment for Good Reason.</w:t>
      </w:r>
    </w:p>
    <w:p>
      <w:pPr>
        <w:spacing w:after="0" w:line="134" w:lineRule="exact"/>
        <w:rPr>
          <w:rFonts w:ascii="Times New Roman" w:cs="Times New Roman" w:eastAsia="Times New Roman" w:hAnsi="Times New Roman"/>
          <w:sz w:val="13"/>
          <w:szCs w:val="13"/>
          <w:color w:val="auto"/>
        </w:rPr>
      </w:pPr>
    </w:p>
    <w:p>
      <w:pPr>
        <w:jc w:val="both"/>
        <w:ind w:firstLine="69"/>
        <w:spacing w:after="0" w:line="244" w:lineRule="auto"/>
        <w:tabs>
          <w:tab w:leader="none" w:pos="432"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termination by the Company for Cause, or by you for Good Reason, shall be communicated by Notice of Termination to the other party. “Notice of Termination” means a written notice that (1) indicates the specific termination provision in this Agreement relied upon, (2) to the extent applicable, sets forth in reasonable detail the facts and circumstances claimed to provide a basis for termination of your employment under the provision so indicated, and (3) if the Date of Termination (as defined herein) is other than the date of receipt of such notice, specifies the Date of Termination (which Date of Termination shall be not more than 30 days after the giving of such notice). The failure by you or the Company to set forth in the Notice of Termination any fact or circumstance that contributes to a showing of Good Reason or Cause shall not waive any right of you or the Company, respectively, hereunder or preclude you or the Company, respectively, from asserting such fact or circumstance in enforcing your or the Company’s respective rights hereunder.</w:t>
      </w:r>
    </w:p>
    <w:p>
      <w:pPr>
        <w:spacing w:after="0" w:line="141" w:lineRule="exact"/>
        <w:rPr>
          <w:rFonts w:ascii="Times New Roman" w:cs="Times New Roman" w:eastAsia="Times New Roman" w:hAnsi="Times New Roman"/>
          <w:sz w:val="13"/>
          <w:szCs w:val="13"/>
          <w:color w:val="auto"/>
        </w:rPr>
      </w:pPr>
    </w:p>
    <w:p>
      <w:pPr>
        <w:ind w:firstLine="76"/>
        <w:spacing w:after="0" w:line="266" w:lineRule="auto"/>
        <w:tabs>
          <w:tab w:leader="none" w:pos="423"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“Date of Termination” means, if your employment is terminated by the Company for Cause, or by you for Good Reason, the date of receipt of the Notice of Termination or such later date specified in the Notice of Termination, as the case may be. You and the</w:t>
      </w:r>
    </w:p>
    <w:p>
      <w:pPr>
        <w:sectPr>
          <w:pgSz w:w="11900" w:h="16838" w:orient="portrait"/>
          <w:cols w:equalWidth="0" w:num="1">
            <w:col w:w="10440"/>
          </w:cols>
          <w:pgMar w:left="1160" w:top="989" w:right="299" w:bottom="1440" w:gutter="0" w:footer="0" w:header="0"/>
        </w:sectPr>
      </w:pPr>
    </w:p>
    <w:bookmarkStart w:id="284" w:name="page285"/>
    <w:bookmarkEnd w:id="284"/>
    <w:p>
      <w:pPr>
        <w:ind w:left="652" w:right="20"/>
        <w:spacing w:after="0" w:line="266" w:lineRule="auto"/>
        <w:rPr>
          <w:sz w:val="20"/>
          <w:szCs w:val="20"/>
          <w:color w:val="auto"/>
        </w:rPr>
      </w:pPr>
      <w:r>
        <w:rPr>
          <w:rFonts w:ascii="Times New Roman" w:cs="Times New Roman" w:eastAsia="Times New Roman" w:hAnsi="Times New Roman"/>
          <w:sz w:val="13"/>
          <w:szCs w:val="13"/>
          <w:color w:val="auto"/>
        </w:rPr>
        <w:t>Company shall take all steps necessary to ensure that any termination described in this Section 2(d) constitutes a “separation from service” within the meaning of Section 409A of the Code, and notwithstanding anything contained herein to the contrary, the date on which such separation from service takes place shall be the “Date of Termination.”</w:t>
      </w:r>
    </w:p>
    <w:p>
      <w:pPr>
        <w:spacing w:after="0" w:line="128" w:lineRule="exact"/>
        <w:rPr>
          <w:sz w:val="20"/>
          <w:szCs w:val="20"/>
          <w:color w:val="auto"/>
        </w:rPr>
      </w:pPr>
    </w:p>
    <w:p>
      <w:pPr>
        <w:jc w:val="both"/>
        <w:ind w:left="-208" w:firstLine="208"/>
        <w:spacing w:after="0" w:line="247" w:lineRule="auto"/>
        <w:tabs>
          <w:tab w:leader="none" w:pos="224"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w:t>
      </w:r>
      <w:r>
        <w:rPr>
          <w:rFonts w:ascii="Times New Roman" w:cs="Times New Roman" w:eastAsia="Times New Roman" w:hAnsi="Times New Roman"/>
          <w:sz w:val="13"/>
          <w:szCs w:val="13"/>
          <w:color w:val="auto"/>
        </w:rPr>
        <w:t>. Subject to the provisions of Section 2 and 14 hereof, the right to receive some or all of the Units and the Shares related thereto shall not be assignable or transferable, or otherwise alienated, pledged or hypothecated or otherwise encumbered under any circumstances. Any purported or attempted assignment, transfer, alienation, pledge, hypothecation or encumbrance of such rights or of the Units or the Shares related thereto prior to their issuance to you shall be null and void and shall result in the immediate forfeiture of such rights or Units, including the Shares related thereto, and cancellation of this Agreement.</w:t>
      </w:r>
    </w:p>
    <w:p>
      <w:pPr>
        <w:spacing w:after="0" w:line="140" w:lineRule="exact"/>
        <w:rPr>
          <w:rFonts w:ascii="Times New Roman" w:cs="Times New Roman" w:eastAsia="Times New Roman" w:hAnsi="Times New Roman"/>
          <w:sz w:val="13"/>
          <w:szCs w:val="13"/>
          <w:color w:val="auto"/>
        </w:rPr>
      </w:pPr>
    </w:p>
    <w:p>
      <w:pPr>
        <w:jc w:val="both"/>
        <w:ind w:left="-208" w:firstLine="208"/>
        <w:spacing w:after="0" w:line="243" w:lineRule="auto"/>
        <w:tabs>
          <w:tab w:leader="none" w:pos="224"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and Waiver</w:t>
      </w:r>
      <w:r>
        <w:rPr>
          <w:rFonts w:ascii="Times New Roman" w:cs="Times New Roman" w:eastAsia="Times New Roman" w:hAnsi="Times New Roman"/>
          <w:sz w:val="13"/>
          <w:szCs w:val="13"/>
          <w:color w:val="auto"/>
        </w:rPr>
        <w:t>. Except as provided in the Plan with respect to determinations of the Board or the Committee and subject to the Committee’s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43"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If you become subject to withholding under applicable tax laws, you agree to pay Capital One the amount required to be withheld by one or more of the following methods:</w:t>
      </w:r>
    </w:p>
    <w:p>
      <w:pPr>
        <w:spacing w:after="0" w:line="156" w:lineRule="exact"/>
        <w:rPr>
          <w:rFonts w:ascii="Times New Roman" w:cs="Times New Roman" w:eastAsia="Times New Roman" w:hAnsi="Times New Roman"/>
          <w:sz w:val="13"/>
          <w:szCs w:val="13"/>
          <w:color w:val="auto"/>
        </w:rPr>
      </w:pPr>
    </w:p>
    <w:p>
      <w:pPr>
        <w:ind w:left="212" w:firstLine="220"/>
        <w:spacing w:after="0" w:line="266" w:lineRule="auto"/>
        <w:tabs>
          <w:tab w:leader="none" w:pos="636" w:val="left"/>
        </w:tabs>
        <w:numPr>
          <w:ilvl w:val="1"/>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will automatically withhold the number of Shares having a Fair Market Value on the date the tax withholding obligation is to be determined equal to the amount required to be withheld (as determined pursuant to the Plan), rounded up to the nearest whole Share; or</w:t>
      </w:r>
    </w:p>
    <w:p>
      <w:pPr>
        <w:spacing w:after="0" w:line="127" w:lineRule="exact"/>
        <w:rPr>
          <w:rFonts w:ascii="Times New Roman" w:cs="Times New Roman" w:eastAsia="Times New Roman" w:hAnsi="Times New Roman"/>
          <w:sz w:val="13"/>
          <w:szCs w:val="13"/>
          <w:color w:val="auto"/>
        </w:rPr>
      </w:pPr>
    </w:p>
    <w:p>
      <w:pPr>
        <w:ind w:left="652" w:hanging="220"/>
        <w:spacing w:after="0"/>
        <w:tabs>
          <w:tab w:leader="none" w:pos="652" w:val="left"/>
        </w:tabs>
        <w:numPr>
          <w:ilvl w:val="1"/>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such other methods as Capital One may make available from time to time.</w:t>
      </w:r>
    </w:p>
    <w:p>
      <w:pPr>
        <w:spacing w:after="0" w:line="156" w:lineRule="exact"/>
        <w:rPr>
          <w:rFonts w:ascii="Times New Roman" w:cs="Times New Roman" w:eastAsia="Times New Roman" w:hAnsi="Times New Roman"/>
          <w:sz w:val="13"/>
          <w:szCs w:val="13"/>
          <w:color w:val="auto"/>
        </w:rPr>
      </w:pPr>
    </w:p>
    <w:p>
      <w:pPr>
        <w:jc w:val="both"/>
        <w:ind w:left="-208" w:firstLine="208"/>
        <w:spacing w:after="0" w:line="252" w:lineRule="auto"/>
        <w:tabs>
          <w:tab w:leader="none" w:pos="224"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Dividends with respect to the Shares shall accrue beginning on January 1, 2023, through the applicable Date of Issuance when the Shares underlying the Units or Time-Based Units are delivered, at which time such accrued dividends shall be paid out in the form of additional shares of common stock of the Company based on the Fair Market Value of a share of the Company’s common stock on the business day prior to the Date of Issuance. The accrued dividends that shall be paid out to you shall be only such amount that has accrued with respect to the Shares underlying the Units or Time-Based Units that vest on the Date of Issuance.</w:t>
      </w:r>
    </w:p>
    <w:p>
      <w:pPr>
        <w:spacing w:after="0" w:line="128" w:lineRule="exact"/>
        <w:rPr>
          <w:rFonts w:ascii="Times New Roman" w:cs="Times New Roman" w:eastAsia="Times New Roman" w:hAnsi="Times New Roman"/>
          <w:sz w:val="13"/>
          <w:szCs w:val="13"/>
          <w:color w:val="auto"/>
        </w:rPr>
      </w:pPr>
    </w:p>
    <w:p>
      <w:pPr>
        <w:jc w:val="both"/>
        <w:ind w:left="-208" w:firstLine="208"/>
        <w:spacing w:after="0" w:line="256" w:lineRule="auto"/>
        <w:tabs>
          <w:tab w:leader="none" w:pos="224"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United States federal law and, to the extent not preempted thereby, by the laws of the State of Delaware. Capital One and you hereby consent and submit to the personal jurisdiction and venue of any state or federal court located in any city or county of Delaware for resolution of any and all claims, causes of action or disputes arising out of this Agreement. You and Capital One agree that the court shall not set aside the Committee’s determinations unless there is clear and convincing evidence of bad faith or fraud.</w:t>
      </w:r>
    </w:p>
    <w:p>
      <w:pPr>
        <w:spacing w:after="0" w:line="124" w:lineRule="exact"/>
        <w:rPr>
          <w:rFonts w:ascii="Times New Roman" w:cs="Times New Roman" w:eastAsia="Times New Roman" w:hAnsi="Times New Roman"/>
          <w:sz w:val="13"/>
          <w:szCs w:val="13"/>
          <w:color w:val="auto"/>
        </w:rPr>
      </w:pPr>
    </w:p>
    <w:p>
      <w:pPr>
        <w:ind w:left="-208" w:firstLine="208"/>
        <w:spacing w:after="0" w:line="281" w:lineRule="auto"/>
        <w:tabs>
          <w:tab w:leader="none" w:pos="224"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In the event of any conflict between the provisions of the Plan as in effect on the Date of Grant and the provisions of this Agreement, except as provided otherwise herein, the provisions of this Agreement shall govern. All references herein to the Plan shall mean the Plan as in effect on the date hereof.</w:t>
      </w:r>
    </w:p>
    <w:p>
      <w:pPr>
        <w:sectPr>
          <w:pgSz w:w="11900" w:h="16838" w:orient="portrait"/>
          <w:cols w:equalWidth="0" w:num="1">
            <w:col w:w="11092"/>
          </w:cols>
          <w:pgMar w:left="508" w:top="989" w:right="299" w:bottom="1440" w:gutter="0" w:footer="0" w:header="0"/>
        </w:sectPr>
      </w:pPr>
    </w:p>
    <w:bookmarkStart w:id="285" w:name="page286"/>
    <w:bookmarkEnd w:id="285"/>
    <w:p>
      <w:pPr>
        <w:ind w:left="-208" w:firstLine="208"/>
        <w:spacing w:after="0" w:line="266" w:lineRule="auto"/>
        <w:tabs>
          <w:tab w:leader="none" w:pos="224"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Bound by Plan</w:t>
      </w:r>
      <w:r>
        <w:rPr>
          <w:rFonts w:ascii="Times New Roman" w:cs="Times New Roman" w:eastAsia="Times New Roman" w:hAnsi="Times New Roman"/>
          <w:sz w:val="13"/>
          <w:szCs w:val="13"/>
          <w:color w:val="auto"/>
        </w:rPr>
        <w:t>. In consideration of the grant of the Units and the Shares, you agree that you will comply with such conditions as the Committee may impose on the Units and the Shares and be bound by the terms of the Plan.</w:t>
      </w:r>
    </w:p>
    <w:p>
      <w:pPr>
        <w:spacing w:after="0" w:line="127"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Employment Status</w:t>
      </w:r>
      <w:r>
        <w:rPr>
          <w:rFonts w:ascii="Times New Roman" w:cs="Times New Roman" w:eastAsia="Times New Roman" w:hAnsi="Times New Roman"/>
          <w:sz w:val="13"/>
          <w:szCs w:val="13"/>
          <w:color w:val="auto"/>
        </w:rPr>
        <w:t>. This Agreement does not constitute a contract of employment nor does it alter your terminable at will status or otherwise guarantee future employment.</w:t>
      </w:r>
    </w:p>
    <w:p>
      <w:pPr>
        <w:spacing w:after="0" w:line="156" w:lineRule="exact"/>
        <w:rPr>
          <w:rFonts w:ascii="Times New Roman" w:cs="Times New Roman" w:eastAsia="Times New Roman" w:hAnsi="Times New Roman"/>
          <w:sz w:val="13"/>
          <w:szCs w:val="13"/>
          <w:color w:val="auto"/>
        </w:rPr>
      </w:pPr>
    </w:p>
    <w:p>
      <w:pPr>
        <w:ind w:left="-208" w:firstLine="208"/>
        <w:spacing w:after="0" w:line="281" w:lineRule="auto"/>
        <w:tabs>
          <w:tab w:leader="none" w:pos="213"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This Agreement shall be binding upon, enforceable against, and inure to the benefit of you and your legatees, distributees and personal representatives, and Capital One and its successors and assigns.</w:t>
      </w:r>
    </w:p>
    <w:p>
      <w:pPr>
        <w:spacing w:after="0" w:line="108"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Clawbacks and Other Forfeiture Events</w:t>
      </w:r>
      <w:r>
        <w:rPr>
          <w:rFonts w:ascii="Times New Roman" w:cs="Times New Roman" w:eastAsia="Times New Roman" w:hAnsi="Times New Roman"/>
          <w:sz w:val="13"/>
          <w:szCs w:val="13"/>
          <w:color w:val="auto"/>
        </w:rPr>
        <w:t>.</w:t>
      </w:r>
    </w:p>
    <w:p>
      <w:pPr>
        <w:spacing w:after="0" w:line="166" w:lineRule="exact"/>
        <w:rPr>
          <w:sz w:val="20"/>
          <w:szCs w:val="20"/>
          <w:color w:val="auto"/>
        </w:rPr>
      </w:pPr>
    </w:p>
    <w:p>
      <w:pPr>
        <w:ind w:left="212" w:firstLine="220"/>
        <w:spacing w:after="0" w:line="266" w:lineRule="auto"/>
        <w:tabs>
          <w:tab w:leader="none" w:pos="636"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prior to the third anniversary of the Date of Issuance, a Restatement Date occurs, you shall deliver to the Company on the Restatement Delivery Date the Clawback Shares (each as defined below), if any, as determined under this Section 12(a).</w:t>
      </w:r>
    </w:p>
    <w:p>
      <w:pPr>
        <w:spacing w:after="0" w:line="11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3"/>
          <w:szCs w:val="13"/>
          <w:color w:val="auto"/>
        </w:rPr>
        <w:t>For purposes of this Section 12(a):</w:t>
      </w:r>
    </w:p>
    <w:p>
      <w:pPr>
        <w:spacing w:after="0" w:line="166" w:lineRule="exact"/>
        <w:rPr>
          <w:sz w:val="20"/>
          <w:szCs w:val="20"/>
          <w:color w:val="auto"/>
        </w:rPr>
      </w:pPr>
    </w:p>
    <w:p>
      <w:pPr>
        <w:ind w:left="1072" w:hanging="278"/>
        <w:spacing w:after="0"/>
        <w:tabs>
          <w:tab w:leader="none" w:pos="1072"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“Amended Adjusted ROTCE” means the Adjusted ROTCE over the Performance Period and taking into account the financial results of the Company as reflected in the Restatement.</w:t>
      </w:r>
    </w:p>
    <w:p>
      <w:pPr>
        <w:spacing w:after="0" w:line="156" w:lineRule="exact"/>
        <w:rPr>
          <w:rFonts w:ascii="Times New Roman" w:cs="Times New Roman" w:eastAsia="Times New Roman" w:hAnsi="Times New Roman"/>
          <w:sz w:val="13"/>
          <w:szCs w:val="13"/>
          <w:color w:val="auto"/>
        </w:rPr>
      </w:pPr>
    </w:p>
    <w:p>
      <w:pPr>
        <w:ind w:left="652" w:firstLine="106"/>
        <w:spacing w:after="0" w:line="281" w:lineRule="auto"/>
        <w:tabs>
          <w:tab w:leader="none" w:pos="1084"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“Amended Growth of Tangible Book Value Per Share Plus Common Dividends” means the Growth of Tangible Book Value Per Share Plus Common Dividends over the Performance Period and taking into account the financial results of the Company as reflected in the Restatement.</w:t>
      </w:r>
    </w:p>
    <w:p>
      <w:pPr>
        <w:spacing w:after="0" w:line="108" w:lineRule="exact"/>
        <w:rPr>
          <w:rFonts w:ascii="Times New Roman" w:cs="Times New Roman" w:eastAsia="Times New Roman" w:hAnsi="Times New Roman"/>
          <w:sz w:val="13"/>
          <w:szCs w:val="13"/>
          <w:color w:val="auto"/>
        </w:rPr>
      </w:pPr>
    </w:p>
    <w:p>
      <w:pPr>
        <w:ind w:left="1072" w:hanging="351"/>
        <w:spacing w:after="0"/>
        <w:tabs>
          <w:tab w:leader="none" w:pos="1072"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“Held Shares” means the Shares held by you as of the Restatement Delivery Date in the event that such number of Shares is less than the Clawback Shares.</w:t>
      </w:r>
    </w:p>
    <w:p>
      <w:pPr>
        <w:spacing w:after="0" w:line="156" w:lineRule="exact"/>
        <w:rPr>
          <w:rFonts w:ascii="Times New Roman" w:cs="Times New Roman" w:eastAsia="Times New Roman" w:hAnsi="Times New Roman"/>
          <w:sz w:val="13"/>
          <w:szCs w:val="13"/>
          <w:color w:val="auto"/>
        </w:rPr>
      </w:pPr>
    </w:p>
    <w:p>
      <w:pPr>
        <w:jc w:val="both"/>
        <w:ind w:left="652" w:firstLine="76"/>
        <w:spacing w:after="0" w:line="241" w:lineRule="auto"/>
        <w:tabs>
          <w:tab w:leader="none" w:pos="1075"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“Clawback Shares” means the number of Shares equal to (A) the number of Shares that were issued to you under this Agreement on the Date of Issuance </w:t>
      </w:r>
      <w:r>
        <w:rPr>
          <w:rFonts w:ascii="Times New Roman" w:cs="Times New Roman" w:eastAsia="Times New Roman" w:hAnsi="Times New Roman"/>
          <w:sz w:val="13"/>
          <w:szCs w:val="13"/>
          <w:u w:val="single" w:color="auto"/>
          <w:color w:val="auto"/>
        </w:rPr>
        <w:t>minus</w:t>
      </w:r>
      <w:r>
        <w:rPr>
          <w:rFonts w:ascii="Times New Roman" w:cs="Times New Roman" w:eastAsia="Times New Roman" w:hAnsi="Times New Roman"/>
          <w:sz w:val="13"/>
          <w:szCs w:val="13"/>
          <w:color w:val="auto"/>
        </w:rPr>
        <w:t xml:space="preserve"> (B) the number of shares of common stock of the Company that would have been issuable to you on the Date of Issuance as determined based on the Amended Adjusted ROTCE and the Amended Growth of Tangible Book Value Per Share Plus Common Dividends and certified by the Committee following the Restatement Date. If any member of the Peer Group restates its financial results for all or any portion of the Performance Period prior to the date that the number of Clawback Shares is certified by the Committee, then the Adjusted ROTCE and Growth of Tangible Book Value Per Share Plus Common Dividends for such member of the Peer Group used for purposes of calculating the Clawback Shares shall take into account such restatement. For the avoidance of doubt, neither you nor the Company shall have any obligation with respect to the Clawback Shares in the event that the number of Shares in clause (B) of the preceding sentence exceeds the number of Shares in clause (A) of the preceding sentence. The Clawback Shares shall be delivered to the Company in Shares; provided, however, that in the event that on the Restatement Delivery Date you do not hold a number of Shares equal to or greater than the Clawback Shares, you shall deliver to the Company (x) all Held Shares </w:t>
      </w:r>
      <w:r>
        <w:rPr>
          <w:rFonts w:ascii="Times New Roman" w:cs="Times New Roman" w:eastAsia="Times New Roman" w:hAnsi="Times New Roman"/>
          <w:sz w:val="13"/>
          <w:szCs w:val="13"/>
          <w:u w:val="single" w:color="auto"/>
          <w:color w:val="auto"/>
        </w:rPr>
        <w:t>plus</w:t>
      </w:r>
      <w:r>
        <w:rPr>
          <w:rFonts w:ascii="Times New Roman" w:cs="Times New Roman" w:eastAsia="Times New Roman" w:hAnsi="Times New Roman"/>
          <w:sz w:val="13"/>
          <w:szCs w:val="13"/>
          <w:color w:val="auto"/>
        </w:rPr>
        <w:t xml:space="preserve"> (y) the pre-tax proceeds from sales or other transfers of all Recovery Shares. Such pre-tax proceeds shall be calculated starting with the most recent sale or other transfer of Recovery Shares prior to the Restatement Delivery Date and continuing in reverse chronological order with any prior sales or transfers of Recovery Shares until the pre-tax</w:t>
      </w:r>
    </w:p>
    <w:p>
      <w:pPr>
        <w:sectPr>
          <w:pgSz w:w="11900" w:h="16838" w:orient="portrait"/>
          <w:cols w:equalWidth="0" w:num="1">
            <w:col w:w="11092"/>
          </w:cols>
          <w:pgMar w:left="508" w:top="989" w:right="299" w:bottom="1440" w:gutter="0" w:footer="0" w:header="0"/>
        </w:sectPr>
      </w:pPr>
    </w:p>
    <w:bookmarkStart w:id="286" w:name="page287"/>
    <w:bookmarkEnd w:id="286"/>
    <w:p>
      <w:pPr>
        <w:jc w:val="both"/>
        <w:ind w:left="652"/>
        <w:spacing w:after="0" w:line="256" w:lineRule="auto"/>
        <w:rPr>
          <w:sz w:val="20"/>
          <w:szCs w:val="20"/>
          <w:color w:val="auto"/>
        </w:rPr>
      </w:pPr>
      <w:r>
        <w:rPr>
          <w:rFonts w:ascii="Times New Roman" w:cs="Times New Roman" w:eastAsia="Times New Roman" w:hAnsi="Times New Roman"/>
          <w:sz w:val="13"/>
          <w:szCs w:val="13"/>
          <w:color w:val="auto"/>
        </w:rPr>
        <w:t>proceeds of all Recovery Shares are determined. The “pre-tax proceeds” for any Recovery Shares that were transferred by you in a transaction other than a sale on the New York Stock Exchange shall be the Fair Market Value of such Recovery Shares as of the date of such transaction. The “pre-tax proceeds” for any Recovery Shares that were withheld pursuant to Section 5 shall be the Fair Market Value of such Recovery Shares as of the date they were withheld.</w:t>
      </w:r>
    </w:p>
    <w:p>
      <w:pPr>
        <w:spacing w:after="0" w:line="125" w:lineRule="exact"/>
        <w:rPr>
          <w:sz w:val="20"/>
          <w:szCs w:val="20"/>
          <w:color w:val="auto"/>
        </w:rPr>
      </w:pPr>
    </w:p>
    <w:p>
      <w:pPr>
        <w:ind w:left="1072" w:hanging="307"/>
        <w:spacing w:after="0"/>
        <w:tabs>
          <w:tab w:leader="none" w:pos="1072" w:val="left"/>
        </w:tabs>
        <w:numPr>
          <w:ilvl w:val="2"/>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“Recovery Shares” means the number of Shares equal to the difference between the Clawback Shares and your Held Shares.</w:t>
      </w:r>
    </w:p>
    <w:p>
      <w:pPr>
        <w:spacing w:after="0" w:line="165" w:lineRule="exact"/>
        <w:rPr>
          <w:rFonts w:ascii="Times New Roman" w:cs="Times New Roman" w:eastAsia="Times New Roman" w:hAnsi="Times New Roman"/>
          <w:sz w:val="13"/>
          <w:szCs w:val="13"/>
          <w:color w:val="auto"/>
        </w:rPr>
      </w:pPr>
    </w:p>
    <w:p>
      <w:pPr>
        <w:jc w:val="both"/>
        <w:ind w:left="652" w:firstLine="76"/>
        <w:spacing w:after="0" w:line="247" w:lineRule="auto"/>
        <w:tabs>
          <w:tab w:leader="none" w:pos="1084" w:val="left"/>
        </w:tabs>
        <w:numPr>
          <w:ilvl w:val="2"/>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“Restatement” means an accounting restatement of the Company’s financial statements, covering all or any portion of the Performance Period, due to the noncompliance of the Company with any financial reporting requirement under the securities laws. For the avoidance of doubt, in the event that the Company makes any accounting restatement solely due to (A) any change after the Date of Issuance in U.S. generally accepted accounting principles or (B) any change after the Date of Issuance in financial reporting requirements under the securities laws, such restatement shall not constitute a “Restatement” under this Section 12(a).</w:t>
      </w:r>
    </w:p>
    <w:p>
      <w:pPr>
        <w:spacing w:after="0" w:line="131" w:lineRule="exact"/>
        <w:rPr>
          <w:rFonts w:ascii="Times New Roman" w:cs="Times New Roman" w:eastAsia="Times New Roman" w:hAnsi="Times New Roman"/>
          <w:sz w:val="13"/>
          <w:szCs w:val="13"/>
          <w:color w:val="auto"/>
        </w:rPr>
      </w:pPr>
    </w:p>
    <w:p>
      <w:pPr>
        <w:ind w:left="652" w:firstLine="40"/>
        <w:spacing w:after="0" w:line="281" w:lineRule="auto"/>
        <w:tabs>
          <w:tab w:leader="none" w:pos="1084" w:val="left"/>
        </w:tabs>
        <w:numPr>
          <w:ilvl w:val="2"/>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“Restatement Date” means the date after the Date of Issuance upon which the Company first files (A) a Restatement or (B) a Current Report on Form 8-K with the Securities and Exchange Commission (or otherwise publicly announces) that the Company expects to issue a Restatement.</w:t>
      </w:r>
    </w:p>
    <w:p>
      <w:pPr>
        <w:spacing w:after="0" w:line="108" w:lineRule="exact"/>
        <w:rPr>
          <w:rFonts w:ascii="Times New Roman" w:cs="Times New Roman" w:eastAsia="Times New Roman" w:hAnsi="Times New Roman"/>
          <w:sz w:val="13"/>
          <w:szCs w:val="13"/>
          <w:color w:val="auto"/>
        </w:rPr>
      </w:pPr>
    </w:p>
    <w:p>
      <w:pPr>
        <w:ind w:left="652" w:right="20" w:firstLine="3"/>
        <w:spacing w:after="0" w:line="281" w:lineRule="auto"/>
        <w:tabs>
          <w:tab w:leader="none" w:pos="1084" w:val="left"/>
        </w:tabs>
        <w:numPr>
          <w:ilvl w:val="2"/>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“Restatement Delivery Date” means the date that is 30 days after the number of Clawback Shares is certified by the Committee in accordance with this Section 12(a), or such earlier date upon which you deliver the Clawback Shares to the Company.</w:t>
      </w:r>
    </w:p>
    <w:p>
      <w:pPr>
        <w:spacing w:after="0" w:line="108" w:lineRule="exact"/>
        <w:rPr>
          <w:rFonts w:ascii="Times New Roman" w:cs="Times New Roman" w:eastAsia="Times New Roman" w:hAnsi="Times New Roman"/>
          <w:sz w:val="13"/>
          <w:szCs w:val="13"/>
          <w:color w:val="auto"/>
        </w:rPr>
      </w:pPr>
    </w:p>
    <w:p>
      <w:pPr>
        <w:jc w:val="both"/>
        <w:ind w:left="212" w:firstLine="220"/>
        <w:spacing w:after="0" w:line="247" w:lineRule="auto"/>
        <w:tabs>
          <w:tab w:leader="none" w:pos="644"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Units vesting and the number of Shares that shall become issuable on the Date of Issuance shall be subject to reduction in an amount as determined by the Committee in its sole discretion in the event that, prior to the Date of Issuance, the Committee in its sole discretion determines that (i) there has been misconduct resulting in either a violation of law or of Capital One policy or procedures, including but not limited to the Capital One Code of Conduct, that in either case causes significant financial or reputational harm to Capital One and (ii) either you committed the misconduct or failed in your responsibility to manage or monitor the applicable conduct or risks.</w:t>
      </w:r>
    </w:p>
    <w:p>
      <w:pPr>
        <w:spacing w:after="0" w:line="140" w:lineRule="exact"/>
        <w:rPr>
          <w:rFonts w:ascii="Times New Roman" w:cs="Times New Roman" w:eastAsia="Times New Roman" w:hAnsi="Times New Roman"/>
          <w:sz w:val="13"/>
          <w:szCs w:val="13"/>
          <w:color w:val="auto"/>
        </w:rPr>
      </w:pPr>
    </w:p>
    <w:p>
      <w:pPr>
        <w:ind w:left="212" w:firstLine="220"/>
        <w:spacing w:after="0" w:line="266" w:lineRule="auto"/>
        <w:tabs>
          <w:tab w:leader="none" w:pos="636" w:val="left"/>
        </w:tabs>
        <w:numPr>
          <w:ilvl w:val="1"/>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to reimburse the Company with respect to the Units and the Shares to the extent required under Section 304 of the Sarbanes-Oxley Act of 2002, Section 954 of the Dodd-Frank Act or as otherwise required by law.</w:t>
      </w:r>
    </w:p>
    <w:p>
      <w:pPr>
        <w:spacing w:after="0" w:line="127" w:lineRule="exact"/>
        <w:rPr>
          <w:rFonts w:ascii="Times New Roman" w:cs="Times New Roman" w:eastAsia="Times New Roman" w:hAnsi="Times New Roman"/>
          <w:sz w:val="13"/>
          <w:szCs w:val="13"/>
          <w:color w:val="auto"/>
        </w:rPr>
      </w:pPr>
    </w:p>
    <w:p>
      <w:pPr>
        <w:ind w:left="-208" w:firstLine="208"/>
        <w:spacing w:after="0" w:line="266" w:lineRule="auto"/>
        <w:tabs>
          <w:tab w:leader="none" w:pos="218"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a Stockholder</w:t>
      </w:r>
      <w:r>
        <w:rPr>
          <w:rFonts w:ascii="Times New Roman" w:cs="Times New Roman" w:eastAsia="Times New Roman" w:hAnsi="Times New Roman"/>
          <w:sz w:val="13"/>
          <w:szCs w:val="13"/>
          <w:color w:val="auto"/>
        </w:rPr>
        <w:t>. You shall have no rights of a stockholder with respect to the shares of Common Stock represented by Units, including, but not limited to, the right to vote and to receive dividends, unless and until such shares of Common Stock are transferred to you pursuant to the Plan and this Agreement.</w:t>
      </w:r>
    </w:p>
    <w:p>
      <w:pPr>
        <w:spacing w:after="0" w:line="118" w:lineRule="exact"/>
        <w:rPr>
          <w:rFonts w:ascii="Times New Roman" w:cs="Times New Roman" w:eastAsia="Times New Roman" w:hAnsi="Times New Roman"/>
          <w:sz w:val="13"/>
          <w:szCs w:val="13"/>
          <w:color w:val="auto"/>
        </w:rPr>
      </w:pPr>
    </w:p>
    <w:p>
      <w:pPr>
        <w:ind w:left="212" w:hanging="212"/>
        <w:spacing w:after="0"/>
        <w:tabs>
          <w:tab w:leader="none" w:pos="212"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Mandatory Holding Requirement</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212" w:right="20" w:firstLine="220"/>
        <w:spacing w:after="0" w:line="266" w:lineRule="auto"/>
        <w:tabs>
          <w:tab w:leader="none" w:pos="636" w:val="left"/>
        </w:tabs>
        <w:numPr>
          <w:ilvl w:val="1"/>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agree that with respect to the Applicable Holding Shares you may not transfer, sell, pledge, hypothecate or otherwise dispose of such Applicable Holding Shares until the Holding Date; provided that the requirements set forth in this Section 14 shall immediately lapse and be of no further force and effect upon your death, Disability or termination of employment by Capital</w:t>
      </w:r>
    </w:p>
    <w:p>
      <w:pPr>
        <w:sectPr>
          <w:pgSz w:w="11900" w:h="16838" w:orient="portrait"/>
          <w:cols w:equalWidth="0" w:num="1">
            <w:col w:w="11092"/>
          </w:cols>
          <w:pgMar w:left="508" w:top="989" w:right="299" w:bottom="1440" w:gutter="0" w:footer="0" w:header="0"/>
        </w:sectPr>
      </w:pPr>
    </w:p>
    <w:bookmarkStart w:id="287" w:name="page288"/>
    <w:bookmarkEnd w:id="287"/>
    <w:p>
      <w:pPr>
        <w:ind w:left="420"/>
        <w:spacing w:after="0"/>
        <w:rPr>
          <w:sz w:val="20"/>
          <w:szCs w:val="20"/>
          <w:color w:val="auto"/>
        </w:rPr>
      </w:pPr>
      <w:r>
        <w:rPr>
          <w:rFonts w:ascii="Times New Roman" w:cs="Times New Roman" w:eastAsia="Times New Roman" w:hAnsi="Times New Roman"/>
          <w:sz w:val="13"/>
          <w:szCs w:val="13"/>
          <w:color w:val="auto"/>
        </w:rPr>
        <w:t>One without Cause or by you for Good Reason following a Change of Control, pursuant to Section 2(c).</w:t>
      </w:r>
    </w:p>
    <w:p>
      <w:pPr>
        <w:spacing w:after="0" w:line="157" w:lineRule="exact"/>
        <w:rPr>
          <w:sz w:val="20"/>
          <w:szCs w:val="20"/>
          <w:color w:val="auto"/>
        </w:rPr>
      </w:pPr>
    </w:p>
    <w:p>
      <w:pPr>
        <w:ind w:left="860" w:hanging="220"/>
        <w:spacing w:after="0"/>
        <w:tabs>
          <w:tab w:leader="none" w:pos="860" w:val="left"/>
        </w:tabs>
        <w:numPr>
          <w:ilvl w:val="1"/>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14:</w:t>
      </w:r>
    </w:p>
    <w:p>
      <w:pPr>
        <w:spacing w:after="0" w:line="165" w:lineRule="exact"/>
        <w:rPr>
          <w:rFonts w:ascii="Times New Roman" w:cs="Times New Roman" w:eastAsia="Times New Roman" w:hAnsi="Times New Roman"/>
          <w:sz w:val="13"/>
          <w:szCs w:val="13"/>
          <w:color w:val="auto"/>
        </w:rPr>
      </w:pPr>
    </w:p>
    <w:p>
      <w:pPr>
        <w:jc w:val="both"/>
        <w:ind w:left="860" w:firstLine="142"/>
        <w:spacing w:after="0" w:line="256" w:lineRule="auto"/>
        <w:tabs>
          <w:tab w:leader="none" w:pos="1292" w:val="left"/>
        </w:tabs>
        <w:numPr>
          <w:ilvl w:val="2"/>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Holding Shares” means 50% of the Shares acquired hereunder (not including any Shares sold or retained by the Company or its designated agent to fund the payment of any tax withholding obligation, brokerage commission or fees payable in connection with the Shares) during your term of employment with the Company and during the one-year period after termination of your employment for any reason; and</w:t>
      </w:r>
    </w:p>
    <w:p>
      <w:pPr>
        <w:spacing w:after="0" w:line="124" w:lineRule="exact"/>
        <w:rPr>
          <w:rFonts w:ascii="Times New Roman" w:cs="Times New Roman" w:eastAsia="Times New Roman" w:hAnsi="Times New Roman"/>
          <w:sz w:val="13"/>
          <w:szCs w:val="13"/>
          <w:color w:val="auto"/>
        </w:rPr>
      </w:pPr>
    </w:p>
    <w:p>
      <w:pPr>
        <w:ind w:left="860" w:firstLine="106"/>
        <w:spacing w:after="0" w:line="281" w:lineRule="auto"/>
        <w:tabs>
          <w:tab w:leader="none" w:pos="1292" w:val="left"/>
        </w:tabs>
        <w:numPr>
          <w:ilvl w:val="2"/>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“Holding Date” means the later of: (1) the first anniversary of the date of acquisition of any Applicable Holding Shares; or (2) until your stock ownership requirement is met, as determined by the Committee.</w:t>
      </w:r>
    </w:p>
    <w:p>
      <w:pPr>
        <w:spacing w:after="0" w:line="10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Protection</w:t>
      </w:r>
      <w:r>
        <w:rPr>
          <w:rFonts w:ascii="Times New Roman" w:cs="Times New Roman" w:eastAsia="Times New Roman" w:hAnsi="Times New Roman"/>
          <w:sz w:val="13"/>
          <w:szCs w:val="13"/>
          <w:color w:val="auto"/>
        </w:rPr>
        <w:t>. You consent to the collection, processing and transfer (including international transfer) of your personally identifiable data in connection with the grant of the Units and participation in the</w:t>
      </w:r>
    </w:p>
    <w:p>
      <w:pPr>
        <w:spacing w:after="0" w:line="8"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w:t>
      </w:r>
    </w:p>
    <w:p>
      <w:pPr>
        <w:spacing w:after="0" w:line="151" w:lineRule="exact"/>
        <w:rPr>
          <w:rFonts w:ascii="Times New Roman" w:cs="Times New Roman" w:eastAsia="Times New Roman" w:hAnsi="Times New Roman"/>
          <w:sz w:val="13"/>
          <w:szCs w:val="13"/>
          <w:color w:val="auto"/>
        </w:rPr>
      </w:pPr>
    </w:p>
    <w:p>
      <w:pPr>
        <w:jc w:val="both"/>
        <w:ind w:firstLine="208"/>
        <w:spacing w:after="0" w:line="243" w:lineRule="auto"/>
        <w:tabs>
          <w:tab w:leader="none" w:pos="426"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This Agreement shall be enforceable to the fullest extent allowed by law. In the event that any provision of this Agreement is determined to be invalid, illegal or unenforceable in any respect under any applicable law or rule in any jurisdiction, then that provision shall be reduced, modified or otherwise conformed to the relevant law, judgment or determination to the degree necessary to render it valid and enforceable without affecting the validity, legality or enforceability of any other provision of this Agreement or the validity, legality or enforceability of such provision in any other jurisdiction. Any provision of this Agreement that is prohibited or unenforceable in any jurisdiction shall, as to such jurisdiction, be deemed severable from the remainder of this Agreement, and the remaining provisions contained in this Agreement shall be construed to preserve to the maximum permissible extent the intent and purposes of this Agreement.</w:t>
      </w:r>
    </w:p>
    <w:p>
      <w:pPr>
        <w:spacing w:after="0" w:line="143" w:lineRule="exact"/>
        <w:rPr>
          <w:rFonts w:ascii="Times New Roman" w:cs="Times New Roman" w:eastAsia="Times New Roman" w:hAnsi="Times New Roman"/>
          <w:sz w:val="13"/>
          <w:szCs w:val="13"/>
          <w:color w:val="auto"/>
        </w:rPr>
      </w:pPr>
    </w:p>
    <w:p>
      <w:pPr>
        <w:ind w:firstLine="208"/>
        <w:spacing w:after="0" w:line="266" w:lineRule="auto"/>
        <w:tabs>
          <w:tab w:leader="none" w:pos="426"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all of which together shall constitute one agreement binding on all the parties hereto, notwithstanding that all such parties are not signatories to the original or the same counterpart.</w:t>
      </w:r>
    </w:p>
    <w:p>
      <w:pPr>
        <w:spacing w:after="0" w:line="12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 In accepting the grant, you acknowledge and agree that:</w:t>
      </w:r>
    </w:p>
    <w:p>
      <w:pPr>
        <w:spacing w:after="0" w:line="156" w:lineRule="exact"/>
        <w:rPr>
          <w:rFonts w:ascii="Times New Roman" w:cs="Times New Roman" w:eastAsia="Times New Roman" w:hAnsi="Times New Roman"/>
          <w:sz w:val="13"/>
          <w:szCs w:val="13"/>
          <w:color w:val="auto"/>
        </w:rPr>
      </w:pPr>
    </w:p>
    <w:p>
      <w:pPr>
        <w:ind w:left="420" w:right="20" w:firstLine="220"/>
        <w:spacing w:after="0" w:line="281" w:lineRule="auto"/>
        <w:tabs>
          <w:tab w:leader="none" w:pos="844"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intended to comply with the applicable requirements of Section 409A of the Code as it relates to U.S. taxpayers and shall be limited, construed and interpreted in a manner so as to comply therewith;</w:t>
      </w:r>
    </w:p>
    <w:p>
      <w:pPr>
        <w:spacing w:after="0" w:line="108"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obligations under this Agreement shall survive any termination of your employment with the Company for any reason;</w:t>
      </w:r>
    </w:p>
    <w:p>
      <w:pPr>
        <w:spacing w:after="0" w:line="156" w:lineRule="exact"/>
        <w:rPr>
          <w:rFonts w:ascii="Times New Roman" w:cs="Times New Roman" w:eastAsia="Times New Roman" w:hAnsi="Times New Roman"/>
          <w:sz w:val="13"/>
          <w:szCs w:val="13"/>
          <w:color w:val="auto"/>
        </w:rPr>
      </w:pPr>
    </w:p>
    <w:p>
      <w:pPr>
        <w:ind w:left="840" w:hanging="200"/>
        <w:spacing w:after="0"/>
        <w:tabs>
          <w:tab w:leader="none" w:pos="840"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rights or remedies under this Agreement shall be cumulative and in addition to whatever other remedies the Company may have under law or equity;</w:t>
      </w:r>
    </w:p>
    <w:p>
      <w:pPr>
        <w:spacing w:after="0" w:line="165"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recovery by the Company under this Agreement will be a recovery of Shares to which you were not entitled under this Agreement and is not to be construed in any manner as a penalty;</w:t>
      </w:r>
    </w:p>
    <w:p>
      <w:pPr>
        <w:spacing w:after="0" w:line="156" w:lineRule="exact"/>
        <w:rPr>
          <w:rFonts w:ascii="Times New Roman" w:cs="Times New Roman" w:eastAsia="Times New Roman" w:hAnsi="Times New Roman"/>
          <w:sz w:val="13"/>
          <w:szCs w:val="13"/>
          <w:color w:val="auto"/>
        </w:rPr>
      </w:pPr>
    </w:p>
    <w:p>
      <w:pPr>
        <w:ind w:left="840" w:hanging="200"/>
        <w:spacing w:after="0"/>
        <w:tabs>
          <w:tab w:leader="none" w:pos="840"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to the maximum extent permitted by applicable law and Section 409A of the Code as it relates to U.S. taxpayers, retain for itself funds or securities otherwise payable to</w:t>
      </w:r>
    </w:p>
    <w:p>
      <w:pPr>
        <w:sectPr>
          <w:pgSz w:w="11900" w:h="16838" w:orient="portrait"/>
          <w:cols w:equalWidth="0" w:num="1">
            <w:col w:w="11300"/>
          </w:cols>
          <w:pgMar w:left="300" w:top="989" w:right="299" w:bottom="1440" w:gutter="0" w:footer="0" w:header="0"/>
        </w:sectPr>
      </w:pPr>
    </w:p>
    <w:bookmarkStart w:id="288" w:name="page289"/>
    <w:bookmarkEnd w:id="288"/>
    <w:p>
      <w:pPr>
        <w:spacing w:after="0" w:line="266" w:lineRule="auto"/>
        <w:rPr>
          <w:sz w:val="20"/>
          <w:szCs w:val="20"/>
          <w:color w:val="auto"/>
        </w:rPr>
      </w:pPr>
      <w:r>
        <w:rPr>
          <w:rFonts w:ascii="Times New Roman" w:cs="Times New Roman" w:eastAsia="Times New Roman" w:hAnsi="Times New Roman"/>
          <w:sz w:val="13"/>
          <w:szCs w:val="13"/>
          <w:color w:val="auto"/>
        </w:rPr>
        <w:t>you pursuant to this Agreement to satisfy any obligation or debt that you owe to the Company, including any obligations hereunder. The Company may not retain such funds or securities until such time as they would otherwise be distributable to you in accordance with this Agreement;</w:t>
      </w:r>
    </w:p>
    <w:p>
      <w:pPr>
        <w:spacing w:after="0" w:line="128" w:lineRule="exact"/>
        <w:rPr>
          <w:sz w:val="20"/>
          <w:szCs w:val="20"/>
          <w:color w:val="auto"/>
        </w:rPr>
      </w:pPr>
    </w:p>
    <w:p>
      <w:pPr>
        <w:jc w:val="both"/>
        <w:ind w:firstLine="220"/>
        <w:spacing w:after="0" w:line="256" w:lineRule="auto"/>
        <w:tabs>
          <w:tab w:leader="none" w:pos="428"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reserves the right to impose other requirements on the Units, any Shares acquired pursuant to the Units, and your participation in the Plan, to the extent Capital One determines, in its sole discretion, that such other requirements are necessary or advisable in order to comply with local laws, rules and regulations, or to facilitate the administration of the Units and the Plan. Such requirements may include (but are not limited to) requiring you to sign any agreements or undertakings that may be necessary to accomplish the foregoing; and</w:t>
      </w:r>
    </w:p>
    <w:p>
      <w:pPr>
        <w:spacing w:after="0" w:line="124" w:lineRule="exact"/>
        <w:rPr>
          <w:rFonts w:ascii="Times New Roman" w:cs="Times New Roman" w:eastAsia="Times New Roman" w:hAnsi="Times New Roman"/>
          <w:sz w:val="13"/>
          <w:szCs w:val="13"/>
          <w:color w:val="auto"/>
        </w:rPr>
      </w:pPr>
    </w:p>
    <w:p>
      <w:pPr>
        <w:jc w:val="both"/>
        <w:ind w:firstLine="220"/>
        <w:spacing w:after="0" w:line="247" w:lineRule="auto"/>
        <w:tabs>
          <w:tab w:leader="none" w:pos="432"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from time to time distributes and makes available to associates disclosure documents, including a prospectus, relating to the Plan. You may also contact the HR Help Center to obtain copies of the Plan disclosure documents and the Plan. You should carefully read the Plan disclosure documents and the Plan. By accepting the benefits of this Agreement you acknowledge receipt of the Plan and the Plan disclosure documents and agree to be bound by the terms of this Agreement and the Plan. You hereby consent to receive such documents by electronic delivery and agree to participate in the Plan through an on-line or electronic system established and maintained by Capital One or a third-party designated by Capital One.</w:t>
      </w:r>
    </w:p>
    <w:p>
      <w:pPr>
        <w:sectPr>
          <w:pgSz w:w="11900" w:h="16838" w:orient="portrait"/>
          <w:cols w:equalWidth="0" w:num="1">
            <w:col w:w="10880"/>
          </w:cols>
          <w:pgMar w:left="720" w:top="989" w:right="2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on their behalf.</w:t>
      </w:r>
    </w:p>
    <w:p>
      <w:pPr>
        <w:spacing w:after="0" w:line="15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16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w:t>
      </w:r>
    </w:p>
    <w:p>
      <w:pPr>
        <w:spacing w:after="0" w:line="31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____________________________________</w:t>
      </w:r>
    </w:p>
    <w:p>
      <w:pPr>
        <w:spacing w:after="0" w:line="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Kaitlin Haggerty</w:t>
      </w:r>
    </w:p>
    <w:p>
      <w:pPr>
        <w:ind w:left="1940"/>
        <w:spacing w:after="0"/>
        <w:rPr>
          <w:sz w:val="20"/>
          <w:szCs w:val="20"/>
          <w:color w:val="auto"/>
        </w:rPr>
      </w:pPr>
      <w:r>
        <w:rPr>
          <w:rFonts w:ascii="Times New Roman" w:cs="Times New Roman" w:eastAsia="Times New Roman" w:hAnsi="Times New Roman"/>
          <w:sz w:val="13"/>
          <w:szCs w:val="13"/>
          <w:color w:val="auto"/>
        </w:rPr>
        <w:t>Chief Human Resources Officer</w:t>
      </w:r>
    </w:p>
    <w:p>
      <w:pPr>
        <w:spacing w:after="0" w:line="3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15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 ____________________________________</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[Full Name]</w:t>
      </w:r>
    </w:p>
    <w:p>
      <w:pPr>
        <w:spacing w:after="0" w:line="3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b w:val="1"/>
          <w:bCs w:val="1"/>
          <w:color w:val="auto"/>
        </w:rPr>
        <w:t>BY ELECTRONICALLY ACCEPTING THE AWARD, YOU AGREE THAT (i) SUCH ACCEPTANCE CONSTITUTES YOUR ELECTRONIC SIGNATURE IN EXECUTION OF THIS AGREEMENT; (ii) YOU AGREE TO BE BOUND BY THE PROVISIONS OF THE PLAN AND THIS AGREEMENT; (iii) YOU HAVE REVIEWED THE PLAN AND THIS AGREEMENT IN THEIR ENTIRETY, HAVE HAD AN OPPORTUNITY TO OBTAIN THE ADVICE OF COUNSEL PRIOR TO ACCEPTING THE AWARD AND FULLY UNDERSTAND ALL OF THE PROVISIONS OF THE PLAN AND THIS AGREEMENT; (iv) YOU HAVE BEEN PROVIDED WITH A COPY OR ELECTRONIC ACCESS TO A COPY OF THE PROSPECTUS FOR THE PLAN; AND (v) YOU HEREBY AGREE TO ACCEPT AS BINDING, CONCLUSIVE AND FINAL ALL DECISIONS OR INTERPRETATIONS OF THE COMMITTEE UPON ANY QUESTIONS ARISING UNDER THE PLAN AND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 * * *</w:t>
      </w:r>
    </w:p>
    <w:p>
      <w:pPr>
        <w:sectPr>
          <w:pgSz w:w="11900" w:h="16838" w:orient="portrait"/>
          <w:cols w:equalWidth="0" w:num="1">
            <w:col w:w="11300"/>
          </w:cols>
          <w:pgMar w:left="300" w:top="989" w:right="299" w:bottom="1440" w:gutter="0" w:footer="0" w:header="0"/>
        </w:sectPr>
      </w:pPr>
    </w:p>
    <w:bookmarkStart w:id="290" w:name="page291"/>
    <w:bookmarkEnd w:id="290"/>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APPENDIX 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PERFORMANCE SHARE METRICS AND PAYOUT</w:t>
      </w:r>
    </w:p>
    <w:p>
      <w:pPr>
        <w:spacing w:after="0" w:line="164"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b w:val="1"/>
          <w:bCs w:val="1"/>
          <w:i w:val="1"/>
          <w:iCs w:val="1"/>
          <w:color w:val="auto"/>
        </w:rPr>
        <w:t>1.</w:t>
        <w:tab/>
        <w:t>Company Performance Relative to Peer Group</w:t>
      </w:r>
    </w:p>
    <w:p>
      <w:pPr>
        <w:spacing w:after="0" w:line="16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number of Units that shall vest and the number of Shares that shall become issuable on the Date of Issuance pursuant to Section 2(a) shall be based on the Company’s performance over the Performance Period, measured by two metrics weighted as follows:</w:t>
      </w:r>
    </w:p>
    <w:p>
      <w:pPr>
        <w:spacing w:after="0" w:line="107" w:lineRule="exact"/>
        <w:rPr>
          <w:sz w:val="20"/>
          <w:szCs w:val="20"/>
          <w:color w:val="auto"/>
        </w:rPr>
      </w:pPr>
    </w:p>
    <w:p>
      <w:pPr>
        <w:ind w:left="420" w:right="20" w:hanging="212"/>
        <w:spacing w:after="0" w:line="284" w:lineRule="auto"/>
        <w:tabs>
          <w:tab w:leader="none" w:pos="412"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One-Third </w:t>
      </w:r>
      <w:r>
        <w:rPr>
          <w:rFonts w:ascii="Times New Roman" w:cs="Times New Roman" w:eastAsia="Times New Roman" w:hAnsi="Times New Roman"/>
          <w:sz w:val="13"/>
          <w:szCs w:val="13"/>
          <w:color w:val="auto"/>
        </w:rPr>
        <w:t>of the Units (the “Adjusted ROTCE Tranche”) shall become issuable as Shares based on the Adjusted ROTCE achieved by the Company over the Performance Period, relative to the Adjusted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ROTCE achieved by each member of the Peer Group over the Performance Period, expressed as a percentile (the “Adjusted ROTCE Percentile”), such that:</w:t>
      </w:r>
    </w:p>
    <w:p>
      <w:pPr>
        <w:spacing w:after="0" w:line="107" w:lineRule="exact"/>
        <w:rPr>
          <w:rFonts w:ascii="Times New Roman" w:cs="Times New Roman" w:eastAsia="Times New Roman" w:hAnsi="Times New Roman"/>
          <w:sz w:val="13"/>
          <w:szCs w:val="13"/>
          <w:color w:val="auto"/>
        </w:rPr>
      </w:pPr>
    </w:p>
    <w:p>
      <w:pPr>
        <w:ind w:left="860" w:hanging="289"/>
        <w:spacing w:after="0"/>
        <w:tabs>
          <w:tab w:leader="none" w:pos="860" w:val="left"/>
        </w:tabs>
        <w:numPr>
          <w:ilvl w:val="1"/>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Percentile is 80th or higher, then 150% of the Adjusted ROTCE Tranche shall be issuable as Shares.</w:t>
      </w:r>
    </w:p>
    <w:p>
      <w:pPr>
        <w:spacing w:after="0" w:line="156" w:lineRule="exact"/>
        <w:rPr>
          <w:rFonts w:ascii="Times New Roman" w:cs="Times New Roman" w:eastAsia="Times New Roman" w:hAnsi="Times New Roman"/>
          <w:sz w:val="13"/>
          <w:szCs w:val="13"/>
          <w:color w:val="auto"/>
        </w:rPr>
      </w:pPr>
    </w:p>
    <w:p>
      <w:pPr>
        <w:ind w:left="860" w:hanging="326"/>
        <w:spacing w:after="0"/>
        <w:tabs>
          <w:tab w:leader="none" w:pos="860" w:val="left"/>
        </w:tabs>
        <w:numPr>
          <w:ilvl w:val="1"/>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Percentile is 25th, then 40% of the Adjusted ROTCE Tranche shall be issuable as Shares.</w:t>
      </w:r>
    </w:p>
    <w:p>
      <w:pPr>
        <w:spacing w:after="0" w:line="165" w:lineRule="exact"/>
        <w:rPr>
          <w:rFonts w:ascii="Times New Roman" w:cs="Times New Roman" w:eastAsia="Times New Roman" w:hAnsi="Times New Roman"/>
          <w:sz w:val="13"/>
          <w:szCs w:val="13"/>
          <w:color w:val="auto"/>
        </w:rPr>
      </w:pPr>
    </w:p>
    <w:p>
      <w:pPr>
        <w:ind w:left="860" w:hanging="363"/>
        <w:spacing w:after="0"/>
        <w:tabs>
          <w:tab w:leader="none" w:pos="860" w:val="left"/>
        </w:tabs>
        <w:numPr>
          <w:ilvl w:val="1"/>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Percentile below 25th, then 0% of the Adjusted ROTCE Tranche shall be issuable as Shares.</w:t>
      </w:r>
    </w:p>
    <w:p>
      <w:pPr>
        <w:spacing w:after="0" w:line="156" w:lineRule="exact"/>
        <w:rPr>
          <w:rFonts w:ascii="Times New Roman" w:cs="Times New Roman" w:eastAsia="Times New Roman" w:hAnsi="Times New Roman"/>
          <w:sz w:val="13"/>
          <w:szCs w:val="13"/>
          <w:color w:val="auto"/>
        </w:rPr>
      </w:pPr>
    </w:p>
    <w:p>
      <w:pPr>
        <w:ind w:left="840" w:hanging="336"/>
        <w:spacing w:after="0"/>
        <w:tabs>
          <w:tab w:leader="none" w:pos="840" w:val="left"/>
        </w:tabs>
        <w:numPr>
          <w:ilvl w:val="1"/>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Percentile is above 25th but below 80th, then the number of issuable Shares shall be calculated by interpolation between the points listed above.</w:t>
      </w:r>
    </w:p>
    <w:p>
      <w:pPr>
        <w:spacing w:after="0" w:line="166" w:lineRule="exact"/>
        <w:rPr>
          <w:sz w:val="20"/>
          <w:szCs w:val="20"/>
          <w:color w:val="auto"/>
        </w:rPr>
      </w:pPr>
    </w:p>
    <w:p>
      <w:pPr>
        <w:jc w:val="both"/>
        <w:ind w:left="420"/>
        <w:spacing w:after="0" w:line="247" w:lineRule="auto"/>
        <w:rPr>
          <w:sz w:val="20"/>
          <w:szCs w:val="20"/>
          <w:color w:val="auto"/>
        </w:rPr>
      </w:pPr>
      <w:r>
        <w:rPr>
          <w:rFonts w:ascii="Times New Roman" w:cs="Times New Roman" w:eastAsia="Times New Roman" w:hAnsi="Times New Roman"/>
          <w:sz w:val="13"/>
          <w:szCs w:val="13"/>
          <w:color w:val="auto"/>
        </w:rPr>
        <w:t>“Adjusted ROTCE” means the ratio, expressed as a percentage, of (a) the Company’s net income available to common stockholders, excluding, on a tax adjusted basis, the impact of impairment, amortization and re-measurement of intangible assets, to (b) the Company’s average tangible common equity; and shall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Plan or necessary or appropriate to comply with applicable laws, rules or regulations.</w:t>
      </w:r>
    </w:p>
    <w:p>
      <w:pPr>
        <w:spacing w:after="0" w:line="130" w:lineRule="exact"/>
        <w:rPr>
          <w:sz w:val="20"/>
          <w:szCs w:val="20"/>
          <w:color w:val="auto"/>
        </w:rPr>
      </w:pPr>
    </w:p>
    <w:p>
      <w:pPr>
        <w:jc w:val="both"/>
        <w:ind w:left="420" w:hanging="212"/>
        <w:spacing w:after="0" w:line="257" w:lineRule="auto"/>
        <w:tabs>
          <w:tab w:leader="none" w:pos="42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Two-Thirds </w:t>
      </w:r>
      <w:r>
        <w:rPr>
          <w:rFonts w:ascii="Times New Roman" w:cs="Times New Roman" w:eastAsia="Times New Roman" w:hAnsi="Times New Roman"/>
          <w:sz w:val="13"/>
          <w:szCs w:val="13"/>
          <w:color w:val="auto"/>
        </w:rPr>
        <w:t>of the Units (the “Growth of Tangible Book Value Per Share Plus Common Dividends Tranche”) shall become issuable as Shares based on the Growth of Tangible Book Value Per Share Plus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Common Dividends achieved by the Company over the Performance Period, relative to the Growth of Tangible Book Value Per Share Plus Common Dividends achieved by each member of the Peer Group over the Performance Period, expressed as a percentile (the “Growth of Tangible Book Value Per Share Plus Common Dividends Percentile”), such that:</w:t>
      </w:r>
    </w:p>
    <w:p>
      <w:pPr>
        <w:spacing w:after="0" w:line="133" w:lineRule="exact"/>
        <w:rPr>
          <w:rFonts w:ascii="Times New Roman" w:cs="Times New Roman" w:eastAsia="Times New Roman" w:hAnsi="Times New Roman"/>
          <w:sz w:val="13"/>
          <w:szCs w:val="13"/>
          <w:color w:val="auto"/>
        </w:rPr>
      </w:pPr>
    </w:p>
    <w:p>
      <w:pPr>
        <w:ind w:left="860" w:right="20" w:hanging="289"/>
        <w:spacing w:after="0" w:line="266" w:lineRule="auto"/>
        <w:tabs>
          <w:tab w:leader="none" w:pos="860"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Growth of Tangible Book Value Per Share Plus Common Dividends Percentile is 80th or higher, then 150% of the Growth of Tangible Book Value Per Share Plus Common Dividends Tranche shall be issuable as Shares.</w:t>
      </w:r>
    </w:p>
    <w:p>
      <w:pPr>
        <w:spacing w:after="0" w:line="118" w:lineRule="exact"/>
        <w:rPr>
          <w:rFonts w:ascii="Times New Roman" w:cs="Times New Roman" w:eastAsia="Times New Roman" w:hAnsi="Times New Roman"/>
          <w:sz w:val="13"/>
          <w:szCs w:val="13"/>
          <w:color w:val="auto"/>
        </w:rPr>
      </w:pPr>
    </w:p>
    <w:p>
      <w:pPr>
        <w:ind w:left="860" w:right="20" w:hanging="326"/>
        <w:spacing w:after="0" w:line="281" w:lineRule="auto"/>
        <w:tabs>
          <w:tab w:leader="none" w:pos="860"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Growth of Tangible Book Value Per Share Plus Common Dividends Percentile is 25th, then 40% of the Growth of Tangible Book Value Per Share Plus Common Dividends Tranche shall be issuable as Shares.</w:t>
      </w:r>
    </w:p>
    <w:p>
      <w:pPr>
        <w:sectPr>
          <w:pgSz w:w="11900" w:h="16838" w:orient="portrait"/>
          <w:cols w:equalWidth="0" w:num="1">
            <w:col w:w="11300"/>
          </w:cols>
          <w:pgMar w:left="300" w:top="987" w:right="299" w:bottom="1440" w:gutter="0" w:footer="0" w:header="0"/>
        </w:sectPr>
      </w:pPr>
    </w:p>
    <w:bookmarkStart w:id="291" w:name="page292"/>
    <w:bookmarkEnd w:id="291"/>
    <w:p>
      <w:pPr>
        <w:ind w:left="860" w:right="20" w:hanging="363"/>
        <w:spacing w:after="0" w:line="266" w:lineRule="auto"/>
        <w:tabs>
          <w:tab w:leader="none" w:pos="860"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Growth of Tangible Book Value Per Share Plus Common Dividends Percentile below 25th, then 0% of the Growth of Tangible Book Value Per Share Plus Common Dividends Tranche shall be issuable as Shares.</w:t>
      </w:r>
    </w:p>
    <w:p>
      <w:pPr>
        <w:spacing w:after="0" w:line="127" w:lineRule="exact"/>
        <w:rPr>
          <w:rFonts w:ascii="Times New Roman" w:cs="Times New Roman" w:eastAsia="Times New Roman" w:hAnsi="Times New Roman"/>
          <w:sz w:val="13"/>
          <w:szCs w:val="13"/>
          <w:color w:val="auto"/>
        </w:rPr>
      </w:pPr>
    </w:p>
    <w:p>
      <w:pPr>
        <w:ind w:left="860" w:hanging="356"/>
        <w:spacing w:after="0" w:line="266" w:lineRule="auto"/>
        <w:tabs>
          <w:tab w:leader="none" w:pos="851"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Growth of Tangible Book Value Per Share Plus Common Dividends Percentile is above 25th but below 80th, then the number of issuable Shares shall be calculated by interpolation between the points listed above.</w:t>
      </w:r>
    </w:p>
    <w:p>
      <w:pPr>
        <w:spacing w:after="0" w:line="128" w:lineRule="exact"/>
        <w:rPr>
          <w:sz w:val="20"/>
          <w:szCs w:val="20"/>
          <w:color w:val="auto"/>
        </w:rPr>
      </w:pPr>
    </w:p>
    <w:p>
      <w:pPr>
        <w:jc w:val="both"/>
        <w:ind w:left="420"/>
        <w:spacing w:after="0" w:line="243" w:lineRule="auto"/>
        <w:rPr>
          <w:sz w:val="20"/>
          <w:szCs w:val="20"/>
          <w:color w:val="auto"/>
        </w:rPr>
      </w:pPr>
      <w:r>
        <w:rPr>
          <w:rFonts w:ascii="Times New Roman" w:cs="Times New Roman" w:eastAsia="Times New Roman" w:hAnsi="Times New Roman"/>
          <w:sz w:val="13"/>
          <w:szCs w:val="13"/>
          <w:color w:val="auto"/>
        </w:rPr>
        <w:t>“Growth of Tangible Book Value Per Share Plus Common Dividends” means the three year average of the ratios, expressed as a percentage, of (a) the Company’s tangible book value per share at the end of each year within the Performance Period, plus total common dividends per share paid during such year, to (b) the Company’s tangible book value per share at the beginning of each corresponding year within the Performance Period; and shall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Plan or necessary or appropriate to comply with applicable laws, rules or regulations.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Subject to section 2 below, the total Shares issuable pursuant to this Agreement (the “Total Shares Earned”) shall be equal to the sum of the Shares issuable pursuant to paragraphs (a) and (b) above.</w:t>
      </w:r>
    </w:p>
    <w:p>
      <w:pPr>
        <w:spacing w:after="0" w:line="153"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b w:val="1"/>
          <w:bCs w:val="1"/>
          <w:i w:val="1"/>
          <w:iCs w:val="1"/>
          <w:color w:val="auto"/>
        </w:rPr>
        <w:t>2.</w:t>
        <w:tab/>
        <w:t>Absolute Performance Modifier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event that the Company’s Adjusted ROTCE for one or more fiscal years in the Performance Period is less than or equal to zero, the Total Shares Earned shall be reduced as provided below:</w:t>
      </w:r>
    </w:p>
    <w:p>
      <w:pPr>
        <w:spacing w:after="0" w:line="157" w:lineRule="exact"/>
        <w:rPr>
          <w:sz w:val="20"/>
          <w:szCs w:val="20"/>
          <w:color w:val="auto"/>
        </w:rPr>
      </w:pPr>
    </w:p>
    <w:p>
      <w:pPr>
        <w:ind w:left="420" w:hanging="212"/>
        <w:spacing w:after="0"/>
        <w:tabs>
          <w:tab w:leader="none" w:pos="42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is less than or equal to zero for one fiscal year within the Performance Period, the Total Shares Earned shall be reduced by one-sixth;</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is less than or equal to zero for any two fiscal years within the Performance Period, the Total Shares Earned shall be reduced by one-third; and</w:t>
      </w:r>
    </w:p>
    <w:p>
      <w:pPr>
        <w:spacing w:after="0" w:line="16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Company’s Adjusted ROTCE is less than or equal to zero for all three fiscal years within the Performance Period, the Total Shares Earned shall be forfeited in full.</w:t>
      </w:r>
    </w:p>
    <w:p>
      <w:pPr>
        <w:sectPr>
          <w:pgSz w:w="11900" w:h="16838" w:orient="portrait"/>
          <w:cols w:equalWidth="0" w:num="1">
            <w:col w:w="11300"/>
          </w:cols>
          <w:pgMar w:left="300" w:top="989" w:right="299"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3"/>
          <w:szCs w:val="13"/>
          <w:b w:val="1"/>
          <w:bCs w:val="1"/>
          <w:color w:val="auto"/>
        </w:rPr>
        <w:t>APPENDIX B</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PEER GROUP</w:t>
      </w:r>
    </w:p>
    <w:p>
      <w:pPr>
        <w:spacing w:after="0" w:line="3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The “Peer Group” shall consist of the companies in the KBW Bank Index as of January 1, 2023, excluding custody banks, as shown below. For members of the Peer Group who fail, are acquired, or cease to have publicly-traded shares before the conclusion of the Performance Period, their Adjusted ROTCE and Growth of Tangible Book Value Per Share Plus Common Dividends (“Adj ROTCE and GTBVPS+D”) through the time the independent company stops reporting GAAP financials will be frozen and this Adj ROTCE and GTBVPS+D measurement will serve as their final Adj ROTCE and GTBVPS+D measurement for the Performance Period. Members of the Peer Group that continue to operate as independent companies, but that are not a member of the KBW Bank Index at the conclusion of the Performance Period, will continue to be used in the Peer Group for purposes of the award determination or calculation through the full three-year Performance Period. Any new entrants to the KBW Bank Index after January 1, 2023 will not be considered members of the Peer Group for any award determination or calculation related to this Agreement.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Bank of America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Citigroup</w:t>
      </w:r>
    </w:p>
    <w:p>
      <w:pPr>
        <w:spacing w:after="0"/>
        <w:rPr>
          <w:sz w:val="20"/>
          <w:szCs w:val="20"/>
          <w:color w:val="auto"/>
        </w:rPr>
      </w:pPr>
      <w:r>
        <w:rPr>
          <w:rFonts w:ascii="Times New Roman" w:cs="Times New Roman" w:eastAsia="Times New Roman" w:hAnsi="Times New Roman"/>
          <w:sz w:val="13"/>
          <w:szCs w:val="13"/>
          <w:color w:val="auto"/>
        </w:rPr>
        <w:t>Citizens Financial Group</w:t>
      </w:r>
    </w:p>
    <w:p>
      <w:pPr>
        <w:spacing w:after="0" w:line="236" w:lineRule="auto"/>
        <w:rPr>
          <w:sz w:val="20"/>
          <w:szCs w:val="20"/>
          <w:color w:val="auto"/>
        </w:rPr>
      </w:pPr>
      <w:r>
        <w:rPr>
          <w:rFonts w:ascii="Times New Roman" w:cs="Times New Roman" w:eastAsia="Times New Roman" w:hAnsi="Times New Roman"/>
          <w:sz w:val="13"/>
          <w:szCs w:val="13"/>
          <w:color w:val="auto"/>
        </w:rPr>
        <w:t>Comerica</w:t>
      </w:r>
    </w:p>
    <w:p>
      <w:pPr>
        <w:spacing w:after="0" w:line="232" w:lineRule="auto"/>
        <w:rPr>
          <w:sz w:val="20"/>
          <w:szCs w:val="20"/>
          <w:color w:val="auto"/>
        </w:rPr>
      </w:pPr>
      <w:r>
        <w:rPr>
          <w:rFonts w:ascii="Times New Roman" w:cs="Times New Roman" w:eastAsia="Times New Roman" w:hAnsi="Times New Roman"/>
          <w:sz w:val="13"/>
          <w:szCs w:val="13"/>
          <w:color w:val="auto"/>
        </w:rPr>
        <w:t>East West Bancorp</w:t>
      </w:r>
    </w:p>
    <w:p>
      <w:pPr>
        <w:spacing w:after="0"/>
        <w:rPr>
          <w:sz w:val="20"/>
          <w:szCs w:val="20"/>
          <w:color w:val="auto"/>
        </w:rPr>
      </w:pPr>
      <w:r>
        <w:rPr>
          <w:rFonts w:ascii="Times New Roman" w:cs="Times New Roman" w:eastAsia="Times New Roman" w:hAnsi="Times New Roman"/>
          <w:sz w:val="13"/>
          <w:szCs w:val="13"/>
          <w:color w:val="auto"/>
        </w:rPr>
        <w:t>Fifth Third Bancorp</w:t>
      </w:r>
    </w:p>
    <w:p>
      <w:pPr>
        <w:spacing w:after="0" w:line="236" w:lineRule="auto"/>
        <w:rPr>
          <w:sz w:val="20"/>
          <w:szCs w:val="20"/>
          <w:color w:val="auto"/>
        </w:rPr>
      </w:pPr>
      <w:r>
        <w:rPr>
          <w:rFonts w:ascii="Times New Roman" w:cs="Times New Roman" w:eastAsia="Times New Roman" w:hAnsi="Times New Roman"/>
          <w:sz w:val="13"/>
          <w:szCs w:val="13"/>
          <w:color w:val="auto"/>
        </w:rPr>
        <w:t>First Republic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Huntington Bancshares</w:t>
      </w:r>
    </w:p>
    <w:p>
      <w:pPr>
        <w:spacing w:after="0" w:line="236" w:lineRule="auto"/>
        <w:rPr>
          <w:sz w:val="20"/>
          <w:szCs w:val="20"/>
          <w:color w:val="auto"/>
        </w:rPr>
      </w:pPr>
      <w:r>
        <w:rPr>
          <w:rFonts w:ascii="Times New Roman" w:cs="Times New Roman" w:eastAsia="Times New Roman" w:hAnsi="Times New Roman"/>
          <w:sz w:val="13"/>
          <w:szCs w:val="13"/>
          <w:color w:val="auto"/>
        </w:rPr>
        <w:t>JP Morgan Chase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KeyCorp</w:t>
      </w:r>
    </w:p>
    <w:p>
      <w:pPr>
        <w:spacing w:after="0" w:line="236" w:lineRule="auto"/>
        <w:rPr>
          <w:sz w:val="20"/>
          <w:szCs w:val="20"/>
          <w:color w:val="auto"/>
        </w:rPr>
      </w:pPr>
      <w:r>
        <w:rPr>
          <w:rFonts w:ascii="Times New Roman" w:cs="Times New Roman" w:eastAsia="Times New Roman" w:hAnsi="Times New Roman"/>
          <w:sz w:val="13"/>
          <w:szCs w:val="13"/>
          <w:color w:val="auto"/>
        </w:rPr>
        <w:t>M&amp;T Bank Corp</w:t>
      </w:r>
    </w:p>
    <w:p>
      <w:pPr>
        <w:spacing w:after="0" w:line="232" w:lineRule="auto"/>
        <w:rPr>
          <w:sz w:val="20"/>
          <w:szCs w:val="20"/>
          <w:color w:val="auto"/>
        </w:rPr>
      </w:pPr>
      <w:r>
        <w:rPr>
          <w:rFonts w:ascii="Times New Roman" w:cs="Times New Roman" w:eastAsia="Times New Roman" w:hAnsi="Times New Roman"/>
          <w:sz w:val="13"/>
          <w:szCs w:val="13"/>
          <w:color w:val="auto"/>
        </w:rPr>
        <w:t>PNC</w:t>
      </w:r>
    </w:p>
    <w:p>
      <w:pPr>
        <w:spacing w:after="0"/>
        <w:rPr>
          <w:sz w:val="20"/>
          <w:szCs w:val="20"/>
          <w:color w:val="auto"/>
        </w:rPr>
      </w:pPr>
      <w:r>
        <w:rPr>
          <w:rFonts w:ascii="Times New Roman" w:cs="Times New Roman" w:eastAsia="Times New Roman" w:hAnsi="Times New Roman"/>
          <w:sz w:val="13"/>
          <w:szCs w:val="13"/>
          <w:color w:val="auto"/>
        </w:rPr>
        <w:t>Regions</w:t>
      </w:r>
    </w:p>
    <w:p>
      <w:pPr>
        <w:spacing w:after="0" w:line="236" w:lineRule="auto"/>
        <w:rPr>
          <w:sz w:val="20"/>
          <w:szCs w:val="20"/>
          <w:color w:val="auto"/>
        </w:rPr>
      </w:pPr>
      <w:r>
        <w:rPr>
          <w:rFonts w:ascii="Times New Roman" w:cs="Times New Roman" w:eastAsia="Times New Roman" w:hAnsi="Times New Roman"/>
          <w:sz w:val="13"/>
          <w:szCs w:val="13"/>
          <w:color w:val="auto"/>
        </w:rPr>
        <w:t>Signature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SVB Financial</w:t>
      </w:r>
    </w:p>
    <w:p>
      <w:pPr>
        <w:spacing w:after="0" w:line="236" w:lineRule="auto"/>
        <w:rPr>
          <w:sz w:val="20"/>
          <w:szCs w:val="20"/>
          <w:color w:val="auto"/>
        </w:rPr>
      </w:pPr>
      <w:r>
        <w:rPr>
          <w:rFonts w:ascii="Times New Roman" w:cs="Times New Roman" w:eastAsia="Times New Roman" w:hAnsi="Times New Roman"/>
          <w:sz w:val="13"/>
          <w:szCs w:val="13"/>
          <w:color w:val="auto"/>
        </w:rPr>
        <w:t>Truist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Bancorp</w:t>
      </w:r>
    </w:p>
    <w:p>
      <w:pPr>
        <w:spacing w:after="0" w:line="236" w:lineRule="auto"/>
        <w:rPr>
          <w:sz w:val="20"/>
          <w:szCs w:val="20"/>
          <w:color w:val="auto"/>
        </w:rPr>
      </w:pPr>
      <w:r>
        <w:rPr>
          <w:rFonts w:ascii="Times New Roman" w:cs="Times New Roman" w:eastAsia="Times New Roman" w:hAnsi="Times New Roman"/>
          <w:sz w:val="13"/>
          <w:szCs w:val="13"/>
          <w:color w:val="auto"/>
        </w:rPr>
        <w:t>Wells Fargo</w:t>
      </w:r>
    </w:p>
    <w:p>
      <w:pPr>
        <w:spacing w:after="0" w:line="232" w:lineRule="auto"/>
        <w:rPr>
          <w:sz w:val="20"/>
          <w:szCs w:val="20"/>
          <w:color w:val="auto"/>
        </w:rPr>
      </w:pPr>
      <w:r>
        <w:rPr>
          <w:rFonts w:ascii="Times New Roman" w:cs="Times New Roman" w:eastAsia="Times New Roman" w:hAnsi="Times New Roman"/>
          <w:sz w:val="13"/>
          <w:szCs w:val="13"/>
          <w:color w:val="auto"/>
        </w:rPr>
        <w:t>Western Alliance</w:t>
      </w:r>
    </w:p>
    <w:p>
      <w:pPr>
        <w:spacing w:after="0"/>
        <w:rPr>
          <w:sz w:val="20"/>
          <w:szCs w:val="20"/>
          <w:color w:val="auto"/>
        </w:rPr>
      </w:pPr>
      <w:r>
        <w:rPr>
          <w:rFonts w:ascii="Times New Roman" w:cs="Times New Roman" w:eastAsia="Times New Roman" w:hAnsi="Times New Roman"/>
          <w:sz w:val="13"/>
          <w:szCs w:val="13"/>
          <w:color w:val="auto"/>
        </w:rPr>
        <w:t>Zions Bancorp</w:t>
      </w:r>
    </w:p>
    <w:p>
      <w:pPr>
        <w:sectPr>
          <w:pgSz w:w="11900" w:h="16838" w:orient="portrait"/>
          <w:cols w:equalWidth="0" w:num="1">
            <w:col w:w="11300"/>
          </w:cols>
          <w:pgMar w:left="300" w:top="987" w:right="29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3"/>
          <w:szCs w:val="13"/>
          <w:b w:val="1"/>
          <w:bCs w:val="1"/>
          <w:color w:val="auto"/>
        </w:rPr>
        <w:t>Exhibit 10.2.26</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2004 Stock Incentive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Restricted Stock Unit Award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of Units: 81,306</w:t>
      </w:r>
    </w:p>
    <w:p>
      <w:pPr>
        <w:spacing w:after="0" w:line="327"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THIS RESTRICTED STOCK UNIT AWARD AGREEMENT (this “Agreement”), dated January 31, 2022 (the “Date of Grant”), between CAPITAL ONE FINANCIAL CORPORATION, a Delaware corporation (“Capital One” or the “Company”), and </w:t>
      </w:r>
      <w:r>
        <w:rPr>
          <w:rFonts w:ascii="Times New Roman" w:cs="Times New Roman" w:eastAsia="Times New Roman" w:hAnsi="Times New Roman"/>
          <w:sz w:val="13"/>
          <w:szCs w:val="13"/>
          <w:b w:val="1"/>
          <w:bCs w:val="1"/>
          <w:color w:val="auto"/>
        </w:rPr>
        <w:t>NEAL BLINDE</w:t>
      </w:r>
      <w:r>
        <w:rPr>
          <w:rFonts w:ascii="Times New Roman" w:cs="Times New Roman" w:eastAsia="Times New Roman" w:hAnsi="Times New Roman"/>
          <w:sz w:val="13"/>
          <w:szCs w:val="13"/>
          <w:color w:val="auto"/>
        </w:rPr>
        <w:t xml:space="preserve"> (“you”), is made pursuant and subject to the provisions of the Company’s 2004 Stock Incentive Plan, as amended and restated (the “Plan”), and all capitalized terms used herein that are defined in the Plan shall have the same meaning given to them in the Plan unless otherwise defined herein. For purposes of this Agreement, “Employer” means the entity (i.e., Capital One, Subsidiary or Affiliate) that employs you.</w:t>
      </w:r>
    </w:p>
    <w:p>
      <w:pPr>
        <w:spacing w:after="0" w:line="136"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WHEREAS, Article 8 of the Plan provides for the award from time to time in the discretion of the Committee of Restricted Stock Units, representing shares of common stock of Capital One, $.01 par value per share (“Common Stock”), the vesting and issuance of which is subject to continued employment with Capital One or its Subsidiaries or Affiliates (as applicable) or other conditions;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W I T N E S S E T H</w:t>
      </w:r>
      <w:r>
        <w:rPr>
          <w:rFonts w:ascii="Times New Roman" w:cs="Times New Roman" w:eastAsia="Times New Roman" w:hAnsi="Times New Roman"/>
          <w:sz w:val="13"/>
          <w:szCs w:val="13"/>
          <w:color w:val="auto"/>
        </w:rPr>
        <w:t xml:space="preserve"> :</w:t>
      </w:r>
    </w:p>
    <w:p>
      <w:pPr>
        <w:spacing w:after="0" w:line="166" w:lineRule="exact"/>
        <w:rPr>
          <w:sz w:val="20"/>
          <w:szCs w:val="20"/>
          <w:color w:val="auto"/>
        </w:rPr>
      </w:pPr>
    </w:p>
    <w:p>
      <w:pPr>
        <w:ind w:firstLine="424"/>
        <w:spacing w:after="0" w:line="295" w:lineRule="auto"/>
        <w:tabs>
          <w:tab w:leader="none" w:pos="699"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Restricted Stock Units</w:t>
      </w:r>
      <w:r>
        <w:rPr>
          <w:rFonts w:ascii="Times New Roman" w:cs="Times New Roman" w:eastAsia="Times New Roman" w:hAnsi="Times New Roman"/>
          <w:sz w:val="13"/>
          <w:szCs w:val="13"/>
          <w:color w:val="auto"/>
        </w:rPr>
        <w:t>. Capital One hereby grants to you 81,306 Restricted Stock Units (the “Restricted Stock Units”). The Restricted Stock Units shall vest, and the underlying shares of Common Stock (such underlying shares, the “Shares”) shall be issuable, only in accordance with the provisions of this Agreement and of the Plan.</w:t>
      </w:r>
    </w:p>
    <w:p>
      <w:pPr>
        <w:spacing w:after="0" w:line="118" w:lineRule="exact"/>
        <w:rPr>
          <w:rFonts w:ascii="Times New Roman" w:cs="Times New Roman" w:eastAsia="Times New Roman" w:hAnsi="Times New Roman"/>
          <w:sz w:val="13"/>
          <w:szCs w:val="13"/>
          <w:color w:val="auto"/>
        </w:rPr>
      </w:pPr>
    </w:p>
    <w:p>
      <w:pPr>
        <w:ind w:left="660" w:hanging="236"/>
        <w:spacing w:after="0"/>
        <w:tabs>
          <w:tab w:leader="none" w:pos="66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Issuance of Common Stock</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420" w:firstLine="436"/>
        <w:spacing w:after="0" w:line="295" w:lineRule="auto"/>
        <w:tabs>
          <w:tab w:leader="none" w:pos="1148" w:val="left"/>
        </w:tabs>
        <w:numPr>
          <w:ilvl w:val="1"/>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xml:space="preserve"> Except as provided in Sections 2(b), 2(c) and 2(d) below and to the extent not previously vested or forfeited as provided herein, the Restricted Stock Units shall vest, and the Shares shall according to the following schedule:</w:t>
      </w:r>
    </w:p>
    <w:p>
      <w:pPr>
        <w:spacing w:after="0" w:line="1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Fifty percent of the Restricted Stock Units on January 31, 2023</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Thirty percent of the Restricted Stock Units on January 31, 2024</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Twenty percent of the Restricted Stock Units on January 31, 2025</w:t>
      </w:r>
    </w:p>
    <w:p>
      <w:pPr>
        <w:spacing w:after="0" w:line="1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Each of the immediately above dates shall be a “Scheduled Vesting Date.”</w:t>
      </w:r>
    </w:p>
    <w:p>
      <w:pPr>
        <w:spacing w:after="0" w:line="175" w:lineRule="exact"/>
        <w:rPr>
          <w:sz w:val="20"/>
          <w:szCs w:val="20"/>
          <w:color w:val="auto"/>
        </w:rPr>
      </w:pPr>
    </w:p>
    <w:p>
      <w:pPr>
        <w:ind w:left="1140" w:hanging="284"/>
        <w:spacing w:after="0"/>
        <w:tabs>
          <w:tab w:leader="none" w:pos="114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Termination of Employment</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860" w:firstLine="428"/>
        <w:spacing w:after="0" w:line="295" w:lineRule="auto"/>
        <w:tabs>
          <w:tab w:leader="none" w:pos="1550"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2(b)(ii), 2(b)(iii), 2(b)(iv), 2(b)(v) and 2(d), upon your termination of employment with your Employer for any reason prior to the Scheduled Vesting Date of such Restricted Stock Units, all Restricted Stock Units</w:t>
      </w:r>
    </w:p>
    <w:p>
      <w:pPr>
        <w:sectPr>
          <w:pgSz w:w="11900" w:h="16838" w:orient="portrait"/>
          <w:cols w:equalWidth="0" w:num="1">
            <w:col w:w="11300"/>
          </w:cols>
          <w:pgMar w:left="300" w:top="987" w:right="299" w:bottom="1440" w:gutter="0" w:footer="0" w:header="0"/>
        </w:sectPr>
      </w:pPr>
    </w:p>
    <w:bookmarkStart w:id="294" w:name="page295"/>
    <w:bookmarkEnd w:id="294"/>
    <w:p>
      <w:pPr>
        <w:spacing w:after="0" w:line="295" w:lineRule="auto"/>
        <w:rPr>
          <w:sz w:val="20"/>
          <w:szCs w:val="20"/>
          <w:color w:val="auto"/>
        </w:rPr>
      </w:pPr>
      <w:r>
        <w:rPr>
          <w:rFonts w:ascii="Times New Roman" w:cs="Times New Roman" w:eastAsia="Times New Roman" w:hAnsi="Times New Roman"/>
          <w:sz w:val="13"/>
          <w:szCs w:val="13"/>
          <w:color w:val="auto"/>
        </w:rPr>
        <w:t>shall immediately be forfeited (to the extent not previously vested or forfeited as provided herein). For the avoidance of doubt, a transfer of employment to an affiliate of Capital One shall not constitute a termination of employment for purposes of this Section 2(b).</w:t>
      </w:r>
    </w:p>
    <w:p>
      <w:pPr>
        <w:spacing w:after="0" w:line="110" w:lineRule="exact"/>
        <w:rPr>
          <w:sz w:val="20"/>
          <w:szCs w:val="20"/>
          <w:color w:val="auto"/>
        </w:rPr>
      </w:pPr>
    </w:p>
    <w:p>
      <w:pPr>
        <w:ind w:firstLine="428"/>
        <w:spacing w:after="0" w:line="295" w:lineRule="auto"/>
        <w:tabs>
          <w:tab w:leader="none" w:pos="732"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with your Employer as a result of your death or Disability, the Restricted Stock Units shall immediately vest, and the Shares shall be issuable in accordance with this Agreement, upon such termination of employment (to the extent not previously vested or forfeited as provided herein).</w:t>
      </w:r>
    </w:p>
    <w:p>
      <w:pPr>
        <w:spacing w:after="0" w:line="109" w:lineRule="exact"/>
        <w:rPr>
          <w:rFonts w:ascii="Times New Roman" w:cs="Times New Roman" w:eastAsia="Times New Roman" w:hAnsi="Times New Roman"/>
          <w:sz w:val="13"/>
          <w:szCs w:val="13"/>
          <w:color w:val="auto"/>
        </w:rPr>
      </w:pPr>
    </w:p>
    <w:p>
      <w:pPr>
        <w:jc w:val="both"/>
        <w:ind w:firstLine="428"/>
        <w:spacing w:after="0" w:line="267" w:lineRule="auto"/>
        <w:tabs>
          <w:tab w:leader="none" w:pos="784"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with your Employer as a result of Retirement, the Restricted Stock Units shall continue to vest on the Scheduled Vesting Dates (to the extent not previously vested or forfeited as provided herein). Notwithstanding any other provision of this Agreement to the contrary, if your employment with your Employer is terminated as a result of your violation of law or of Company policies or procedures as determined by Capital One, including but not limited to the Capital One Code of Conduct, or if Capital One determines after your termination of employment that your employment could have been terminated as a result of such a violation, such termination is not a Retirement for purposes of the Plan or this Agreement.</w:t>
      </w:r>
    </w:p>
    <w:p>
      <w:pPr>
        <w:spacing w:after="0" w:line="135" w:lineRule="exact"/>
        <w:rPr>
          <w:rFonts w:ascii="Times New Roman" w:cs="Times New Roman" w:eastAsia="Times New Roman" w:hAnsi="Times New Roman"/>
          <w:sz w:val="13"/>
          <w:szCs w:val="13"/>
          <w:color w:val="auto"/>
        </w:rPr>
      </w:pPr>
    </w:p>
    <w:p>
      <w:pPr>
        <w:jc w:val="both"/>
        <w:ind w:firstLine="428"/>
        <w:spacing w:after="0" w:line="258" w:lineRule="auto"/>
        <w:tabs>
          <w:tab w:leader="none" w:pos="776"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by your Employer in a manner that makes you eligible for severance compensation or benefits as set forth below in this Section 2(b)(iv), you will receive continued vesting of the Restricted Stock Units scheduled to vest on each of the Scheduled Vesting Dates as if a termination of employment had not occurred subject to (A) your execution of a separation agreement and/or general release of claims within a period of time as required by Capital One or your Employer (in a form as prescribed by Capital One or your Employer, a “Release”), (B) such Release becoming effective and irrevocable in accordance with its terms and (C) your continued compliance with the terms of such Release through each Scheduled Vesting Date. To the extent a Scheduled Vesting Date occurs prior to the expiration of the period of time Capital One or your Employer provides you to sign the Release, you shall be entitled to vesting of the applicable portion of your Restricted Stock Units on such Scheduled Vesting Date even if you have not yet executed the Release. For avoidance of doubt, such continued vesting shall immediately cease (and any then-unvested Restricted Stock Units shall be immediately forfeited) in the event that you violate the terms and conditions of the Release. For purposes of this Section 2(b)(iv), you will be considered to have experienced a termination of employment by your Employer in a manner that makes you eligible for severance compensation or benefits if (X) you are a U.S. associate and you are eligible to receive benefits under any applicable U.S. Capital One severance plan in place at the time of your termination of employment, (Y) you are a U.K. associate and experience a termination by mutual agreement or redundancy, or (Z) you are a Canadian associate and experience an involuntary termination of employment that qualifies for severance payments under local law.</w:t>
      </w:r>
    </w:p>
    <w:p>
      <w:pPr>
        <w:spacing w:after="0" w:line="292" w:lineRule="exact"/>
        <w:rPr>
          <w:rFonts w:ascii="Times New Roman" w:cs="Times New Roman" w:eastAsia="Times New Roman" w:hAnsi="Times New Roman"/>
          <w:sz w:val="13"/>
          <w:szCs w:val="13"/>
          <w:color w:val="auto"/>
        </w:rPr>
      </w:pPr>
    </w:p>
    <w:p>
      <w:pPr>
        <w:ind w:right="20" w:firstLine="428"/>
        <w:spacing w:after="0" w:line="295" w:lineRule="auto"/>
        <w:tabs>
          <w:tab w:leader="none" w:pos="742"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by you for Good Reason, as defined in Section 2(d)(iii) of this Agreement, the Restricted Stock Units shall continue to vest on the Scheduled Vesting Dates (to the extent not previously vested or forfeited as provided herein).</w:t>
      </w:r>
    </w:p>
    <w:p>
      <w:pPr>
        <w:sectPr>
          <w:pgSz w:w="11900" w:h="16838" w:orient="portrait"/>
          <w:cols w:equalWidth="0" w:num="1">
            <w:col w:w="10440"/>
          </w:cols>
          <w:pgMar w:left="1160" w:top="989" w:right="299" w:bottom="1440" w:gutter="0" w:footer="0" w:header="0"/>
        </w:sectPr>
      </w:pPr>
    </w:p>
    <w:bookmarkStart w:id="295" w:name="page296"/>
    <w:bookmarkEnd w:id="295"/>
    <w:p>
      <w:pPr>
        <w:ind w:left="284" w:hanging="284"/>
        <w:spacing w:after="0"/>
        <w:tabs>
          <w:tab w:leader="none" w:pos="284"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 Schedule Upon Becoming Subject to Withholding</w:t>
      </w:r>
      <w:r>
        <w:rPr>
          <w:rFonts w:ascii="Times New Roman" w:cs="Times New Roman" w:eastAsia="Times New Roman" w:hAnsi="Times New Roman"/>
          <w:sz w:val="13"/>
          <w:szCs w:val="13"/>
          <w:color w:val="auto"/>
        </w:rPr>
        <w:t>.</w:t>
      </w:r>
    </w:p>
    <w:p>
      <w:pPr>
        <w:spacing w:after="0" w:line="174" w:lineRule="exact"/>
        <w:rPr>
          <w:rFonts w:ascii="Times New Roman" w:cs="Times New Roman" w:eastAsia="Times New Roman" w:hAnsi="Times New Roman"/>
          <w:sz w:val="13"/>
          <w:szCs w:val="13"/>
          <w:color w:val="auto"/>
        </w:rPr>
      </w:pPr>
    </w:p>
    <w:p>
      <w:pPr>
        <w:jc w:val="both"/>
        <w:ind w:left="4" w:firstLine="428"/>
        <w:spacing w:after="0" w:line="261" w:lineRule="auto"/>
        <w:tabs>
          <w:tab w:leader="none" w:pos="742"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determined by the Committee or the independent members of the board of directors of the Company (the “Board”), as applicable, and to the extent permitted or required by law, Capital One may determine, in its sole discretion, (A) that you have become subject to withholding under applicable tax laws at a time when Restricted Stock Units are not otherwise vesting pursuant to Section 2, and (B) that a portion of the Restricted Stock Units shall vest, only and to the extent sufficient, if sold at Fair Market Value, on the date of such determination, to provide for the payment of any tax liability in accordance with applicable tax laws. The number of Restricted Stock Units vesting pursuant to the preceding sentence shall be rounded up to the nearest whole Restricted Stock Unit. It is understood that the remaining portion of the Restricted Stock Units shall continue to vest on the Scheduled Vesting Dates as provided herein (to the extent not previously vested or forfeited as provided herein).</w:t>
      </w:r>
    </w:p>
    <w:p>
      <w:pPr>
        <w:spacing w:after="0" w:line="131" w:lineRule="exact"/>
        <w:rPr>
          <w:rFonts w:ascii="Times New Roman" w:cs="Times New Roman" w:eastAsia="Times New Roman" w:hAnsi="Times New Roman"/>
          <w:sz w:val="13"/>
          <w:szCs w:val="13"/>
          <w:color w:val="auto"/>
        </w:rPr>
      </w:pPr>
    </w:p>
    <w:p>
      <w:pPr>
        <w:ind w:left="4" w:firstLine="428"/>
        <w:spacing w:after="0" w:line="295" w:lineRule="auto"/>
        <w:tabs>
          <w:tab w:leader="none" w:pos="741"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of this Agreement to the contrary, Capital One and/or your Employer will take all necessary steps to withhold the amount determined pursuant to the immediately foregoing paragraph in satisfaction of any applicable tax withholding liability.</w:t>
      </w:r>
    </w:p>
    <w:p>
      <w:pPr>
        <w:spacing w:after="0" w:line="109" w:lineRule="exact"/>
        <w:rPr>
          <w:rFonts w:ascii="Times New Roman" w:cs="Times New Roman" w:eastAsia="Times New Roman" w:hAnsi="Times New Roman"/>
          <w:sz w:val="13"/>
          <w:szCs w:val="13"/>
          <w:color w:val="auto"/>
        </w:rPr>
      </w:pPr>
    </w:p>
    <w:p>
      <w:pPr>
        <w:ind w:left="284" w:hanging="284"/>
        <w:spacing w:after="0"/>
        <w:tabs>
          <w:tab w:leader="none" w:pos="284"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Change of Control</w:t>
      </w:r>
      <w:r>
        <w:rPr>
          <w:rFonts w:ascii="Times New Roman" w:cs="Times New Roman" w:eastAsia="Times New Roman" w:hAnsi="Times New Roman"/>
          <w:sz w:val="13"/>
          <w:szCs w:val="13"/>
          <w:color w:val="auto"/>
        </w:rPr>
        <w:t>.</w:t>
      </w:r>
    </w:p>
    <w:p>
      <w:pPr>
        <w:spacing w:after="0" w:line="174" w:lineRule="exact"/>
        <w:rPr>
          <w:rFonts w:ascii="Times New Roman" w:cs="Times New Roman" w:eastAsia="Times New Roman" w:hAnsi="Times New Roman"/>
          <w:sz w:val="13"/>
          <w:szCs w:val="13"/>
          <w:color w:val="auto"/>
        </w:rPr>
      </w:pPr>
    </w:p>
    <w:p>
      <w:pPr>
        <w:jc w:val="both"/>
        <w:ind w:left="4" w:firstLine="428"/>
        <w:spacing w:after="0" w:line="261" w:lineRule="auto"/>
        <w:tabs>
          <w:tab w:leader="none" w:pos="702"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by your Employer without Cause or by you for Good Reason (each as defined below), in either case on or prior to the second anniversary of the occurrence of a Change of Control of Capital One, then, notwithstanding anything herein to the contrary, the Restricted Stock Units shall vest and the Shares (as may be adjusted in accordance with Section 4.4 of the Plan) shall be issuable in accordance with this Agreement immediately upon the occurrence of your termination of employment following such Change of Control (to the extent not previously vested or forfeited as provided herein); provided, however, that if the Restricted Stock Units are considered deferred compensation under Section 409A of the Code and not exempt from Section 409A of the Code as a short-term deferral or otherwise, and you are a “specified employee,” as defined in and pursuant to Reg. Section 1.409A 1(i) or any successor regulation, on the date of any such termination of employment without Cause or for Good Reason, you will not be entitled to such vesting prior to the earlier of (i) the date which is six months from the date of your “separation from service” (as defined in Reg. Section 1.409A 1(h) or any successor regulation) as a result of such termination and (ii) your death.</w:t>
      </w:r>
    </w:p>
    <w:p>
      <w:pPr>
        <w:spacing w:after="0" w:line="131" w:lineRule="exact"/>
        <w:rPr>
          <w:rFonts w:ascii="Times New Roman" w:cs="Times New Roman" w:eastAsia="Times New Roman" w:hAnsi="Times New Roman"/>
          <w:sz w:val="13"/>
          <w:szCs w:val="13"/>
          <w:color w:val="auto"/>
        </w:rPr>
      </w:pPr>
    </w:p>
    <w:p>
      <w:pPr>
        <w:jc w:val="both"/>
        <w:ind w:left="4" w:firstLine="428"/>
        <w:spacing w:after="0" w:line="261" w:lineRule="auto"/>
        <w:tabs>
          <w:tab w:leader="none" w:pos="740"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2(d), “Cause” shall mean any of the following reasons: (1) willful and serious misconduct in the performance of your duties including, without limitation, theft, falsification of documents, willful and material mistreatment of other employees, violence, drug or alcohol abuse in the workplace, conduct that violates Capital One’s written policies against discrimination and/or harassment, and serious acts of insubordination; (2) a material or repeated violation by you of any written code of conduct, business, compliance, or risk policy or standard of ethics generally applicable to all associates or to associates of your level at Capital One; (3) your conviction of a crime involving either moral turpitude or a breach of a duty of honesty, fiduciary duty, and/or good faith; (4) your conviction for any criminal offense</w:t>
      </w:r>
    </w:p>
    <w:p>
      <w:pPr>
        <w:sectPr>
          <w:pgSz w:w="11900" w:h="16838" w:orient="portrait"/>
          <w:cols w:equalWidth="0" w:num="1">
            <w:col w:w="10444"/>
          </w:cols>
          <w:pgMar w:left="1156" w:top="989" w:right="299" w:bottom="1440" w:gutter="0" w:footer="0" w:header="0"/>
        </w:sectPr>
      </w:pPr>
    </w:p>
    <w:bookmarkStart w:id="296" w:name="page297"/>
    <w:bookmarkEnd w:id="296"/>
    <w:p>
      <w:pPr>
        <w:jc w:val="both"/>
        <w:ind w:left="436"/>
        <w:spacing w:after="0" w:line="258" w:lineRule="auto"/>
        <w:rPr>
          <w:sz w:val="20"/>
          <w:szCs w:val="20"/>
          <w:color w:val="auto"/>
        </w:rPr>
      </w:pPr>
      <w:r>
        <w:rPr>
          <w:rFonts w:ascii="Times New Roman" w:cs="Times New Roman" w:eastAsia="Times New Roman" w:hAnsi="Times New Roman"/>
          <w:sz w:val="13"/>
          <w:szCs w:val="13"/>
          <w:color w:val="auto"/>
        </w:rPr>
        <w:t>for which Capital One excludes from employment any employee in a similar role or position. Poor performance shall not solely by itself be the basis of a Cause termination and no act or inaction based upon direction from the Chief Executive Officer or Board of Directors of Capital One or the advice of counsel to Capital One shall be the basis of a Cause termination for purposes of this repayment obligation. No action or inaction shall be treated as willful unless done or not done in bad faith and without a reasonable belief such action was in the best interests of the Company. You shall be given written notice of any event alleged to constitute Cause and not less than 30 days to cure, if curable.</w:t>
      </w:r>
    </w:p>
    <w:p>
      <w:pPr>
        <w:spacing w:after="0" w:line="1" w:lineRule="exact"/>
        <w:rPr>
          <w:sz w:val="20"/>
          <w:szCs w:val="20"/>
          <w:color w:val="auto"/>
        </w:rPr>
      </w:pPr>
    </w:p>
    <w:p>
      <w:pPr>
        <w:jc w:val="both"/>
        <w:ind w:left="436" w:firstLine="428"/>
        <w:spacing w:after="0" w:line="256" w:lineRule="auto"/>
        <w:tabs>
          <w:tab w:leader="none" w:pos="1210" w:val="left"/>
        </w:tabs>
        <w:numPr>
          <w:ilvl w:val="1"/>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2(d), “Good Reason” shall means without your express written consent the occurrence of one or more of the following: (1) a material diminution of your position, title, authorities, duties, reporting or responsibilities, (2) a material reduction in your base salary or your annual bonus or long-term incentive opportunity or (3) relocation of your principal place of business more than twenty-five (25) miles from the location set forth above, or (4) a material breach by Capital One or its affiliates of any of the terms of this Agreement or any other written agreement with you. You may terminate employment with Good Reason if (a) you provide Capital One with written notice of the event constituting Good Reason within thirty (30) days following your knowledge of such event, (b) Capital One fails to cure such event within thirty (30) days following such written notice, and (c) you terminate your employment within forty-five (45) days following the end of such 30-day cure period.</w:t>
      </w:r>
    </w:p>
    <w:p>
      <w:pPr>
        <w:spacing w:after="0" w:line="145" w:lineRule="exact"/>
        <w:rPr>
          <w:rFonts w:ascii="Times New Roman" w:cs="Times New Roman" w:eastAsia="Times New Roman" w:hAnsi="Times New Roman"/>
          <w:sz w:val="13"/>
          <w:szCs w:val="13"/>
          <w:color w:val="auto"/>
        </w:rPr>
      </w:pPr>
    </w:p>
    <w:p>
      <w:pPr>
        <w:ind w:left="436" w:firstLine="428"/>
        <w:spacing w:after="0" w:line="295" w:lineRule="auto"/>
        <w:tabs>
          <w:tab w:leader="none" w:pos="1240" w:val="left"/>
        </w:tabs>
        <w:numPr>
          <w:ilvl w:val="1"/>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and your Employer shall take all steps necessary to ensure that any termination described in this Section 2(d) constitutes a “separation from service” within the meaning of Section 409A of the Code.</w:t>
      </w:r>
    </w:p>
    <w:p>
      <w:pPr>
        <w:spacing w:after="0" w:line="109" w:lineRule="exact"/>
        <w:rPr>
          <w:rFonts w:ascii="Times New Roman" w:cs="Times New Roman" w:eastAsia="Times New Roman" w:hAnsi="Times New Roman"/>
          <w:sz w:val="13"/>
          <w:szCs w:val="13"/>
          <w:color w:val="auto"/>
        </w:rPr>
      </w:pPr>
    </w:p>
    <w:p>
      <w:pPr>
        <w:jc w:val="both"/>
        <w:ind w:left="-424" w:firstLine="424"/>
        <w:spacing w:after="0" w:line="280" w:lineRule="auto"/>
        <w:tabs>
          <w:tab w:leader="none" w:pos="266"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w:t>
      </w:r>
      <w:r>
        <w:rPr>
          <w:rFonts w:ascii="Times New Roman" w:cs="Times New Roman" w:eastAsia="Times New Roman" w:hAnsi="Times New Roman"/>
          <w:sz w:val="13"/>
          <w:szCs w:val="13"/>
          <w:color w:val="auto"/>
        </w:rPr>
        <w:t>. Subject to the provisions of Section 2 hereof, the rights represented by the Restricted Stock Units shall not be assignable or transferable, or otherwise alienated or hypothecated, under any circumstances. Any purported or attempted transfer of such Restricted Stock Units or such rights shall be null and void and shall result in the immediate forfeiture and cancellation of the Restricted Stock Units.</w:t>
      </w:r>
    </w:p>
    <w:p>
      <w:pPr>
        <w:spacing w:after="0" w:line="290" w:lineRule="exact"/>
        <w:rPr>
          <w:rFonts w:ascii="Times New Roman" w:cs="Times New Roman" w:eastAsia="Times New Roman" w:hAnsi="Times New Roman"/>
          <w:sz w:val="13"/>
          <w:szCs w:val="13"/>
          <w:color w:val="auto"/>
        </w:rPr>
      </w:pPr>
    </w:p>
    <w:p>
      <w:pPr>
        <w:jc w:val="both"/>
        <w:ind w:left="-424" w:firstLine="424"/>
        <w:spacing w:after="0" w:line="261" w:lineRule="auto"/>
        <w:tabs>
          <w:tab w:leader="none" w:pos="257"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and Waiver</w:t>
      </w:r>
      <w:r>
        <w:rPr>
          <w:rFonts w:ascii="Times New Roman" w:cs="Times New Roman" w:eastAsia="Times New Roman" w:hAnsi="Times New Roman"/>
          <w:sz w:val="13"/>
          <w:szCs w:val="13"/>
          <w:color w:val="auto"/>
        </w:rPr>
        <w:t>. Except as provided in the Plan with respect to determinations of the Board or the Committee and subject to the Committee’s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41" w:lineRule="exact"/>
        <w:rPr>
          <w:rFonts w:ascii="Times New Roman" w:cs="Times New Roman" w:eastAsia="Times New Roman" w:hAnsi="Times New Roman"/>
          <w:sz w:val="13"/>
          <w:szCs w:val="13"/>
          <w:color w:val="auto"/>
        </w:rPr>
      </w:pPr>
    </w:p>
    <w:p>
      <w:pPr>
        <w:ind w:left="-424" w:firstLine="424"/>
        <w:spacing w:after="0" w:line="281" w:lineRule="auto"/>
        <w:tabs>
          <w:tab w:leader="none" w:pos="275"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Subject to Section 2(d), if you become subject to withholding under applicable tax laws, you agree to pay Capital One the amount required to be withheld by one or more of the following methods:</w:t>
      </w:r>
    </w:p>
    <w:p>
      <w:pPr>
        <w:sectPr>
          <w:pgSz w:w="11900" w:h="16838" w:orient="portrait"/>
          <w:cols w:equalWidth="0" w:num="1">
            <w:col w:w="10876"/>
          </w:cols>
          <w:pgMar w:left="724" w:top="989" w:right="299" w:bottom="1440" w:gutter="0" w:footer="0" w:header="0"/>
        </w:sectPr>
      </w:pPr>
    </w:p>
    <w:bookmarkStart w:id="297" w:name="page298"/>
    <w:bookmarkEnd w:id="297"/>
    <w:p>
      <w:pPr>
        <w:ind w:left="420" w:firstLine="436"/>
        <w:spacing w:after="0" w:line="295" w:lineRule="auto"/>
        <w:tabs>
          <w:tab w:leader="none" w:pos="1162"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will automatically withhold the number of Shares having a Fair Market Value on the date the tax withholding obligation is to be determined equal to the amount required to be withheld (as determined pursuant to the Plan), rounded up to the nearest whole Share; or</w:t>
      </w:r>
    </w:p>
    <w:p>
      <w:pPr>
        <w:spacing w:after="0" w:line="109"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such other methods as Capital One may make available from time to time.</w:t>
      </w:r>
    </w:p>
    <w:p>
      <w:pPr>
        <w:spacing w:after="0" w:line="17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Further, if you are subject to any income tax, social insurance, payroll tax, fringe benefits tax, payment on account or other tax-related items related to your participation in the Plan (“Tax-Related Items”) in more than one jurisdiction between the Date of Grant and the date of any relevant taxable or tax withholding event, as applicable, you acknowledge that Capital One and/or your Employer (or former employer, as applicable) may be required to withhold or account for Tax-Related Items in more than one jurisdiction.</w:t>
      </w:r>
    </w:p>
    <w:p>
      <w:pPr>
        <w:spacing w:after="0" w:line="134" w:lineRule="exact"/>
        <w:rPr>
          <w:sz w:val="20"/>
          <w:szCs w:val="20"/>
          <w:color w:val="auto"/>
        </w:rPr>
      </w:pPr>
    </w:p>
    <w:p>
      <w:pPr>
        <w:ind w:firstLine="424"/>
        <w:spacing w:after="0" w:line="281" w:lineRule="auto"/>
        <w:tabs>
          <w:tab w:leader="none" w:pos="69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 Equivalents</w:t>
      </w:r>
      <w:r>
        <w:rPr>
          <w:rFonts w:ascii="Times New Roman" w:cs="Times New Roman" w:eastAsia="Times New Roman" w:hAnsi="Times New Roman"/>
          <w:sz w:val="13"/>
          <w:szCs w:val="13"/>
          <w:color w:val="auto"/>
        </w:rPr>
        <w:t>. With respect to the Restricted Stock Units, dividend equivalents shall be paid to you in cash as soon as is practicable after dividends are paid to holders of shares of Common Stock. Dividend equivalent payments shall be based on the total number of unvested Restricted Stock Units held as of the applicable dividend record date.</w:t>
      </w:r>
    </w:p>
    <w:p>
      <w:pPr>
        <w:spacing w:after="0" w:line="126" w:lineRule="exact"/>
        <w:rPr>
          <w:rFonts w:ascii="Times New Roman" w:cs="Times New Roman" w:eastAsia="Times New Roman" w:hAnsi="Times New Roman"/>
          <w:sz w:val="13"/>
          <w:szCs w:val="13"/>
          <w:color w:val="auto"/>
        </w:rPr>
      </w:pPr>
    </w:p>
    <w:p>
      <w:pPr>
        <w:jc w:val="both"/>
        <w:ind w:firstLine="424"/>
        <w:spacing w:after="0" w:line="270" w:lineRule="auto"/>
        <w:tabs>
          <w:tab w:leader="none" w:pos="663"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United States federal law and, to the extent not preempted thereby, by the laws of the State of Delaware. Capital One and you hereby consent and submit to the personal jurisdiction and venue of any state or federal court located in any city or county of Delaware for resolution of any and all claims, causes of action or disputes arising out of this Agreement. You and Capital One agree that the court shall not set aside the Committee’s determinations unless there is clear and convincing evidence of bad faith or fraud.</w:t>
      </w:r>
    </w:p>
    <w:p>
      <w:pPr>
        <w:spacing w:after="0" w:line="134" w:lineRule="exact"/>
        <w:rPr>
          <w:rFonts w:ascii="Times New Roman" w:cs="Times New Roman" w:eastAsia="Times New Roman" w:hAnsi="Times New Roman"/>
          <w:sz w:val="13"/>
          <w:szCs w:val="13"/>
          <w:color w:val="auto"/>
        </w:rPr>
      </w:pPr>
    </w:p>
    <w:p>
      <w:pPr>
        <w:ind w:firstLine="424"/>
        <w:spacing w:after="0" w:line="281" w:lineRule="auto"/>
        <w:tabs>
          <w:tab w:leader="none" w:pos="681"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In the event of any conflict between the provisions of the Plan as in effect on the Date of Grant and the provisions of this Agreement, except as provided otherwise herein, the provisions of the Plan shall govern. All references herein to the Plan shall mean the Plan as in effect on the date hereof.</w:t>
      </w:r>
    </w:p>
    <w:p>
      <w:pPr>
        <w:spacing w:after="0" w:line="126" w:lineRule="exact"/>
        <w:rPr>
          <w:rFonts w:ascii="Times New Roman" w:cs="Times New Roman" w:eastAsia="Times New Roman" w:hAnsi="Times New Roman"/>
          <w:sz w:val="13"/>
          <w:szCs w:val="13"/>
          <w:color w:val="auto"/>
        </w:rPr>
      </w:pPr>
    </w:p>
    <w:p>
      <w:pPr>
        <w:ind w:right="20" w:firstLine="424"/>
        <w:spacing w:after="0" w:line="281" w:lineRule="auto"/>
        <w:tabs>
          <w:tab w:leader="none" w:pos="69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Bound by Plan</w:t>
      </w:r>
      <w:r>
        <w:rPr>
          <w:rFonts w:ascii="Times New Roman" w:cs="Times New Roman" w:eastAsia="Times New Roman" w:hAnsi="Times New Roman"/>
          <w:sz w:val="13"/>
          <w:szCs w:val="13"/>
          <w:color w:val="auto"/>
        </w:rPr>
        <w:t>. In consideration of the grant of the Restricted Stock Units, you agree that you will comply with such conditions as the Committee may impose on the Restricted Stock Units and be bound by the terms of the Plan.</w:t>
      </w:r>
    </w:p>
    <w:p>
      <w:pPr>
        <w:spacing w:after="0" w:line="126" w:lineRule="exact"/>
        <w:rPr>
          <w:rFonts w:ascii="Times New Roman" w:cs="Times New Roman" w:eastAsia="Times New Roman" w:hAnsi="Times New Roman"/>
          <w:sz w:val="13"/>
          <w:szCs w:val="13"/>
          <w:color w:val="auto"/>
        </w:rPr>
      </w:pPr>
    </w:p>
    <w:p>
      <w:pPr>
        <w:ind w:left="720" w:hanging="296"/>
        <w:spacing w:after="0"/>
        <w:tabs>
          <w:tab w:leader="none" w:pos="72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Employment Status</w:t>
      </w:r>
      <w:r>
        <w:rPr>
          <w:rFonts w:ascii="Times New Roman" w:cs="Times New Roman" w:eastAsia="Times New Roman" w:hAnsi="Times New Roman"/>
          <w:sz w:val="13"/>
          <w:szCs w:val="13"/>
          <w:color w:val="auto"/>
        </w:rPr>
        <w:t>. This Agreement does not constitute a contract of employment nor does it alter your terminable at will status or otherwise guarantee future employment.</w:t>
      </w:r>
    </w:p>
    <w:p>
      <w:pPr>
        <w:spacing w:after="0" w:line="174" w:lineRule="exact"/>
        <w:rPr>
          <w:rFonts w:ascii="Times New Roman" w:cs="Times New Roman" w:eastAsia="Times New Roman" w:hAnsi="Times New Roman"/>
          <w:sz w:val="13"/>
          <w:szCs w:val="13"/>
          <w:color w:val="auto"/>
        </w:rPr>
      </w:pPr>
    </w:p>
    <w:p>
      <w:pPr>
        <w:ind w:firstLine="424"/>
        <w:spacing w:after="0" w:line="281" w:lineRule="auto"/>
        <w:tabs>
          <w:tab w:leader="none" w:pos="778"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This Agreement shall be binding upon, enforceable against, and inure to the benefit of you and your legatees, distributees and personal representatives, and Capital One and its successors and assigns.</w:t>
      </w:r>
    </w:p>
    <w:p>
      <w:pPr>
        <w:spacing w:after="0" w:line="126" w:lineRule="exact"/>
        <w:rPr>
          <w:rFonts w:ascii="Times New Roman" w:cs="Times New Roman" w:eastAsia="Times New Roman" w:hAnsi="Times New Roman"/>
          <w:sz w:val="13"/>
          <w:szCs w:val="13"/>
          <w:color w:val="auto"/>
        </w:rPr>
      </w:pPr>
    </w:p>
    <w:p>
      <w:pPr>
        <w:ind w:firstLine="424"/>
        <w:spacing w:after="0" w:line="281" w:lineRule="auto"/>
        <w:tabs>
          <w:tab w:leader="none" w:pos="729"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Forfeiture Event</w:t>
      </w:r>
      <w:r>
        <w:rPr>
          <w:rFonts w:ascii="Times New Roman" w:cs="Times New Roman" w:eastAsia="Times New Roman" w:hAnsi="Times New Roman"/>
          <w:sz w:val="13"/>
          <w:szCs w:val="13"/>
          <w:color w:val="auto"/>
        </w:rPr>
        <w:t>. You agree to reimburse the Company with respect to the Restricted Stock Units to the extent required under Section 304 of the Sarbanes-Oxley Act of 2002, Section 954 of the Dodd-Frank Act or as otherwise required by law.</w:t>
      </w:r>
    </w:p>
    <w:p>
      <w:pPr>
        <w:spacing w:after="0" w:line="126" w:lineRule="exact"/>
        <w:rPr>
          <w:rFonts w:ascii="Times New Roman" w:cs="Times New Roman" w:eastAsia="Times New Roman" w:hAnsi="Times New Roman"/>
          <w:sz w:val="13"/>
          <w:szCs w:val="13"/>
          <w:color w:val="auto"/>
        </w:rPr>
      </w:pPr>
    </w:p>
    <w:p>
      <w:pPr>
        <w:ind w:left="720" w:hanging="296"/>
        <w:spacing w:after="0"/>
        <w:tabs>
          <w:tab w:leader="none" w:pos="72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a Stockholder</w:t>
      </w:r>
      <w:r>
        <w:rPr>
          <w:rFonts w:ascii="Times New Roman" w:cs="Times New Roman" w:eastAsia="Times New Roman" w:hAnsi="Times New Roman"/>
          <w:sz w:val="13"/>
          <w:szCs w:val="13"/>
          <w:color w:val="auto"/>
        </w:rPr>
        <w:t>. You shall have no rights of a stockholder with respect to the shares of Common Stock represented by Restricted Stock Units, including, but not limited to, the right to</w:t>
      </w:r>
    </w:p>
    <w:p>
      <w:pPr>
        <w:sectPr>
          <w:pgSz w:w="11900" w:h="16838" w:orient="portrait"/>
          <w:cols w:equalWidth="0" w:num="1">
            <w:col w:w="11300"/>
          </w:cols>
          <w:pgMar w:left="300" w:top="989" w:right="2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3"/>
          <w:szCs w:val="13"/>
          <w:color w:val="auto"/>
        </w:rPr>
        <w:t>vote and to receive dividends, unless and until such shares of Common Stock are transferred to you pursuant to the Plan and this Agreement.</w:t>
      </w:r>
    </w:p>
    <w:p>
      <w:pPr>
        <w:spacing w:after="0" w:line="175" w:lineRule="exact"/>
        <w:rPr>
          <w:sz w:val="20"/>
          <w:szCs w:val="20"/>
          <w:color w:val="auto"/>
        </w:rPr>
      </w:pPr>
    </w:p>
    <w:p>
      <w:pPr>
        <w:ind w:right="20" w:firstLine="424"/>
        <w:spacing w:after="0" w:line="281" w:lineRule="auto"/>
        <w:tabs>
          <w:tab w:leader="none" w:pos="747"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Protection</w:t>
      </w:r>
      <w:r>
        <w:rPr>
          <w:rFonts w:ascii="Times New Roman" w:cs="Times New Roman" w:eastAsia="Times New Roman" w:hAnsi="Times New Roman"/>
          <w:sz w:val="13"/>
          <w:szCs w:val="13"/>
          <w:color w:val="auto"/>
        </w:rPr>
        <w:t>. You consent to the collection, processing and transfer (including international transfer) of your personally identifiable data in connection with the grant of the Restricted Stock Units and participation in the Plan.</w:t>
      </w:r>
    </w:p>
    <w:p>
      <w:pPr>
        <w:spacing w:after="0" w:line="126" w:lineRule="exact"/>
        <w:rPr>
          <w:rFonts w:ascii="Times New Roman" w:cs="Times New Roman" w:eastAsia="Times New Roman" w:hAnsi="Times New Roman"/>
          <w:sz w:val="13"/>
          <w:szCs w:val="13"/>
          <w:color w:val="auto"/>
        </w:rPr>
      </w:pPr>
    </w:p>
    <w:p>
      <w:pPr>
        <w:jc w:val="both"/>
        <w:ind w:firstLine="424"/>
        <w:spacing w:after="0" w:line="261" w:lineRule="auto"/>
        <w:tabs>
          <w:tab w:leader="none" w:pos="756"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This Agreement shall be enforceable to the fullest extent allowed by law. In the event that any provision of this Agreement is determined to be invalid, illegal or unenforceable in any respect under any applicable law or rule in any jurisdiction, then that provision shall be reduced, modified or otherwise conformed to the relevant law, judgment or determination to the degree necessary to render it valid and enforceable without affecting the validity, legality or enforceability of any other provision of this Agreement or the validity, legality or enforceability of such provision in any other jurisdiction. Any provision of this Agreement that is prohibited or unenforceable in any jurisdiction shall, as to such jurisdiction, be deemed severable from the remainder of this Agreement, and the remaining provisions contained in this Agreement shall be construed to preserve to the maximum permissible extent the intent and purposes of this Agreement.</w:t>
      </w:r>
    </w:p>
    <w:p>
      <w:pPr>
        <w:spacing w:after="0" w:line="141" w:lineRule="exact"/>
        <w:rPr>
          <w:rFonts w:ascii="Times New Roman" w:cs="Times New Roman" w:eastAsia="Times New Roman" w:hAnsi="Times New Roman"/>
          <w:sz w:val="13"/>
          <w:szCs w:val="13"/>
          <w:color w:val="auto"/>
        </w:rPr>
      </w:pPr>
    </w:p>
    <w:p>
      <w:pPr>
        <w:ind w:right="20" w:firstLine="424"/>
        <w:spacing w:after="0" w:line="281" w:lineRule="auto"/>
        <w:tabs>
          <w:tab w:leader="none" w:pos="774"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all of which together shall constitute one agreement binding on all the parties hereto, notwithstanding that all such parties are not signatories to the original or the same counterpart.</w:t>
      </w:r>
    </w:p>
    <w:p>
      <w:pPr>
        <w:spacing w:after="0" w:line="126" w:lineRule="exact"/>
        <w:rPr>
          <w:rFonts w:ascii="Times New Roman" w:cs="Times New Roman" w:eastAsia="Times New Roman" w:hAnsi="Times New Roman"/>
          <w:sz w:val="13"/>
          <w:szCs w:val="13"/>
          <w:color w:val="auto"/>
        </w:rPr>
      </w:pPr>
    </w:p>
    <w:p>
      <w:pPr>
        <w:ind w:left="720" w:hanging="296"/>
        <w:spacing w:after="0"/>
        <w:tabs>
          <w:tab w:leader="none" w:pos="720"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 In accepting the grant, you acknowledge and agree that:</w:t>
      </w:r>
    </w:p>
    <w:p>
      <w:pPr>
        <w:spacing w:after="0" w:line="174"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intended to comply with the applicable requirements of Section 409A of the Code and shall be limited, construed and interpreted in a manner so as to comply therewith;</w:t>
      </w:r>
    </w:p>
    <w:p>
      <w:pPr>
        <w:spacing w:after="0" w:line="165"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obligations under this Agreement shall survive any termination of your employment with the Company for any reason;</w:t>
      </w:r>
    </w:p>
    <w:p>
      <w:pPr>
        <w:spacing w:after="0" w:line="174"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rights or remedies under this Agreement shall be cumulative and in addition to whatever other remedies the Company may have under law or equity;</w:t>
      </w:r>
    </w:p>
    <w:p>
      <w:pPr>
        <w:spacing w:after="0" w:line="165"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recovery by the Company under this Agreement will be a recovery of Restricted Stock Units to which you were not entitled under this Agreement and is not to be construed in any manner</w:t>
      </w:r>
    </w:p>
    <w:p>
      <w:pPr>
        <w:spacing w:after="0" w:line="22"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penalty;</w:t>
      </w:r>
    </w:p>
    <w:p>
      <w:pPr>
        <w:spacing w:after="0" w:line="164" w:lineRule="exact"/>
        <w:rPr>
          <w:rFonts w:ascii="Times New Roman" w:cs="Times New Roman" w:eastAsia="Times New Roman" w:hAnsi="Times New Roman"/>
          <w:sz w:val="13"/>
          <w:szCs w:val="13"/>
          <w:color w:val="auto"/>
        </w:rPr>
      </w:pPr>
    </w:p>
    <w:p>
      <w:pPr>
        <w:jc w:val="both"/>
        <w:ind w:left="420" w:firstLine="436"/>
        <w:spacing w:after="0" w:line="270" w:lineRule="auto"/>
        <w:tabs>
          <w:tab w:leader="none" w:pos="1144"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to the maximum extent permitted by applicable law and Section 409A of the Code, retain for itself funds or securities otherwise payable to you pursuant to this Agreement to satisfy any obligation or debt that you owe the Company, including any obligations hereunder. The Company may not retain such funds or securities until such time as they would otherwise be distributable to you in accordance with this Agreement;</w:t>
      </w:r>
    </w:p>
    <w:p>
      <w:pPr>
        <w:spacing w:after="0" w:line="125" w:lineRule="exact"/>
        <w:rPr>
          <w:rFonts w:ascii="Times New Roman" w:cs="Times New Roman" w:eastAsia="Times New Roman" w:hAnsi="Times New Roman"/>
          <w:sz w:val="13"/>
          <w:szCs w:val="13"/>
          <w:color w:val="auto"/>
        </w:rPr>
      </w:pPr>
    </w:p>
    <w:p>
      <w:pPr>
        <w:ind w:left="420" w:firstLine="436"/>
        <w:spacing w:after="0" w:line="295" w:lineRule="auto"/>
        <w:tabs>
          <w:tab w:leader="none" w:pos="1118" w:val="left"/>
        </w:tabs>
        <w:numPr>
          <w:ilvl w:val="1"/>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reserves the right to impose other requirements on the Restricted Stock Units, any Shares acquired pursuant to the Restricted Stock Units, and your participation in the Plan, to the extent Capital One determines, in its sole discretion, that such other requirements are necessary or advisable in order to comply with local laws, rules and regulations, or to</w:t>
      </w:r>
    </w:p>
    <w:p>
      <w:pPr>
        <w:sectPr>
          <w:pgSz w:w="11900" w:h="16838" w:orient="portrait"/>
          <w:cols w:equalWidth="0" w:num="1">
            <w:col w:w="11300"/>
          </w:cols>
          <w:pgMar w:left="300" w:top="989" w:right="299" w:bottom="1440" w:gutter="0" w:footer="0" w:header="0"/>
        </w:sectPr>
      </w:pPr>
    </w:p>
    <w:bookmarkStart w:id="299" w:name="page300"/>
    <w:bookmarkEnd w:id="299"/>
    <w:p>
      <w:pPr>
        <w:spacing w:after="0" w:line="295" w:lineRule="auto"/>
        <w:rPr>
          <w:sz w:val="20"/>
          <w:szCs w:val="20"/>
          <w:color w:val="auto"/>
        </w:rPr>
      </w:pPr>
      <w:r>
        <w:rPr>
          <w:rFonts w:ascii="Times New Roman" w:cs="Times New Roman" w:eastAsia="Times New Roman" w:hAnsi="Times New Roman"/>
          <w:sz w:val="13"/>
          <w:szCs w:val="13"/>
          <w:color w:val="auto"/>
        </w:rPr>
        <w:t>facilitate the administration of the Restricted Stock Units and the Plan. Such requirements may include (but are not limited to) requiring you to sign any agreements or undertakings that may be necessary to accomplish the foregoing; and</w:t>
      </w:r>
    </w:p>
    <w:p>
      <w:pPr>
        <w:spacing w:after="0" w:line="110" w:lineRule="exact"/>
        <w:rPr>
          <w:sz w:val="20"/>
          <w:szCs w:val="20"/>
          <w:color w:val="auto"/>
        </w:rPr>
      </w:pPr>
    </w:p>
    <w:p>
      <w:pPr>
        <w:jc w:val="both"/>
        <w:ind w:firstLine="436"/>
        <w:spacing w:after="0" w:line="267" w:lineRule="auto"/>
        <w:tabs>
          <w:tab w:leader="none" w:pos="749"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from time to time distributes and makes available to associates disclosure documents, including a prospectus, relating to the Plan. You may also contact the HR Help Center to obtain copies of the Plan disclosure documents and the Plan. You should carefully read the Plan disclosure documents and the Plan. By accepting the benefits of this Agreement you acknowledge receipt of the Plan and the Plan disclosure documents and agree to be bound by the terms of this Agreement and the Plan. You hereby consent to receive such documents by electronic delivery and agree to participate in the Plan through an on-line or electronic system established and maintained by Capital One or a third-party designated by Capital One.</w:t>
      </w:r>
    </w:p>
    <w:p>
      <w:pPr>
        <w:sectPr>
          <w:pgSz w:w="11900" w:h="16838" w:orient="portrait"/>
          <w:cols w:equalWidth="0" w:num="1">
            <w:col w:w="10880"/>
          </w:cols>
          <w:pgMar w:left="720" w:top="989" w:right="299" w:bottom="1440" w:gutter="0" w:footer="0" w:header="0"/>
        </w:sectPr>
      </w:pPr>
    </w:p>
    <w:bookmarkStart w:id="300" w:name="page301"/>
    <w:bookmarkEnd w:id="300"/>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on their behalf.</w:t>
      </w:r>
    </w:p>
    <w:p>
      <w:pPr>
        <w:spacing w:after="0" w:line="33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16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 /s/ Jory 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-5080</wp:posOffset>
            </wp:positionV>
            <wp:extent cx="75374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6">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Jory Berson</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Chief Human Resources Officer</w:t>
      </w:r>
    </w:p>
    <w:p>
      <w:pPr>
        <w:spacing w:after="0" w:line="3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17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 /s/ Neal Blinde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-5080</wp:posOffset>
            </wp:positionV>
            <wp:extent cx="75374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7">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3"/>
          <w:szCs w:val="13"/>
          <w:color w:val="auto"/>
        </w:rPr>
        <w:t>Neal Blinde</w:t>
      </w:r>
    </w:p>
    <w:p>
      <w:pPr>
        <w:spacing w:after="0" w:line="3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color w:val="auto"/>
        </w:rPr>
        <w:t>BY ELECTRONICALLY ACCEPTING THE AWARD, YOU AGREE THAT (i) SUCH ACCEPTANCE CONSTITUTES YOUR ELECTRONIC SIGNATURE IN EXECUTION OF THIS AGREEMENT; (ii) YOU AGREE TO BE BOUND BY THE PROVISIONS OF THE PLAN AND THIS AGREEMENT; (iii) YOU HAVE REVIEWED THE PLAN AND THIS AGREEMENT IN THEIR ENTIRETY, HAVE HAD AN OPPORTUNITY TO OBTAIN THE ADVICE OF COUNSEL PRIOR TO ACCEPTING THE AWARD AND FULLY UNDERSTAND ALL OF THE PROVISIONS OF THE PLAN AND THIS AGREEMENT; (iv) YOU HAVE BEEN PROVIDED WITH A COPY OR ELECTRONIC ACCESS TO A COPY OF THE PROSPECTUS FOR THE PLAN; AND (v) YOU HEREBY AGREE TO ACCEPT AS BINDING, CONCLUSIVE AND FINAL ALL DECISIONS OR INTERPRETATIONS OF THE COMMITTEE UPON ANY QUESTIONS ARISING UNDER THE PLAN AND THIS AGREEMENT.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 * * *</w:t>
      </w:r>
    </w:p>
    <w:p>
      <w:pPr>
        <w:sectPr>
          <w:pgSz w:w="11900" w:h="16838" w:orient="portrait"/>
          <w:cols w:equalWidth="0" w:num="1">
            <w:col w:w="11300"/>
          </w:cols>
          <w:pgMar w:left="300" w:top="1440" w:right="29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3"/>
          <w:szCs w:val="13"/>
          <w:b w:val="1"/>
          <w:bCs w:val="1"/>
          <w:color w:val="auto"/>
        </w:rPr>
        <w:t>Exhibit 10.2.27</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2004 Stock Incentive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Restricted Stock Unit Award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of Units: 40,892</w:t>
      </w:r>
    </w:p>
    <w:p>
      <w:pPr>
        <w:spacing w:after="0" w:line="327"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THIS RESTRICTED STOCK UNIT AWARD AGREEMENT (this “Agreement”), dated January 31, 2022 (the “Date of Grant”), between CAPITAL ONE FINANCIAL CORPORATION, a Delaware corporation (“Capital One” or the “Company”), and </w:t>
      </w:r>
      <w:r>
        <w:rPr>
          <w:rFonts w:ascii="Times New Roman" w:cs="Times New Roman" w:eastAsia="Times New Roman" w:hAnsi="Times New Roman"/>
          <w:sz w:val="13"/>
          <w:szCs w:val="13"/>
          <w:b w:val="1"/>
          <w:bCs w:val="1"/>
          <w:color w:val="auto"/>
        </w:rPr>
        <w:t>NEAL BLINDE</w:t>
      </w:r>
      <w:r>
        <w:rPr>
          <w:rFonts w:ascii="Times New Roman" w:cs="Times New Roman" w:eastAsia="Times New Roman" w:hAnsi="Times New Roman"/>
          <w:sz w:val="13"/>
          <w:szCs w:val="13"/>
          <w:color w:val="auto"/>
        </w:rPr>
        <w:t xml:space="preserve"> (“you”), is made pursuant and subject to the provisions of the Company’s 2004 Stock Incentive Plan, as amended and restated (the “Plan”), and all capitalized terms used herein that are defined in the Plan shall have the same meaning given to them in the Plan unless otherwise defined herein. For purposes of this Agreement, “Employer” means the entity (i.e., Capital One, Subsidiary or Affiliate) that employs you.</w:t>
      </w:r>
    </w:p>
    <w:p>
      <w:pPr>
        <w:spacing w:after="0" w:line="136"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WHEREAS, Article 8 of the Plan provides for the award from time to time in the discretion of the Committee of Restricted Stock Units, representing shares of common stock of Capital One, $.01 par value per share (“Common Stock”), the vesting and issuance of which is subject to continued employment with Capital One or its Subsidiaries or Affiliates (as applicable) or other conditions;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W I T N E S S E T H</w:t>
      </w:r>
      <w:r>
        <w:rPr>
          <w:rFonts w:ascii="Times New Roman" w:cs="Times New Roman" w:eastAsia="Times New Roman" w:hAnsi="Times New Roman"/>
          <w:sz w:val="13"/>
          <w:szCs w:val="13"/>
          <w:color w:val="auto"/>
        </w:rPr>
        <w:t xml:space="preserve"> :</w:t>
      </w:r>
    </w:p>
    <w:p>
      <w:pPr>
        <w:spacing w:after="0" w:line="166" w:lineRule="exact"/>
        <w:rPr>
          <w:sz w:val="20"/>
          <w:szCs w:val="20"/>
          <w:color w:val="auto"/>
        </w:rPr>
      </w:pPr>
    </w:p>
    <w:p>
      <w:pPr>
        <w:ind w:firstLine="424"/>
        <w:spacing w:after="0" w:line="295" w:lineRule="auto"/>
        <w:tabs>
          <w:tab w:leader="none" w:pos="699"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Restricted Stock Units</w:t>
      </w:r>
      <w:r>
        <w:rPr>
          <w:rFonts w:ascii="Times New Roman" w:cs="Times New Roman" w:eastAsia="Times New Roman" w:hAnsi="Times New Roman"/>
          <w:sz w:val="13"/>
          <w:szCs w:val="13"/>
          <w:color w:val="auto"/>
        </w:rPr>
        <w:t>. Capital One hereby grants to you 40,892 Restricted Stock Units (the “Restricted Stock Units”). The Restricted Stock Units shall vest, and the underlying shares of Common Stock (such underlying shares, the “Shares”) shall be issuable, only in accordance with the provisions of this Agreement and of the Plan.</w:t>
      </w:r>
    </w:p>
    <w:p>
      <w:pPr>
        <w:spacing w:after="0" w:line="118" w:lineRule="exact"/>
        <w:rPr>
          <w:rFonts w:ascii="Times New Roman" w:cs="Times New Roman" w:eastAsia="Times New Roman" w:hAnsi="Times New Roman"/>
          <w:sz w:val="13"/>
          <w:szCs w:val="13"/>
          <w:color w:val="auto"/>
        </w:rPr>
      </w:pPr>
    </w:p>
    <w:p>
      <w:pPr>
        <w:ind w:left="660" w:hanging="236"/>
        <w:spacing w:after="0"/>
        <w:tabs>
          <w:tab w:leader="none" w:pos="66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Issuance of Common Stock</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420" w:firstLine="436"/>
        <w:spacing w:after="0" w:line="295" w:lineRule="auto"/>
        <w:tabs>
          <w:tab w:leader="none" w:pos="1148" w:val="left"/>
        </w:tabs>
        <w:numPr>
          <w:ilvl w:val="1"/>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Except as provided in Sections 2(b), 2(c) and 2(d) below and to the extent not previously vested or forfeited as provided herein, the Restricted Stock Units shall vest, and the Shares shall according to the following schedule:</w:t>
      </w:r>
    </w:p>
    <w:p>
      <w:pPr>
        <w:spacing w:after="0" w:line="1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One-fourth of the Restricted Stock Units on January 31, 2023</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One-fourth of the Restricted Stock Units on January 31, 2024</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One-fourth of the Restricted Stock Units on January 31, 2025</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One-fourth of the Restricted Stock Units on January 31, 2026</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Each of the immediately above dates shall be a “Scheduled Vesting Date.”</w:t>
      </w:r>
    </w:p>
    <w:p>
      <w:pPr>
        <w:spacing w:after="0" w:line="166" w:lineRule="exact"/>
        <w:rPr>
          <w:sz w:val="20"/>
          <w:szCs w:val="20"/>
          <w:color w:val="auto"/>
        </w:rPr>
      </w:pPr>
    </w:p>
    <w:p>
      <w:pPr>
        <w:ind w:left="1140" w:hanging="284"/>
        <w:spacing w:after="0"/>
        <w:tabs>
          <w:tab w:leader="none" w:pos="114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Termination of Employment</w:t>
      </w:r>
      <w:r>
        <w:rPr>
          <w:rFonts w:ascii="Times New Roman" w:cs="Times New Roman" w:eastAsia="Times New Roman" w:hAnsi="Times New Roman"/>
          <w:sz w:val="13"/>
          <w:szCs w:val="13"/>
          <w:color w:val="auto"/>
        </w:rPr>
        <w:t>.</w:t>
      </w:r>
    </w:p>
    <w:p>
      <w:pPr>
        <w:spacing w:after="0" w:line="174" w:lineRule="exact"/>
        <w:rPr>
          <w:rFonts w:ascii="Times New Roman" w:cs="Times New Roman" w:eastAsia="Times New Roman" w:hAnsi="Times New Roman"/>
          <w:sz w:val="13"/>
          <w:szCs w:val="13"/>
          <w:color w:val="auto"/>
        </w:rPr>
      </w:pPr>
    </w:p>
    <w:p>
      <w:pPr>
        <w:ind w:left="1540" w:hanging="252"/>
        <w:spacing w:after="0"/>
        <w:tabs>
          <w:tab w:leader="none" w:pos="1540" w:val="left"/>
        </w:tabs>
        <w:numPr>
          <w:ilvl w:val="1"/>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2(d), upon your termination of employment with your Employer for any reason prior to the Scheduled Vesting Date of</w:t>
      </w:r>
    </w:p>
    <w:p>
      <w:pPr>
        <w:sectPr>
          <w:pgSz w:w="11900" w:h="16838" w:orient="portrait"/>
          <w:cols w:equalWidth="0" w:num="1">
            <w:col w:w="11300"/>
          </w:cols>
          <w:pgMar w:left="300" w:top="987" w:right="299" w:bottom="1440" w:gutter="0" w:footer="0" w:header="0"/>
        </w:sectPr>
      </w:pPr>
    </w:p>
    <w:bookmarkStart w:id="302" w:name="page303"/>
    <w:bookmarkEnd w:id="302"/>
    <w:p>
      <w:pPr>
        <w:ind w:left="4" w:right="120"/>
        <w:spacing w:after="0" w:line="295" w:lineRule="auto"/>
        <w:rPr>
          <w:sz w:val="20"/>
          <w:szCs w:val="20"/>
          <w:color w:val="auto"/>
        </w:rPr>
      </w:pPr>
      <w:r>
        <w:rPr>
          <w:rFonts w:ascii="Times New Roman" w:cs="Times New Roman" w:eastAsia="Times New Roman" w:hAnsi="Times New Roman"/>
          <w:sz w:val="13"/>
          <w:szCs w:val="13"/>
          <w:color w:val="auto"/>
        </w:rPr>
        <w:t>such Restricted Stock Units, all Restricted Stock Units shall immediately be forfeited (to the extent not previously vested or forfeited as provided herein). For the avoidance of doubt, a transfer of employment to an affiliate of Capital One shall not constitute a termination of employment for purposes of this Section 2(b).</w:t>
      </w:r>
    </w:p>
    <w:p>
      <w:pPr>
        <w:spacing w:after="0" w:line="110" w:lineRule="exact"/>
        <w:rPr>
          <w:sz w:val="20"/>
          <w:szCs w:val="20"/>
          <w:color w:val="auto"/>
        </w:rPr>
      </w:pPr>
    </w:p>
    <w:p>
      <w:pPr>
        <w:ind w:left="284" w:hanging="284"/>
        <w:spacing w:after="0"/>
        <w:tabs>
          <w:tab w:leader="none" w:pos="284"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 Schedule Upon Becoming Subject to Withholding</w:t>
      </w:r>
      <w:r>
        <w:rPr>
          <w:rFonts w:ascii="Times New Roman" w:cs="Times New Roman" w:eastAsia="Times New Roman" w:hAnsi="Times New Roman"/>
          <w:sz w:val="13"/>
          <w:szCs w:val="13"/>
          <w:color w:val="auto"/>
        </w:rPr>
        <w:t>.</w:t>
      </w:r>
    </w:p>
    <w:p>
      <w:pPr>
        <w:spacing w:after="0" w:line="174" w:lineRule="exact"/>
        <w:rPr>
          <w:rFonts w:ascii="Times New Roman" w:cs="Times New Roman" w:eastAsia="Times New Roman" w:hAnsi="Times New Roman"/>
          <w:sz w:val="13"/>
          <w:szCs w:val="13"/>
          <w:color w:val="auto"/>
        </w:rPr>
      </w:pPr>
    </w:p>
    <w:p>
      <w:pPr>
        <w:ind w:left="4" w:right="180" w:firstLine="428"/>
        <w:spacing w:after="0" w:line="261" w:lineRule="auto"/>
        <w:tabs>
          <w:tab w:leader="none" w:pos="692"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determined by the Committee or the independent members of the board of directors of the Company (the “Board”), as applicable, and to the extent permitted or required by law, Capital One may determine, in its sole discretion, (A) that you have become subject to withholding under applicable tax laws at a time when Restricted Stock Units are not otherwise vesting pursuant to Section 2, and (B) that a portion of the Restricted Stock Units shall vest, only and to the extent sufficient, if sold at Fair Market Value, on the date of such determination, to provide for the payment of any tax liability in accordance with applicable tax laws. The number of Restricted Stock Units vesting pursuant to the preceding sentence shall be rounded up to the nearest whole Restricted Stock Unit. It is understood that the remaining portion of the Restricted Stock Units shall continue to vest on the Scheduled Vesting Dates as provided herein (to the extent not previously vested or forfeited as provided herein).</w:t>
      </w:r>
    </w:p>
    <w:p>
      <w:pPr>
        <w:spacing w:after="0" w:line="131" w:lineRule="exact"/>
        <w:rPr>
          <w:rFonts w:ascii="Times New Roman" w:cs="Times New Roman" w:eastAsia="Times New Roman" w:hAnsi="Times New Roman"/>
          <w:sz w:val="13"/>
          <w:szCs w:val="13"/>
          <w:color w:val="auto"/>
        </w:rPr>
      </w:pPr>
    </w:p>
    <w:p>
      <w:pPr>
        <w:ind w:left="4" w:right="40" w:firstLine="428"/>
        <w:spacing w:after="0" w:line="295" w:lineRule="auto"/>
        <w:tabs>
          <w:tab w:leader="none" w:pos="729"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of this Agreement to the contrary, Capital One and/or your Employer will take all necessary steps to withhold the amount determined pursuant to the immediately foregoing paragraph in satisfaction of any applicable tax withholding liability.</w:t>
      </w:r>
    </w:p>
    <w:p>
      <w:pPr>
        <w:spacing w:after="0" w:line="118" w:lineRule="exact"/>
        <w:rPr>
          <w:rFonts w:ascii="Times New Roman" w:cs="Times New Roman" w:eastAsia="Times New Roman" w:hAnsi="Times New Roman"/>
          <w:sz w:val="13"/>
          <w:szCs w:val="13"/>
          <w:color w:val="auto"/>
        </w:rPr>
      </w:pPr>
    </w:p>
    <w:p>
      <w:pPr>
        <w:ind w:left="284" w:hanging="284"/>
        <w:spacing w:after="0"/>
        <w:tabs>
          <w:tab w:leader="none" w:pos="284"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Change of Control</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4" w:firstLine="428"/>
        <w:spacing w:after="0" w:line="261" w:lineRule="auto"/>
        <w:tabs>
          <w:tab w:leader="none" w:pos="692"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by your Employer without Cause or by you for Good Reason (each as defined below), in either case on or prior to the second anniversary of the occurrence of a Change of Control of Capital One, then, notwithstanding anything herein to the contrary, the Restricted Stock Units shall vest and the Shares (as may be adjusted in accordance with Section 4.4 of the Plan) shall be issuable in accordance with this Agreement immediately upon the occurrence of your termination of employment following such Change of Control (to the extent not previously vested or forfeited as provided herein); provided, however, that if the Restricted Stock Units are considered deferred compensation under Section 409A of the Code and not exempt from Section 409A of the Code as a short-term deferral or otherwise, and you are a “specified employee,” as defined in and pursuant to Reg. Section 1.409A 1(i) or any successor regulation, on the date of any such termination of employment without Cause or for Good Reason, you will not be entitled to such vesting prior to the earlier of (i) the date which is six months from the date of your “separation from service” (as defined in Reg. Section 1.409A 1(h) or any successor regulation) as a result of such termination and (ii) your death.</w:t>
      </w:r>
    </w:p>
    <w:p>
      <w:pPr>
        <w:spacing w:after="0" w:line="131" w:lineRule="exact"/>
        <w:rPr>
          <w:rFonts w:ascii="Times New Roman" w:cs="Times New Roman" w:eastAsia="Times New Roman" w:hAnsi="Times New Roman"/>
          <w:sz w:val="13"/>
          <w:szCs w:val="13"/>
          <w:color w:val="auto"/>
        </w:rPr>
      </w:pPr>
    </w:p>
    <w:p>
      <w:pPr>
        <w:jc w:val="both"/>
        <w:ind w:left="4" w:right="20" w:firstLine="428"/>
        <w:spacing w:after="0" w:line="270" w:lineRule="auto"/>
        <w:tabs>
          <w:tab w:leader="none" w:pos="729" w:val="left"/>
        </w:tabs>
        <w:numPr>
          <w:ilvl w:val="1"/>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2(d), “Cause” shall mean any of the following reasons: (1) willful and serious misconduct in the performance of your duties including, without limitation, theft, falsification of documents, willful and material mistreatment of other employees, violence, drug or alcohol abuse in the workplace, conduct that violates Capital One’s written policies against discrimination and/or</w:t>
      </w:r>
    </w:p>
    <w:p>
      <w:pPr>
        <w:sectPr>
          <w:pgSz w:w="11900" w:h="16838" w:orient="portrait"/>
          <w:cols w:equalWidth="0" w:num="1">
            <w:col w:w="10384"/>
          </w:cols>
          <w:pgMar w:left="1156" w:top="989" w:right="359" w:bottom="1440" w:gutter="0" w:footer="0" w:header="0"/>
        </w:sectPr>
      </w:pPr>
    </w:p>
    <w:bookmarkStart w:id="303" w:name="page304"/>
    <w:bookmarkEnd w:id="303"/>
    <w:p>
      <w:pPr>
        <w:ind w:left="436" w:right="80"/>
        <w:spacing w:after="0" w:line="257" w:lineRule="auto"/>
        <w:rPr>
          <w:sz w:val="20"/>
          <w:szCs w:val="20"/>
          <w:color w:val="auto"/>
        </w:rPr>
      </w:pPr>
      <w:r>
        <w:rPr>
          <w:rFonts w:ascii="Times New Roman" w:cs="Times New Roman" w:eastAsia="Times New Roman" w:hAnsi="Times New Roman"/>
          <w:sz w:val="13"/>
          <w:szCs w:val="13"/>
          <w:color w:val="auto"/>
        </w:rPr>
        <w:t>harassment, and serious acts of insubordination; (2) a material or repeated violation by you of any written code of conduct, business, compliance, or risk policy or standard of ethics generally applicable to all associates or to associates of your level at Capital One; (3) your conviction of a crime involving either moral turpitude or a breach of a duty of honesty, fiduciary duty, and/or good faith; (4) your conviction for any criminal offense for which Capital One excludes from employment any employee in a similar role or position. Poor performance shall not solely by itself be the basis of a Cause termination and no act or inaction based upon direction from the Chief Executive Officer or Board of Directors of Capital One or the advice of counsel to Capital One shall be the basis of a Cause termination for purposes of this repayment obligation. No action or inaction shall be treated as willful unless done or not done in bad faith and without a reasonable belief such action was in the best interests of the Company. You shall be given written notice of any event alleged to constitute Cause and not less than 30 days to cure, if curable.</w:t>
      </w:r>
    </w:p>
    <w:p>
      <w:pPr>
        <w:spacing w:after="0" w:line="3" w:lineRule="exact"/>
        <w:rPr>
          <w:sz w:val="20"/>
          <w:szCs w:val="20"/>
          <w:color w:val="auto"/>
        </w:rPr>
      </w:pPr>
    </w:p>
    <w:p>
      <w:pPr>
        <w:ind w:left="436" w:firstLine="428"/>
        <w:spacing w:after="0" w:line="258" w:lineRule="auto"/>
        <w:tabs>
          <w:tab w:leader="none" w:pos="1198" w:val="left"/>
        </w:tabs>
        <w:numPr>
          <w:ilvl w:val="1"/>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2(d), “Good Reason” shall means without your express written consent the occurrence of one or more of the following: (1) a material diminution of your position, title, authorities, duties, reporting or responsibilities, (2) a material reduction in your base salary or your annual bonus or long-term incentive opportunity or (3) relocation of your principal place of business more than twenty-five (25) miles from the location set forth above, or (4) a material breach by Capital One or its affiliates of any of the terms of this Agreement or any other written agreement with you. You may terminate employment with Good Reason if (a) you provide Capital One with written notice of the event constituting Good Reason within thirty (30) days following your knowledge of such event, (b) Capital One fails to cure such event within thirty (30) days following such written notice, and (c) you terminate your employment within forty-five (45) days following the end of such 30-day cure period.</w:t>
      </w:r>
    </w:p>
    <w:p>
      <w:pPr>
        <w:spacing w:after="0" w:line="133" w:lineRule="exact"/>
        <w:rPr>
          <w:rFonts w:ascii="Times New Roman" w:cs="Times New Roman" w:eastAsia="Times New Roman" w:hAnsi="Times New Roman"/>
          <w:sz w:val="13"/>
          <w:szCs w:val="13"/>
          <w:color w:val="auto"/>
        </w:rPr>
      </w:pPr>
    </w:p>
    <w:p>
      <w:pPr>
        <w:ind w:left="436" w:right="380" w:firstLine="428"/>
        <w:spacing w:after="0" w:line="295" w:lineRule="auto"/>
        <w:tabs>
          <w:tab w:leader="none" w:pos="1185" w:val="left"/>
        </w:tabs>
        <w:numPr>
          <w:ilvl w:val="1"/>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and your Employer shall take all steps necessary to ensure that any termination described in this Section 2(d) constitutes a “separation from service” within the meaning of Section 409A of the Code.</w:t>
      </w:r>
    </w:p>
    <w:p>
      <w:pPr>
        <w:spacing w:after="0" w:line="109" w:lineRule="exact"/>
        <w:rPr>
          <w:rFonts w:ascii="Times New Roman" w:cs="Times New Roman" w:eastAsia="Times New Roman" w:hAnsi="Times New Roman"/>
          <w:sz w:val="13"/>
          <w:szCs w:val="13"/>
          <w:color w:val="auto"/>
        </w:rPr>
      </w:pPr>
    </w:p>
    <w:p>
      <w:pPr>
        <w:ind w:left="-424" w:right="20" w:firstLine="424"/>
        <w:spacing w:after="0" w:line="277" w:lineRule="auto"/>
        <w:tabs>
          <w:tab w:leader="none" w:pos="239"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w:t>
      </w:r>
      <w:r>
        <w:rPr>
          <w:rFonts w:ascii="Times New Roman" w:cs="Times New Roman" w:eastAsia="Times New Roman" w:hAnsi="Times New Roman"/>
          <w:sz w:val="13"/>
          <w:szCs w:val="13"/>
          <w:color w:val="auto"/>
        </w:rPr>
        <w:t>. Subject to the provisions of Section 2 hereof, the rights represented by the Restricted Stock Units shall not be assignable or transferable, or otherwise alienated or hypothecated, under any circumstances. Any purported or attempted transfer of such Restricted Stock Units or such rights shall be null and void and shall result in the immediate forfeiture and cancellation of the Restricted Stock Units.</w:t>
      </w:r>
    </w:p>
    <w:p>
      <w:pPr>
        <w:spacing w:after="0" w:line="121" w:lineRule="exact"/>
        <w:rPr>
          <w:rFonts w:ascii="Times New Roman" w:cs="Times New Roman" w:eastAsia="Times New Roman" w:hAnsi="Times New Roman"/>
          <w:sz w:val="13"/>
          <w:szCs w:val="13"/>
          <w:color w:val="auto"/>
        </w:rPr>
      </w:pPr>
    </w:p>
    <w:p>
      <w:pPr>
        <w:ind w:left="-424" w:right="20" w:firstLine="424"/>
        <w:spacing w:after="0" w:line="261" w:lineRule="auto"/>
        <w:tabs>
          <w:tab w:leader="none" w:pos="239"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and Waiver</w:t>
      </w:r>
      <w:r>
        <w:rPr>
          <w:rFonts w:ascii="Times New Roman" w:cs="Times New Roman" w:eastAsia="Times New Roman" w:hAnsi="Times New Roman"/>
          <w:sz w:val="13"/>
          <w:szCs w:val="13"/>
          <w:color w:val="auto"/>
        </w:rPr>
        <w:t>. Except as provided in the Plan with respect to determinations of the Board or the Committee and subject to the Committee’s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ectPr>
          <w:pgSz w:w="11900" w:h="16838" w:orient="portrait"/>
          <w:cols w:equalWidth="0" w:num="1">
            <w:col w:w="10836"/>
          </w:cols>
          <w:pgMar w:left="724" w:top="989" w:right="339" w:bottom="1440" w:gutter="0" w:footer="0" w:header="0"/>
        </w:sectPr>
      </w:pPr>
    </w:p>
    <w:bookmarkStart w:id="304" w:name="page305"/>
    <w:bookmarkEnd w:id="304"/>
    <w:p>
      <w:pPr>
        <w:ind w:right="380" w:firstLine="424"/>
        <w:spacing w:after="0" w:line="295" w:lineRule="auto"/>
        <w:tabs>
          <w:tab w:leader="none" w:pos="663" w:val="left"/>
        </w:tabs>
        <w:numPr>
          <w:ilvl w:val="0"/>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Subject to Section 2(d), if you become subject to withholding under applicable tax laws, you agree to pay Capital One the amount required to be withheld by one or more of the following methods:</w:t>
      </w:r>
    </w:p>
    <w:p>
      <w:pPr>
        <w:spacing w:after="0" w:line="109" w:lineRule="exact"/>
        <w:rPr>
          <w:rFonts w:ascii="Times New Roman" w:cs="Times New Roman" w:eastAsia="Times New Roman" w:hAnsi="Times New Roman"/>
          <w:sz w:val="13"/>
          <w:szCs w:val="13"/>
          <w:color w:val="auto"/>
        </w:rPr>
      </w:pPr>
    </w:p>
    <w:p>
      <w:pPr>
        <w:ind w:left="420" w:right="260" w:firstLine="436"/>
        <w:spacing w:after="0" w:line="295" w:lineRule="auto"/>
        <w:tabs>
          <w:tab w:leader="none" w:pos="1130"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will automatically withhold the number of Shares having a Fair Market Value on the date the tax withholding obligation is to be determined equal to the amount required to be withheld (as determined pursuant to the Plan), rounded up to the nearest whole Share; or</w:t>
      </w:r>
    </w:p>
    <w:p>
      <w:pPr>
        <w:spacing w:after="0" w:line="109"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such other methods as Capital One may make available from time to time.</w:t>
      </w:r>
    </w:p>
    <w:p>
      <w:pPr>
        <w:spacing w:after="0" w:line="175"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3"/>
          <w:szCs w:val="13"/>
          <w:color w:val="auto"/>
        </w:rPr>
        <w:t>Further, if you are subject to any income tax, social insurance, payroll tax, fringe benefits tax, payment on account or other tax-related items related to your participation in the Plan (“Tax-Related Items”) in more than one jurisdiction between the Date of Grant and the date of any relevant taxable or tax withholding event, as applicable, you acknowledge that Capital One and/or your Employer (or former employer, as applicable) may be required to withhold or account for Tax-Related Items in more than one jurisdiction.</w:t>
      </w:r>
    </w:p>
    <w:p>
      <w:pPr>
        <w:spacing w:after="0" w:line="134" w:lineRule="exact"/>
        <w:rPr>
          <w:sz w:val="20"/>
          <w:szCs w:val="20"/>
          <w:color w:val="auto"/>
        </w:rPr>
      </w:pPr>
    </w:p>
    <w:p>
      <w:pPr>
        <w:ind w:right="260" w:firstLine="424"/>
        <w:spacing w:after="0" w:line="281" w:lineRule="auto"/>
        <w:tabs>
          <w:tab w:leader="none" w:pos="663"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 Equivalents</w:t>
      </w:r>
      <w:r>
        <w:rPr>
          <w:rFonts w:ascii="Times New Roman" w:cs="Times New Roman" w:eastAsia="Times New Roman" w:hAnsi="Times New Roman"/>
          <w:sz w:val="13"/>
          <w:szCs w:val="13"/>
          <w:color w:val="auto"/>
        </w:rPr>
        <w:t>. With respect to the Restricted Stock Units, dividend equivalents shall be paid to you in cash as soon as is practicable after dividends are paid to holders of shares of Common Stock. Dividend equivalent payments shall be based on the total number of unvested Restricted Stock Units held as of the applicable dividend record date.</w:t>
      </w:r>
    </w:p>
    <w:p>
      <w:pPr>
        <w:spacing w:after="0" w:line="126" w:lineRule="exact"/>
        <w:rPr>
          <w:rFonts w:ascii="Times New Roman" w:cs="Times New Roman" w:eastAsia="Times New Roman" w:hAnsi="Times New Roman"/>
          <w:sz w:val="13"/>
          <w:szCs w:val="13"/>
          <w:color w:val="auto"/>
        </w:rPr>
      </w:pPr>
    </w:p>
    <w:p>
      <w:pPr>
        <w:ind w:right="40" w:firstLine="424"/>
        <w:spacing w:after="0" w:line="270" w:lineRule="auto"/>
        <w:tabs>
          <w:tab w:leader="none" w:pos="663"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United States federal law and, to the extent not preempted thereby, by the laws of the State of Delaware. Capital One and you hereby consent and submit to the personal jurisdiction and venue of any state or federal court located in any city or county of Delaware for resolution of any and all claims, causes of action or disputes arising out of this Agreement. You and Capital One agree that the court shall not set aside the Committee’s determinations unless there is clear and convincing evidence of bad faith or fraud.</w:t>
      </w:r>
    </w:p>
    <w:p>
      <w:pPr>
        <w:spacing w:after="0" w:line="134" w:lineRule="exact"/>
        <w:rPr>
          <w:rFonts w:ascii="Times New Roman" w:cs="Times New Roman" w:eastAsia="Times New Roman" w:hAnsi="Times New Roman"/>
          <w:sz w:val="13"/>
          <w:szCs w:val="13"/>
          <w:color w:val="auto"/>
        </w:rPr>
      </w:pPr>
    </w:p>
    <w:p>
      <w:pPr>
        <w:ind w:right="160" w:firstLine="424"/>
        <w:spacing w:after="0" w:line="281" w:lineRule="auto"/>
        <w:tabs>
          <w:tab w:leader="none" w:pos="663"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In the event of any conflict between the provisions of the Plan as in effect on the Date of Grant and the provisions of this Agreement, except as provided otherwise herein, the provisions of the Plan shall govern. All references herein to the Plan shall mean the Plan as in effect on the date hereof.</w:t>
      </w:r>
    </w:p>
    <w:p>
      <w:pPr>
        <w:spacing w:after="0" w:line="126" w:lineRule="exact"/>
        <w:rPr>
          <w:rFonts w:ascii="Times New Roman" w:cs="Times New Roman" w:eastAsia="Times New Roman" w:hAnsi="Times New Roman"/>
          <w:sz w:val="13"/>
          <w:szCs w:val="13"/>
          <w:color w:val="auto"/>
        </w:rPr>
      </w:pPr>
    </w:p>
    <w:p>
      <w:pPr>
        <w:ind w:right="300" w:firstLine="424"/>
        <w:spacing w:after="0" w:line="295" w:lineRule="auto"/>
        <w:tabs>
          <w:tab w:leader="none" w:pos="663"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Bound by Plan</w:t>
      </w:r>
      <w:r>
        <w:rPr>
          <w:rFonts w:ascii="Times New Roman" w:cs="Times New Roman" w:eastAsia="Times New Roman" w:hAnsi="Times New Roman"/>
          <w:sz w:val="13"/>
          <w:szCs w:val="13"/>
          <w:color w:val="auto"/>
        </w:rPr>
        <w:t>. In consideration of the grant of the Restricted Stock Units, you agree that you will comply with such conditions as the Committee may impose on the Restricted Stock Units and be bound by the terms of the Plan.</w:t>
      </w:r>
    </w:p>
    <w:p>
      <w:pPr>
        <w:spacing w:after="0" w:line="109" w:lineRule="exact"/>
        <w:rPr>
          <w:rFonts w:ascii="Times New Roman" w:cs="Times New Roman" w:eastAsia="Times New Roman" w:hAnsi="Times New Roman"/>
          <w:sz w:val="13"/>
          <w:szCs w:val="13"/>
          <w:color w:val="auto"/>
        </w:rPr>
      </w:pPr>
    </w:p>
    <w:p>
      <w:pPr>
        <w:ind w:left="720" w:hanging="296"/>
        <w:spacing w:after="0"/>
        <w:tabs>
          <w:tab w:leader="none" w:pos="720"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Employment Status</w:t>
      </w:r>
      <w:r>
        <w:rPr>
          <w:rFonts w:ascii="Times New Roman" w:cs="Times New Roman" w:eastAsia="Times New Roman" w:hAnsi="Times New Roman"/>
          <w:sz w:val="13"/>
          <w:szCs w:val="13"/>
          <w:color w:val="auto"/>
        </w:rPr>
        <w:t>. This Agreement does not constitute a contract of employment nor does it alter your terminable at will status or otherwise guarantee future employment.</w:t>
      </w:r>
    </w:p>
    <w:p>
      <w:pPr>
        <w:spacing w:after="0" w:line="174" w:lineRule="exact"/>
        <w:rPr>
          <w:rFonts w:ascii="Times New Roman" w:cs="Times New Roman" w:eastAsia="Times New Roman" w:hAnsi="Times New Roman"/>
          <w:sz w:val="13"/>
          <w:szCs w:val="13"/>
          <w:color w:val="auto"/>
        </w:rPr>
      </w:pPr>
    </w:p>
    <w:p>
      <w:pPr>
        <w:ind w:right="480" w:firstLine="424"/>
        <w:spacing w:after="0" w:line="281" w:lineRule="auto"/>
        <w:tabs>
          <w:tab w:leader="none" w:pos="724"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This Agreement shall be binding upon, enforceable against, and inure to the benefit of you and your legatees, distributees and personal representatives, and Capital One and its successors and assigns.</w:t>
      </w:r>
    </w:p>
    <w:p>
      <w:pPr>
        <w:spacing w:after="0" w:line="126" w:lineRule="exact"/>
        <w:rPr>
          <w:rFonts w:ascii="Times New Roman" w:cs="Times New Roman" w:eastAsia="Times New Roman" w:hAnsi="Times New Roman"/>
          <w:sz w:val="13"/>
          <w:szCs w:val="13"/>
          <w:color w:val="auto"/>
        </w:rPr>
      </w:pPr>
    </w:p>
    <w:p>
      <w:pPr>
        <w:ind w:firstLine="424"/>
        <w:spacing w:after="0" w:line="281" w:lineRule="auto"/>
        <w:tabs>
          <w:tab w:leader="none" w:pos="729"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Forfeiture Event</w:t>
      </w:r>
      <w:r>
        <w:rPr>
          <w:rFonts w:ascii="Times New Roman" w:cs="Times New Roman" w:eastAsia="Times New Roman" w:hAnsi="Times New Roman"/>
          <w:sz w:val="13"/>
          <w:szCs w:val="13"/>
          <w:color w:val="auto"/>
        </w:rPr>
        <w:t>. You agree to reimburse the Company with respect to the Restricted Stock Units to the extent required under Section 304 of the Sarbanes-Oxley Act of 2002, Section 954 of the Dodd-Frank Act or as otherwise required by law.</w:t>
      </w:r>
    </w:p>
    <w:p>
      <w:pPr>
        <w:sectPr>
          <w:pgSz w:w="11900" w:h="16838" w:orient="portrait"/>
          <w:cols w:equalWidth="0" w:num="1">
            <w:col w:w="11280"/>
          </w:cols>
          <w:pgMar w:left="300" w:top="989" w:right="319" w:bottom="1440" w:gutter="0" w:footer="0" w:header="0"/>
        </w:sectPr>
      </w:pPr>
    </w:p>
    <w:bookmarkStart w:id="305" w:name="page306"/>
    <w:bookmarkEnd w:id="305"/>
    <w:p>
      <w:pPr>
        <w:ind w:left="-420" w:firstLine="424"/>
        <w:spacing w:after="0" w:line="295" w:lineRule="auto"/>
        <w:tabs>
          <w:tab w:leader="none" w:pos="309"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a Stockholder</w:t>
      </w:r>
      <w:r>
        <w:rPr>
          <w:rFonts w:ascii="Times New Roman" w:cs="Times New Roman" w:eastAsia="Times New Roman" w:hAnsi="Times New Roman"/>
          <w:sz w:val="13"/>
          <w:szCs w:val="13"/>
          <w:color w:val="auto"/>
        </w:rPr>
        <w:t>. You shall have no rights of a stockholder with respect to the shares of Common Stock represented by Restricted Stock Units, including, but not limited to, the right to vote and to receive dividends, unless and until such shares of Common Stock are transferred to you pursuant to the Plan and this Agreement.</w:t>
      </w:r>
    </w:p>
    <w:p>
      <w:pPr>
        <w:spacing w:after="0" w:line="109" w:lineRule="exact"/>
        <w:rPr>
          <w:rFonts w:ascii="Times New Roman" w:cs="Times New Roman" w:eastAsia="Times New Roman" w:hAnsi="Times New Roman"/>
          <w:sz w:val="13"/>
          <w:szCs w:val="13"/>
          <w:color w:val="auto"/>
        </w:rPr>
      </w:pPr>
    </w:p>
    <w:p>
      <w:pPr>
        <w:ind w:left="-420" w:right="120" w:firstLine="424"/>
        <w:spacing w:after="0" w:line="264" w:lineRule="auto"/>
        <w:tabs>
          <w:tab w:leader="none" w:pos="309"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Protection</w:t>
      </w:r>
      <w:r>
        <w:rPr>
          <w:rFonts w:ascii="Times New Roman" w:cs="Times New Roman" w:eastAsia="Times New Roman" w:hAnsi="Times New Roman"/>
          <w:sz w:val="13"/>
          <w:szCs w:val="13"/>
          <w:color w:val="auto"/>
        </w:rPr>
        <w:t>. You consent to the collection, processing and transfer (including international transfer) of your personally identifiable data in connection with the grant of the Restricted Stock Units and participation in the Plan.</w:t>
      </w:r>
    </w:p>
    <w:p>
      <w:pPr>
        <w:ind w:left="-420" w:right="40" w:firstLine="424"/>
        <w:spacing w:after="0" w:line="259" w:lineRule="auto"/>
        <w:tabs>
          <w:tab w:leader="none" w:pos="309"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This Agreement shall be enforceable to the fullest extent allowed by law. In the event that any provision of this Agreement is determined to be invalid, illegal or unenforceable in any respect under any applicable law or rule in any jurisdiction, then that provision shall be reduced, modified or otherwise conformed to the relevant law, judgment or determination to the degree necessary to render it valid and enforceable without affecting the validity, legality or enforceability of any other provision of this Agreement or the validity, legality or enforceability of such provision in any other jurisdiction. Any provision of this Agreement that is prohibited or unenforceable in any jurisdiction shall, as to such jurisdiction, be deemed severable from the remainder of this Agreement, and the remaining provisions contained in this Agreement shall be construed to preserve to the maximum permissible extent the intent and purposes of this Agreement.</w:t>
      </w:r>
    </w:p>
    <w:p>
      <w:pPr>
        <w:spacing w:after="0" w:line="133" w:lineRule="exact"/>
        <w:rPr>
          <w:rFonts w:ascii="Times New Roman" w:cs="Times New Roman" w:eastAsia="Times New Roman" w:hAnsi="Times New Roman"/>
          <w:sz w:val="13"/>
          <w:szCs w:val="13"/>
          <w:color w:val="auto"/>
        </w:rPr>
      </w:pPr>
    </w:p>
    <w:p>
      <w:pPr>
        <w:ind w:left="-420" w:right="340" w:firstLine="424"/>
        <w:spacing w:after="0" w:line="295" w:lineRule="auto"/>
        <w:tabs>
          <w:tab w:leader="none" w:pos="309"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all of which together shall constitute one agreement binding on all the parties hereto, notwithstanding that all such parties are not signatories to the original or the same counterpart.</w:t>
      </w:r>
    </w:p>
    <w:p>
      <w:pPr>
        <w:spacing w:after="0" w:line="118" w:lineRule="exact"/>
        <w:rPr>
          <w:rFonts w:ascii="Times New Roman" w:cs="Times New Roman" w:eastAsia="Times New Roman" w:hAnsi="Times New Roman"/>
          <w:sz w:val="13"/>
          <w:szCs w:val="13"/>
          <w:color w:val="auto"/>
        </w:rPr>
      </w:pPr>
    </w:p>
    <w:p>
      <w:pPr>
        <w:ind w:left="300" w:hanging="296"/>
        <w:spacing w:after="0"/>
        <w:tabs>
          <w:tab w:leader="none" w:pos="30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 In accepting the grant, you acknowledge and agree that:</w:t>
      </w:r>
    </w:p>
    <w:p>
      <w:pPr>
        <w:spacing w:after="0" w:line="165" w:lineRule="exact"/>
        <w:rPr>
          <w:rFonts w:ascii="Times New Roman" w:cs="Times New Roman" w:eastAsia="Times New Roman" w:hAnsi="Times New Roman"/>
          <w:sz w:val="13"/>
          <w:szCs w:val="13"/>
          <w:color w:val="auto"/>
        </w:rPr>
      </w:pPr>
    </w:p>
    <w:p>
      <w:pPr>
        <w:ind w:left="720" w:hanging="284"/>
        <w:spacing w:after="0"/>
        <w:tabs>
          <w:tab w:leader="none" w:pos="720"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intended to comply with the applicable requirements of Section 409A of the Code and shall be limited, construed and interpreted in a manner so as to comply therewith;</w:t>
      </w:r>
    </w:p>
    <w:p>
      <w:pPr>
        <w:spacing w:after="0" w:line="174" w:lineRule="exact"/>
        <w:rPr>
          <w:rFonts w:ascii="Times New Roman" w:cs="Times New Roman" w:eastAsia="Times New Roman" w:hAnsi="Times New Roman"/>
          <w:sz w:val="13"/>
          <w:szCs w:val="13"/>
          <w:color w:val="auto"/>
        </w:rPr>
      </w:pPr>
    </w:p>
    <w:p>
      <w:pPr>
        <w:ind w:left="720" w:hanging="284"/>
        <w:spacing w:after="0"/>
        <w:tabs>
          <w:tab w:leader="none" w:pos="720"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obligations under this Agreement shall survive any termination of your employment with the Company for any reason;</w:t>
      </w:r>
    </w:p>
    <w:p>
      <w:pPr>
        <w:spacing w:after="0" w:line="165" w:lineRule="exact"/>
        <w:rPr>
          <w:rFonts w:ascii="Times New Roman" w:cs="Times New Roman" w:eastAsia="Times New Roman" w:hAnsi="Times New Roman"/>
          <w:sz w:val="13"/>
          <w:szCs w:val="13"/>
          <w:color w:val="auto"/>
        </w:rPr>
      </w:pPr>
    </w:p>
    <w:p>
      <w:pPr>
        <w:ind w:left="720" w:hanging="284"/>
        <w:spacing w:after="0"/>
        <w:tabs>
          <w:tab w:leader="none" w:pos="720"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rights or remedies under this Agreement shall be cumulative and in addition to whatever other remedies the Company may have under law or equity;</w:t>
      </w:r>
    </w:p>
    <w:p>
      <w:pPr>
        <w:spacing w:after="0" w:line="174" w:lineRule="exact"/>
        <w:rPr>
          <w:rFonts w:ascii="Times New Roman" w:cs="Times New Roman" w:eastAsia="Times New Roman" w:hAnsi="Times New Roman"/>
          <w:sz w:val="13"/>
          <w:szCs w:val="13"/>
          <w:color w:val="auto"/>
        </w:rPr>
      </w:pPr>
    </w:p>
    <w:p>
      <w:pPr>
        <w:ind w:left="720" w:hanging="284"/>
        <w:spacing w:after="0"/>
        <w:tabs>
          <w:tab w:leader="none" w:pos="720"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recovery by the Company under this Agreement will be a recovery of Restricted Stock Units to which you were not entitled under this Agreement and is not to be construed in any manner</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penalty;</w:t>
      </w:r>
    </w:p>
    <w:p>
      <w:pPr>
        <w:spacing w:after="0" w:line="155" w:lineRule="exact"/>
        <w:rPr>
          <w:rFonts w:ascii="Times New Roman" w:cs="Times New Roman" w:eastAsia="Times New Roman" w:hAnsi="Times New Roman"/>
          <w:sz w:val="13"/>
          <w:szCs w:val="13"/>
          <w:color w:val="auto"/>
        </w:rPr>
      </w:pPr>
    </w:p>
    <w:p>
      <w:pPr>
        <w:ind w:right="80" w:firstLine="436"/>
        <w:spacing w:after="0" w:line="270" w:lineRule="auto"/>
        <w:tabs>
          <w:tab w:leader="none" w:pos="710"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to the maximum extent permitted by applicable law and Section 409A of the Code, retain for itself funds or securities otherwise payable to you pursuant to this Agreement to satisfy any obligation or debt that you owe the Company, including any obligations hereunder. The Company may not retain such funds or securities until such time as they would otherwise be distributable to you in accordance with this Agreement;</w:t>
      </w:r>
    </w:p>
    <w:p>
      <w:pPr>
        <w:sectPr>
          <w:pgSz w:w="11900" w:h="16838" w:orient="portrait"/>
          <w:cols w:equalWidth="0" w:num="1">
            <w:col w:w="10840"/>
          </w:cols>
          <w:pgMar w:left="720" w:top="1151" w:right="339" w:bottom="1440" w:gutter="0" w:footer="0" w:header="0"/>
        </w:sectPr>
      </w:pPr>
    </w:p>
    <w:bookmarkStart w:id="306" w:name="page307"/>
    <w:bookmarkEnd w:id="306"/>
    <w:p>
      <w:pPr>
        <w:jc w:val="both"/>
        <w:ind w:left="-436" w:firstLine="436"/>
        <w:spacing w:after="0" w:line="270" w:lineRule="auto"/>
        <w:tabs>
          <w:tab w:leader="none" w:pos="260"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reserves the right to impose other requirements on the Restricted Stock Units, any Shares acquired pursuant to the Restricted Stock Units, and your participation in the Plan, to the extent Capital One determines, in its sole discretion, that such other requirements are necessary or advisable in order to comply with local laws, rules and regulations, or to facilitate the administration of the Restricted Stock Units and the Plan. Such requirements may include (but are not limited to) requiring you to sign any agreements or undertakings that may be necessary to accomplish the foregoing; and</w:t>
      </w:r>
    </w:p>
    <w:p>
      <w:pPr>
        <w:spacing w:after="0" w:line="134" w:lineRule="exact"/>
        <w:rPr>
          <w:rFonts w:ascii="Times New Roman" w:cs="Times New Roman" w:eastAsia="Times New Roman" w:hAnsi="Times New Roman"/>
          <w:sz w:val="13"/>
          <w:szCs w:val="13"/>
          <w:color w:val="auto"/>
        </w:rPr>
      </w:pPr>
    </w:p>
    <w:p>
      <w:pPr>
        <w:ind w:left="-436" w:right="40" w:firstLine="436"/>
        <w:spacing w:after="0" w:line="267" w:lineRule="auto"/>
        <w:tabs>
          <w:tab w:leader="none" w:pos="28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from time to time distributes and makes available to associates disclosure documents, including a prospectus, relating to the Plan. You may also contact the HR Help Center to obtain copies of the Plan disclosure documents and the Plan. You should carefully read the Plan disclosure documents and the Plan. By accepting the benefits of this Agreement you acknowledge receipt of the Plan and the Plan disclosure documents and agree to be bound by the terms of this Agreement and the Plan. You hereby consent to receive such documents by electronic delivery and agree to participate in the Plan through an on-line or electronic system established and maintained by Capital One or a third-party designated by Capital One.</w:t>
      </w:r>
    </w:p>
    <w:p>
      <w:pPr>
        <w:sectPr>
          <w:pgSz w:w="11900" w:h="16838" w:orient="portrait"/>
          <w:cols w:equalWidth="0" w:num="1">
            <w:col w:w="10424"/>
          </w:cols>
          <w:pgMar w:left="1156" w:top="989" w:right="319" w:bottom="1440" w:gutter="0" w:footer="0" w:header="0"/>
        </w:sectPr>
      </w:pPr>
    </w:p>
    <w:bookmarkStart w:id="307" w:name="page308"/>
    <w:bookmarkEnd w:id="307"/>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on their behalf.</w:t>
      </w:r>
    </w:p>
    <w:p>
      <w:pPr>
        <w:spacing w:after="0" w:line="33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16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 /s/ Jory 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-5080</wp:posOffset>
            </wp:positionV>
            <wp:extent cx="75374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8">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Jory Berson</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Chief Human Resources Officer</w:t>
      </w:r>
    </w:p>
    <w:p>
      <w:pPr>
        <w:spacing w:after="0" w:line="3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17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 /s/ Neal Blinde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-5080</wp:posOffset>
            </wp:positionV>
            <wp:extent cx="75374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9">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3"/>
          <w:szCs w:val="13"/>
          <w:color w:val="auto"/>
        </w:rPr>
        <w:t>Neal Blinde</w:t>
      </w:r>
    </w:p>
    <w:p>
      <w:pPr>
        <w:spacing w:after="0" w:line="3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color w:val="auto"/>
        </w:rPr>
        <w:t>BY ELECTRONICALLY ACCEPTING THE AWARD, YOU AGREE THAT (i) SUCH ACCEPTANCE CONSTITUTES YOUR ELECTRONIC SIGNATURE IN EXECUTION OF THIS AGREEMENT; (ii) YOU AGREE TO BE BOUND BY THE PROVISIONS OF THE PLAN AND THIS AGREEMENT; (iii) YOU HAVE REVIEWED THE PLAN AND THIS AGREEMENT IN THEIR ENTIRETY, HAVE HAD AN OPPORTUNITY TO OBTAIN THE ADVICE OF COUNSEL PRIOR TO ACCEPTING THE AWARD AND FULLY UNDERSTAND ALL OF THE PROVISIONS OF THE PLAN AND THIS AGREEMENT; (iv) YOU HAVE BEEN PROVIDED WITH A COPY OR ELECTRONIC ACCESS TO A COPY OF THE PROSPECTUS FOR THE PLAN; AND (v) YOU HEREBY AGREE TO ACCEPT AS BINDING, CONCLUSIVE AND FINAL ALL DECISIONS OR INTERPRETATIONS OF THE COMMITTEE UPON ANY QUESTIONS ARISING UNDER THE PLAN AND THIS AGREEMENT.</w:t>
      </w:r>
    </w:p>
    <w:p>
      <w:pPr>
        <w:spacing w:after="0" w:line="13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color w:val="auto"/>
        </w:rPr>
        <w:t>* * * * *</w:t>
      </w:r>
    </w:p>
    <w:p>
      <w:pPr>
        <w:sectPr>
          <w:pgSz w:w="11900" w:h="16838" w:orient="portrait"/>
          <w:cols w:equalWidth="0" w:num="1">
            <w:col w:w="11300"/>
          </w:cols>
          <w:pgMar w:left="300" w:top="1440" w:right="299" w:bottom="1440" w:gutter="0" w:footer="0" w:header="0"/>
        </w:sectPr>
      </w:pPr>
    </w:p>
    <w:bookmarkStart w:id="308" w:name="page309"/>
    <w:bookmarkEnd w:id="308"/>
    <w:p>
      <w:pPr>
        <w:ind w:left="9800"/>
        <w:spacing w:after="0"/>
        <w:rPr>
          <w:sz w:val="20"/>
          <w:szCs w:val="20"/>
          <w:color w:val="auto"/>
        </w:rPr>
      </w:pPr>
      <w:r>
        <w:rPr>
          <w:rFonts w:ascii="Times New Roman" w:cs="Times New Roman" w:eastAsia="Times New Roman" w:hAnsi="Times New Roman"/>
          <w:sz w:val="13"/>
          <w:szCs w:val="13"/>
          <w:b w:val="1"/>
          <w:bCs w:val="1"/>
          <w:color w:val="auto"/>
        </w:rPr>
        <w:t>Exhibit 10.2.28</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CAPITAL ONE FINANCIAL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2004 Stock Incentive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Restricted Stock Unit Award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of Units: 20,446</w:t>
      </w:r>
    </w:p>
    <w:p>
      <w:pPr>
        <w:spacing w:after="0" w:line="327"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 xml:space="preserve">THIS RESTRICTED STOCK UNIT AWARD AGREEMENT (this “Agreement”), dated January 31, 2022 (the “Date of Grant”), between CAPITAL ONE FINANCIAL CORPORATION, a Delaware corporation (“Capital One” or the “Company”), and </w:t>
      </w:r>
      <w:r>
        <w:rPr>
          <w:rFonts w:ascii="Times New Roman" w:cs="Times New Roman" w:eastAsia="Times New Roman" w:hAnsi="Times New Roman"/>
          <w:sz w:val="13"/>
          <w:szCs w:val="13"/>
          <w:b w:val="1"/>
          <w:bCs w:val="1"/>
          <w:color w:val="auto"/>
        </w:rPr>
        <w:t>NEAL BLINDE</w:t>
      </w:r>
      <w:r>
        <w:rPr>
          <w:rFonts w:ascii="Times New Roman" w:cs="Times New Roman" w:eastAsia="Times New Roman" w:hAnsi="Times New Roman"/>
          <w:sz w:val="13"/>
          <w:szCs w:val="13"/>
          <w:color w:val="auto"/>
        </w:rPr>
        <w:t xml:space="preserve"> (“you”), is made pursuant and subject to the provisions of the Company’s 2004 Stock Incentive Plan, as amended and restated (the “Plan”), and all capitalized terms used herein that are defined in the Plan shall have the same meaning given to them in the Plan unless otherwise defined herein. For purposes of this Agreement, “Employer” means the entity (i.e., Capital One, Subsidiary or Affiliate) that employs you.</w:t>
      </w:r>
    </w:p>
    <w:p>
      <w:pPr>
        <w:spacing w:after="0" w:line="136"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WHEREAS, Article 8 of the Plan provides for the award from time to time in the discretion of the Committee of Restricted Stock Units, representing shares of common stock of Capital One, $.01 par value per share (“Common Stock”), the vesting and issuance of which is subject to continued employment with Capital One or its Subsidiaries or Affiliates (as applicable) or other conditions;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u w:val="single" w:color="auto"/>
          <w:color w:val="auto"/>
        </w:rPr>
        <w:t>W I T N E S S E T H</w:t>
      </w:r>
      <w:r>
        <w:rPr>
          <w:rFonts w:ascii="Times New Roman" w:cs="Times New Roman" w:eastAsia="Times New Roman" w:hAnsi="Times New Roman"/>
          <w:sz w:val="13"/>
          <w:szCs w:val="13"/>
          <w:color w:val="auto"/>
        </w:rPr>
        <w:t xml:space="preserve"> :</w:t>
      </w:r>
    </w:p>
    <w:p>
      <w:pPr>
        <w:spacing w:after="0" w:line="166" w:lineRule="exact"/>
        <w:rPr>
          <w:sz w:val="20"/>
          <w:szCs w:val="20"/>
          <w:color w:val="auto"/>
        </w:rPr>
      </w:pPr>
    </w:p>
    <w:p>
      <w:pPr>
        <w:ind w:firstLine="424"/>
        <w:spacing w:after="0" w:line="295" w:lineRule="auto"/>
        <w:tabs>
          <w:tab w:leader="none" w:pos="699"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Grant of Restricted Stock Units</w:t>
      </w:r>
      <w:r>
        <w:rPr>
          <w:rFonts w:ascii="Times New Roman" w:cs="Times New Roman" w:eastAsia="Times New Roman" w:hAnsi="Times New Roman"/>
          <w:sz w:val="13"/>
          <w:szCs w:val="13"/>
          <w:color w:val="auto"/>
        </w:rPr>
        <w:t>. Capital One hereby grants to you 20,446 Restricted Stock Units (the “Restricted Stock Units”). The Restricted Stock Units shall vest, and the underlying shares of Common Stock (such underlying shares, the “Shares”) shall be issuable, only in accordance with the provisions of this Agreement and of the Plan.</w:t>
      </w:r>
    </w:p>
    <w:p>
      <w:pPr>
        <w:spacing w:after="0" w:line="118" w:lineRule="exact"/>
        <w:rPr>
          <w:rFonts w:ascii="Times New Roman" w:cs="Times New Roman" w:eastAsia="Times New Roman" w:hAnsi="Times New Roman"/>
          <w:sz w:val="13"/>
          <w:szCs w:val="13"/>
          <w:color w:val="auto"/>
        </w:rPr>
      </w:pPr>
    </w:p>
    <w:p>
      <w:pPr>
        <w:ind w:left="660" w:hanging="236"/>
        <w:spacing w:after="0"/>
        <w:tabs>
          <w:tab w:leader="none" w:pos="660"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Issuance of Common Stock</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420" w:firstLine="436"/>
        <w:spacing w:after="0" w:line="295" w:lineRule="auto"/>
        <w:tabs>
          <w:tab w:leader="none" w:pos="1148" w:val="left"/>
        </w:tabs>
        <w:numPr>
          <w:ilvl w:val="1"/>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w:t>
      </w:r>
      <w:r>
        <w:rPr>
          <w:rFonts w:ascii="Times New Roman" w:cs="Times New Roman" w:eastAsia="Times New Roman" w:hAnsi="Times New Roman"/>
          <w:sz w:val="13"/>
          <w:szCs w:val="13"/>
          <w:color w:val="auto"/>
        </w:rPr>
        <w:t>. Except as provided in Sections 2(b), 2(c) and 2(d) below and to the extent not previously vested or forfeited as provided herein, the Restricted Stock Units shall vest, and the Shares shall according to the following schedule:</w:t>
      </w:r>
    </w:p>
    <w:p>
      <w:pPr>
        <w:spacing w:after="0" w:line="1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One-third of the Restricted Stock Units on January 31, 2023</w:t>
      </w:r>
    </w:p>
    <w:p>
      <w:pPr>
        <w:spacing w:after="0" w:line="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One-third of the Restricted Stock Units on January 31, 2024</w:t>
      </w:r>
    </w:p>
    <w:p>
      <w:pPr>
        <w:spacing w:after="0" w:line="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One-third of the Restricted Stock Units on January 31, 2025</w:t>
      </w:r>
    </w:p>
    <w:p>
      <w:pPr>
        <w:spacing w:after="0" w:line="1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Each of the immediately above dates shall be a “Scheduled Vesting Date.”</w:t>
      </w:r>
    </w:p>
    <w:p>
      <w:pPr>
        <w:spacing w:after="0" w:line="175" w:lineRule="exact"/>
        <w:rPr>
          <w:sz w:val="20"/>
          <w:szCs w:val="20"/>
          <w:color w:val="auto"/>
        </w:rPr>
      </w:pPr>
    </w:p>
    <w:p>
      <w:pPr>
        <w:ind w:left="1140" w:hanging="284"/>
        <w:spacing w:after="0"/>
        <w:tabs>
          <w:tab w:leader="none" w:pos="1140" w:val="left"/>
        </w:tabs>
        <w:numPr>
          <w:ilvl w:val="0"/>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Termination of Employment</w:t>
      </w:r>
      <w:r>
        <w:rPr>
          <w:rFonts w:ascii="Times New Roman" w:cs="Times New Roman" w:eastAsia="Times New Roman" w:hAnsi="Times New Roman"/>
          <w:sz w:val="13"/>
          <w:szCs w:val="13"/>
          <w:color w:val="auto"/>
        </w:rPr>
        <w:t>.</w:t>
      </w:r>
    </w:p>
    <w:p>
      <w:pPr>
        <w:spacing w:after="0" w:line="165" w:lineRule="exact"/>
        <w:rPr>
          <w:rFonts w:ascii="Times New Roman" w:cs="Times New Roman" w:eastAsia="Times New Roman" w:hAnsi="Times New Roman"/>
          <w:sz w:val="13"/>
          <w:szCs w:val="13"/>
          <w:color w:val="auto"/>
        </w:rPr>
      </w:pPr>
    </w:p>
    <w:p>
      <w:pPr>
        <w:ind w:left="860" w:firstLine="428"/>
        <w:spacing w:after="0" w:line="295" w:lineRule="auto"/>
        <w:tabs>
          <w:tab w:leader="none" w:pos="1550" w:val="left"/>
        </w:tabs>
        <w:numPr>
          <w:ilvl w:val="1"/>
          <w:numId w:val="2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provided in Section 2(b)(ii), 2(b)(iii), 2(b)(iv), 2(b)(v) and 2(d), upon your termination of employment with your Employer for any reason prior to the Scheduled Vesting Date of such Restricted Stock Units, all Restricted Stock Units</w:t>
      </w:r>
    </w:p>
    <w:p>
      <w:pPr>
        <w:sectPr>
          <w:pgSz w:w="11900" w:h="16838" w:orient="portrait"/>
          <w:cols w:equalWidth="0" w:num="1">
            <w:col w:w="11300"/>
          </w:cols>
          <w:pgMar w:left="300" w:top="987" w:right="299" w:bottom="1440" w:gutter="0" w:footer="0" w:header="0"/>
        </w:sectPr>
      </w:pPr>
    </w:p>
    <w:bookmarkStart w:id="309" w:name="page310"/>
    <w:bookmarkEnd w:id="309"/>
    <w:p>
      <w:pPr>
        <w:spacing w:after="0" w:line="295" w:lineRule="auto"/>
        <w:rPr>
          <w:sz w:val="20"/>
          <w:szCs w:val="20"/>
          <w:color w:val="auto"/>
        </w:rPr>
      </w:pPr>
      <w:r>
        <w:rPr>
          <w:rFonts w:ascii="Times New Roman" w:cs="Times New Roman" w:eastAsia="Times New Roman" w:hAnsi="Times New Roman"/>
          <w:sz w:val="13"/>
          <w:szCs w:val="13"/>
          <w:color w:val="auto"/>
        </w:rPr>
        <w:t>shall immediately be forfeited (to the extent not previously vested or forfeited as provided herein). For the avoidance of doubt, a transfer of employment to an affiliate of Capital One shall not constitute a termination of employment for purposes of this Section 2(b).</w:t>
      </w:r>
    </w:p>
    <w:p>
      <w:pPr>
        <w:spacing w:after="0" w:line="110" w:lineRule="exact"/>
        <w:rPr>
          <w:sz w:val="20"/>
          <w:szCs w:val="20"/>
          <w:color w:val="auto"/>
        </w:rPr>
      </w:pPr>
    </w:p>
    <w:p>
      <w:pPr>
        <w:ind w:firstLine="428"/>
        <w:spacing w:after="0" w:line="295" w:lineRule="auto"/>
        <w:tabs>
          <w:tab w:leader="none" w:pos="732"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with your Employer as a result of your death or Disability, the Restricted Stock Units shall immediately vest, and the Shares shall be issuable in accordance with this Agreement, upon such termination of employment (to the extent not previously vested or forfeited as provided herein).</w:t>
      </w:r>
    </w:p>
    <w:p>
      <w:pPr>
        <w:spacing w:after="0" w:line="109" w:lineRule="exact"/>
        <w:rPr>
          <w:rFonts w:ascii="Times New Roman" w:cs="Times New Roman" w:eastAsia="Times New Roman" w:hAnsi="Times New Roman"/>
          <w:sz w:val="13"/>
          <w:szCs w:val="13"/>
          <w:color w:val="auto"/>
        </w:rPr>
      </w:pPr>
    </w:p>
    <w:p>
      <w:pPr>
        <w:jc w:val="both"/>
        <w:ind w:firstLine="428"/>
        <w:spacing w:after="0" w:line="267" w:lineRule="auto"/>
        <w:tabs>
          <w:tab w:leader="none" w:pos="784"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with your Employer as a result of Retirement, the Restricted Stock Units shall continue to vest on the Scheduled Vesting Dates (to the extent not previously vested or forfeited as provided herein). Notwithstanding any other provision of this Agreement to the contrary, if your employment with your Employer is terminated as a result of your violation of law or of Company policies or procedures as determined by Capital One, including but not limited to the Capital One Code of Conduct, or if Capital One determines after your termination of employment that your employment could have been terminated as a result of such a violation, such termination is not a Retirement for purposes of the Plan or this Agreement.</w:t>
      </w:r>
    </w:p>
    <w:p>
      <w:pPr>
        <w:spacing w:after="0" w:line="135" w:lineRule="exact"/>
        <w:rPr>
          <w:rFonts w:ascii="Times New Roman" w:cs="Times New Roman" w:eastAsia="Times New Roman" w:hAnsi="Times New Roman"/>
          <w:sz w:val="13"/>
          <w:szCs w:val="13"/>
          <w:color w:val="auto"/>
        </w:rPr>
      </w:pPr>
    </w:p>
    <w:p>
      <w:pPr>
        <w:jc w:val="both"/>
        <w:ind w:firstLine="428"/>
        <w:spacing w:after="0" w:line="258" w:lineRule="auto"/>
        <w:tabs>
          <w:tab w:leader="none" w:pos="776"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by your Employer in a manner that makes you eligible for severance compensation or benefits as set forth below in this Section 2(b)(iv), you will receive continued vesting of the Restricted Stock Units scheduled to vest on each of the Scheduled Vesting Dates as if a termination of employment had not occurred subject to (A) your execution of a separation agreement and/or general release of claims within a period of time as required by Capital One or your Employer (in a form as prescribed by Capital One or your Employer, a “Release”), (B) such Release becoming effective and irrevocable in accordance with its terms and (C) your continued compliance with the terms of such Release through each Scheduled Vesting Date. To the extent a Scheduled Vesting Date occurs prior to the expiration of the period of time Capital One or your Employer provides you to sign the Release, you shall be entitled to vesting of the applicable portion of your Restricted Stock Units on such Scheduled Vesting Date even if you have not yet executed the Release. For avoidance of doubt, such continued vesting shall immediately cease (and any then-unvested Restricted Stock Units shall be immediately forfeited) in the event that you violate the terms and conditions of the Release. For purposes of this Section 2(b)(iv), you will be considered to have experienced a termination of employment by your Employer in a manner that makes you eligible for severance compensation or benefits if (X) you are a U.S. associate and you are eligible to receive benefits under any applicable U.S. Capital One severance plan in place at the time of your termination of employment, (Y) you are a U.K. associate and experience a termination by mutual agreement or redundancy, or (Z) you are a Canadian associate and experience an involuntary termination of employment that qualifies for severance payments under local law.</w:t>
      </w:r>
    </w:p>
    <w:p>
      <w:pPr>
        <w:spacing w:after="0" w:line="292" w:lineRule="exact"/>
        <w:rPr>
          <w:rFonts w:ascii="Times New Roman" w:cs="Times New Roman" w:eastAsia="Times New Roman" w:hAnsi="Times New Roman"/>
          <w:sz w:val="13"/>
          <w:szCs w:val="13"/>
          <w:color w:val="auto"/>
        </w:rPr>
      </w:pPr>
    </w:p>
    <w:p>
      <w:pPr>
        <w:ind w:right="20" w:firstLine="428"/>
        <w:spacing w:after="0" w:line="295" w:lineRule="auto"/>
        <w:tabs>
          <w:tab w:leader="none" w:pos="742"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by you for Good Reason, as defined in Section 2(d)(iii) of this Agreement, the Restricted Stock Units shall continue to vest on the Scheduled Vesting Dates (to the extent not previously vested or forfeited as provided herein).</w:t>
      </w:r>
    </w:p>
    <w:p>
      <w:pPr>
        <w:sectPr>
          <w:pgSz w:w="11900" w:h="16838" w:orient="portrait"/>
          <w:cols w:equalWidth="0" w:num="1">
            <w:col w:w="10440"/>
          </w:cols>
          <w:pgMar w:left="1160" w:top="989" w:right="299" w:bottom="1440" w:gutter="0" w:footer="0" w:header="0"/>
        </w:sectPr>
      </w:pPr>
    </w:p>
    <w:bookmarkStart w:id="310" w:name="page311"/>
    <w:bookmarkEnd w:id="310"/>
    <w:p>
      <w:pPr>
        <w:ind w:left="284" w:hanging="284"/>
        <w:spacing w:after="0"/>
        <w:tabs>
          <w:tab w:leader="none" w:pos="284"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Vesting Schedule Upon Becoming Subject to Withholding</w:t>
      </w:r>
      <w:r>
        <w:rPr>
          <w:rFonts w:ascii="Times New Roman" w:cs="Times New Roman" w:eastAsia="Times New Roman" w:hAnsi="Times New Roman"/>
          <w:sz w:val="13"/>
          <w:szCs w:val="13"/>
          <w:color w:val="auto"/>
        </w:rPr>
        <w:t>.</w:t>
      </w:r>
    </w:p>
    <w:p>
      <w:pPr>
        <w:spacing w:after="0" w:line="174" w:lineRule="exact"/>
        <w:rPr>
          <w:rFonts w:ascii="Times New Roman" w:cs="Times New Roman" w:eastAsia="Times New Roman" w:hAnsi="Times New Roman"/>
          <w:sz w:val="13"/>
          <w:szCs w:val="13"/>
          <w:color w:val="auto"/>
        </w:rPr>
      </w:pPr>
    </w:p>
    <w:p>
      <w:pPr>
        <w:jc w:val="both"/>
        <w:ind w:left="4" w:firstLine="428"/>
        <w:spacing w:after="0" w:line="261" w:lineRule="auto"/>
        <w:tabs>
          <w:tab w:leader="none" w:pos="742" w:val="left"/>
        </w:tabs>
        <w:numPr>
          <w:ilvl w:val="1"/>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determined by the Committee or the independent members of the board of directors of the Company (the “Board”), as applicable, and to the extent permitted or required by law, Capital One may determine, in its sole discretion, (A) that you have become subject to withholding under applicable tax laws at a time when Restricted Stock Units are not otherwise vesting pursuant to Section 2, and (B) that a portion of the Restricted Stock Units shall vest, only and to the extent sufficient, if sold at Fair Market Value, on the date of such determination, to provide for the payment of any tax liability in accordance with applicable tax laws. The number of Restricted Stock Units vesting pursuant to the preceding sentence shall be rounded up to the nearest whole Restricted Stock Unit. It is understood that the remaining portion of the Restricted Stock Units shall continue to vest on the Scheduled Vesting Dates as provided herein (to the extent not previously vested or forfeited as provided herein).</w:t>
      </w:r>
    </w:p>
    <w:p>
      <w:pPr>
        <w:spacing w:after="0" w:line="131" w:lineRule="exact"/>
        <w:rPr>
          <w:rFonts w:ascii="Times New Roman" w:cs="Times New Roman" w:eastAsia="Times New Roman" w:hAnsi="Times New Roman"/>
          <w:sz w:val="13"/>
          <w:szCs w:val="13"/>
          <w:color w:val="auto"/>
        </w:rPr>
      </w:pPr>
    </w:p>
    <w:p>
      <w:pPr>
        <w:ind w:left="4" w:firstLine="428"/>
        <w:spacing w:after="0" w:line="295" w:lineRule="auto"/>
        <w:tabs>
          <w:tab w:leader="none" w:pos="741" w:val="left"/>
        </w:tabs>
        <w:numPr>
          <w:ilvl w:val="1"/>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 of this Agreement to the contrary, Capital One and/or your Employer will take all necessary steps to withhold the amount determined pursuant to the immediately foregoing paragraph in satisfaction of any applicable tax withholding liability.</w:t>
      </w:r>
    </w:p>
    <w:p>
      <w:pPr>
        <w:spacing w:after="0" w:line="109" w:lineRule="exact"/>
        <w:rPr>
          <w:rFonts w:ascii="Times New Roman" w:cs="Times New Roman" w:eastAsia="Times New Roman" w:hAnsi="Times New Roman"/>
          <w:sz w:val="13"/>
          <w:szCs w:val="13"/>
          <w:color w:val="auto"/>
        </w:rPr>
      </w:pPr>
    </w:p>
    <w:p>
      <w:pPr>
        <w:ind w:left="284" w:hanging="284"/>
        <w:spacing w:after="0"/>
        <w:tabs>
          <w:tab w:leader="none" w:pos="284"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Change of Control</w:t>
      </w:r>
      <w:r>
        <w:rPr>
          <w:rFonts w:ascii="Times New Roman" w:cs="Times New Roman" w:eastAsia="Times New Roman" w:hAnsi="Times New Roman"/>
          <w:sz w:val="13"/>
          <w:szCs w:val="13"/>
          <w:color w:val="auto"/>
        </w:rPr>
        <w:t>.</w:t>
      </w:r>
    </w:p>
    <w:p>
      <w:pPr>
        <w:spacing w:after="0" w:line="174" w:lineRule="exact"/>
        <w:rPr>
          <w:rFonts w:ascii="Times New Roman" w:cs="Times New Roman" w:eastAsia="Times New Roman" w:hAnsi="Times New Roman"/>
          <w:sz w:val="13"/>
          <w:szCs w:val="13"/>
          <w:color w:val="auto"/>
        </w:rPr>
      </w:pPr>
    </w:p>
    <w:p>
      <w:pPr>
        <w:jc w:val="both"/>
        <w:ind w:left="4" w:firstLine="428"/>
        <w:spacing w:after="0" w:line="261" w:lineRule="auto"/>
        <w:tabs>
          <w:tab w:leader="none" w:pos="702" w:val="left"/>
        </w:tabs>
        <w:numPr>
          <w:ilvl w:val="1"/>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your termination of employment by your Employer without Cause or by you for Good Reason (each as defined below), in either case on or prior to the second anniversary of the occurrence of a Change of Control of Capital One, then, notwithstanding anything herein to the contrary, the Restricted Stock Units shall vest and the Shares (as may be adjusted in accordance with Section 4.4 of the Plan) shall be issuable in accordance with this Agreement immediately upon the occurrence of your termination of employment following such Change of Control (to the extent not previously vested or forfeited as provided herein); provided, however, that if the Restricted Stock Units are considered deferred compensation under Section 409A of the Code and not exempt from Section 409A of the Code as a short-term deferral or otherwise, and you are a “specified employee,” as defined in and pursuant to Reg. Section 1.409A 1(i) or any successor regulation, on the date of any such termination of employment without Cause or for Good Reason, you will not be entitled to such vesting prior to the earlier of (i) the date which is six months from the date of your “separation from service” (as defined in Reg. Section 1.409A 1(h) or any successor regulation) as a result of such termination and (ii) your death.</w:t>
      </w:r>
    </w:p>
    <w:p>
      <w:pPr>
        <w:spacing w:after="0" w:line="131" w:lineRule="exact"/>
        <w:rPr>
          <w:rFonts w:ascii="Times New Roman" w:cs="Times New Roman" w:eastAsia="Times New Roman" w:hAnsi="Times New Roman"/>
          <w:sz w:val="13"/>
          <w:szCs w:val="13"/>
          <w:color w:val="auto"/>
        </w:rPr>
      </w:pPr>
    </w:p>
    <w:p>
      <w:pPr>
        <w:jc w:val="both"/>
        <w:ind w:left="4" w:firstLine="428"/>
        <w:spacing w:after="0" w:line="261" w:lineRule="auto"/>
        <w:tabs>
          <w:tab w:leader="none" w:pos="740" w:val="left"/>
        </w:tabs>
        <w:numPr>
          <w:ilvl w:val="1"/>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2(d), “Cause” shall mean any of the following reasons: (1) willful and serious misconduct in the performance of your duties including, without limitation, theft, falsification of documents, willful and material mistreatment of other employees, violence, drug or alcohol abuse in the workplace, conduct that violates Capital One’s written policies against discrimination and/or harassment, and serious acts of insubordination; (2) a material or repeated violation by you of any written code of conduct, business, compliance, or risk policy or standard of ethics generally applicable to all associates or to associates of your level at Capital One; (3) your conviction of a crime involving either moral turpitude or a breach of a duty of honesty, fiduciary duty, and/or good faith; (4) your conviction for any criminal offense</w:t>
      </w:r>
    </w:p>
    <w:p>
      <w:pPr>
        <w:sectPr>
          <w:pgSz w:w="11900" w:h="16838" w:orient="portrait"/>
          <w:cols w:equalWidth="0" w:num="1">
            <w:col w:w="10444"/>
          </w:cols>
          <w:pgMar w:left="1156" w:top="989" w:right="299" w:bottom="1440" w:gutter="0" w:footer="0" w:header="0"/>
        </w:sectPr>
      </w:pPr>
    </w:p>
    <w:bookmarkStart w:id="311" w:name="page312"/>
    <w:bookmarkEnd w:id="311"/>
    <w:p>
      <w:pPr>
        <w:jc w:val="both"/>
        <w:ind w:left="436"/>
        <w:spacing w:after="0" w:line="258" w:lineRule="auto"/>
        <w:rPr>
          <w:sz w:val="20"/>
          <w:szCs w:val="20"/>
          <w:color w:val="auto"/>
        </w:rPr>
      </w:pPr>
      <w:r>
        <w:rPr>
          <w:rFonts w:ascii="Times New Roman" w:cs="Times New Roman" w:eastAsia="Times New Roman" w:hAnsi="Times New Roman"/>
          <w:sz w:val="13"/>
          <w:szCs w:val="13"/>
          <w:color w:val="auto"/>
        </w:rPr>
        <w:t>for which Capital One excludes from employment any employee in a similar role or position. Poor performance shall not solely by itself be the basis of a Cause termination and no act or inaction based upon direction from the Chief Executive Officer or Board of Directors of Capital One or the advice of counsel to Capital One shall be the basis of a Cause termination for purposes of this repayment obligation. No action or inaction shall be treated as willful unless done or not done in bad faith and without a reasonable belief such action was in the best interests of the Company. You shall be given written notice of any event alleged to constitute Cause and not less than 30 days to cure, if curable.</w:t>
      </w:r>
    </w:p>
    <w:p>
      <w:pPr>
        <w:spacing w:after="0" w:line="1" w:lineRule="exact"/>
        <w:rPr>
          <w:sz w:val="20"/>
          <w:szCs w:val="20"/>
          <w:color w:val="auto"/>
        </w:rPr>
      </w:pPr>
    </w:p>
    <w:p>
      <w:pPr>
        <w:jc w:val="both"/>
        <w:ind w:left="436" w:firstLine="428"/>
        <w:spacing w:after="0" w:line="256" w:lineRule="auto"/>
        <w:tabs>
          <w:tab w:leader="none" w:pos="1210" w:val="left"/>
        </w:tabs>
        <w:numPr>
          <w:ilvl w:val="1"/>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Section 2(d), “Good Reason” shall means without your express written consent the occurrence of one or more of the following: (1) a material diminution of your position, title, authorities, duties, reporting or responsibilities, (2) a material reduction in your base salary or your annual bonus or long-term incentive opportunity or (3) relocation of your principal place of business more than twenty-five (25) miles from the location set forth above, or (4) a material breach by Capital One or its affiliates of any of the terms of this Agreement or any other written agreement with you. You may terminate employment with Good Reason if (a) you provide Capital One with written notice of the event constituting Good Reason within thirty (30) days following your knowledge of such event, (b) Capital One fails to cure such event within thirty (30) days following such written notice, and (c) you terminate your employment within forty-five (45) days following the end of such 30-day cure period.</w:t>
      </w:r>
    </w:p>
    <w:p>
      <w:pPr>
        <w:spacing w:after="0" w:line="145" w:lineRule="exact"/>
        <w:rPr>
          <w:rFonts w:ascii="Times New Roman" w:cs="Times New Roman" w:eastAsia="Times New Roman" w:hAnsi="Times New Roman"/>
          <w:sz w:val="13"/>
          <w:szCs w:val="13"/>
          <w:color w:val="auto"/>
        </w:rPr>
      </w:pPr>
    </w:p>
    <w:p>
      <w:pPr>
        <w:ind w:left="436" w:firstLine="428"/>
        <w:spacing w:after="0" w:line="295" w:lineRule="auto"/>
        <w:tabs>
          <w:tab w:leader="none" w:pos="1240" w:val="left"/>
        </w:tabs>
        <w:numPr>
          <w:ilvl w:val="1"/>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and your Employer shall take all steps necessary to ensure that any termination described in this Section 2(d) constitutes a “separation from service” within the meaning of Section 409A of the Code.</w:t>
      </w:r>
    </w:p>
    <w:p>
      <w:pPr>
        <w:spacing w:after="0" w:line="109" w:lineRule="exact"/>
        <w:rPr>
          <w:rFonts w:ascii="Times New Roman" w:cs="Times New Roman" w:eastAsia="Times New Roman" w:hAnsi="Times New Roman"/>
          <w:sz w:val="13"/>
          <w:szCs w:val="13"/>
          <w:color w:val="auto"/>
        </w:rPr>
      </w:pPr>
    </w:p>
    <w:p>
      <w:pPr>
        <w:jc w:val="both"/>
        <w:ind w:left="-424" w:firstLine="424"/>
        <w:spacing w:after="0" w:line="280" w:lineRule="auto"/>
        <w:tabs>
          <w:tab w:leader="none" w:pos="266"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Non-Transferability</w:t>
      </w:r>
      <w:r>
        <w:rPr>
          <w:rFonts w:ascii="Times New Roman" w:cs="Times New Roman" w:eastAsia="Times New Roman" w:hAnsi="Times New Roman"/>
          <w:sz w:val="13"/>
          <w:szCs w:val="13"/>
          <w:color w:val="auto"/>
        </w:rPr>
        <w:t>. Subject to the provisions of Section 2 hereof, the rights represented by the Restricted Stock Units shall not be assignable or transferable, or otherwise alienated or hypothecated, under any circumstances. Any purported or attempted transfer of such Restricted Stock Units or such rights shall be null and void and shall result in the immediate forfeiture and cancellation of the Restricted Stock Units.</w:t>
      </w:r>
    </w:p>
    <w:p>
      <w:pPr>
        <w:spacing w:after="0" w:line="290" w:lineRule="exact"/>
        <w:rPr>
          <w:rFonts w:ascii="Times New Roman" w:cs="Times New Roman" w:eastAsia="Times New Roman" w:hAnsi="Times New Roman"/>
          <w:sz w:val="13"/>
          <w:szCs w:val="13"/>
          <w:color w:val="auto"/>
        </w:rPr>
      </w:pPr>
    </w:p>
    <w:p>
      <w:pPr>
        <w:jc w:val="both"/>
        <w:ind w:left="-424" w:firstLine="424"/>
        <w:spacing w:after="0" w:line="261" w:lineRule="auto"/>
        <w:tabs>
          <w:tab w:leader="none" w:pos="257"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Modification and Waiver</w:t>
      </w:r>
      <w:r>
        <w:rPr>
          <w:rFonts w:ascii="Times New Roman" w:cs="Times New Roman" w:eastAsia="Times New Roman" w:hAnsi="Times New Roman"/>
          <w:sz w:val="13"/>
          <w:szCs w:val="13"/>
          <w:color w:val="auto"/>
        </w:rPr>
        <w:t>. Except as provided in the Plan with respect to determinations of the Board or the Committee and subject to the Committee’s right to amend the Plan, neither this Agreement nor any provision hereof can be changed, modified, amended, discharged, terminated or waived orally or by any course of dealing or purported course of dealing, but only by an agreement in writing signed by you and Capital One; provided that changes, modifications and amendments not detrimental to you may be made in writing signed only by Capital One.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41" w:lineRule="exact"/>
        <w:rPr>
          <w:rFonts w:ascii="Times New Roman" w:cs="Times New Roman" w:eastAsia="Times New Roman" w:hAnsi="Times New Roman"/>
          <w:sz w:val="13"/>
          <w:szCs w:val="13"/>
          <w:color w:val="auto"/>
        </w:rPr>
      </w:pPr>
    </w:p>
    <w:p>
      <w:pPr>
        <w:ind w:left="-424" w:firstLine="424"/>
        <w:spacing w:after="0" w:line="281" w:lineRule="auto"/>
        <w:tabs>
          <w:tab w:leader="none" w:pos="275"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Withholding</w:t>
      </w:r>
      <w:r>
        <w:rPr>
          <w:rFonts w:ascii="Times New Roman" w:cs="Times New Roman" w:eastAsia="Times New Roman" w:hAnsi="Times New Roman"/>
          <w:sz w:val="13"/>
          <w:szCs w:val="13"/>
          <w:color w:val="auto"/>
        </w:rPr>
        <w:t>. Subject to Section 2(d), if you become subject to withholding under applicable tax laws, you agree to pay Capital One the amount required to be withheld by one or more of the following methods:</w:t>
      </w:r>
    </w:p>
    <w:p>
      <w:pPr>
        <w:sectPr>
          <w:pgSz w:w="11900" w:h="16838" w:orient="portrait"/>
          <w:cols w:equalWidth="0" w:num="1">
            <w:col w:w="10876"/>
          </w:cols>
          <w:pgMar w:left="724" w:top="989" w:right="299" w:bottom="1440" w:gutter="0" w:footer="0" w:header="0"/>
        </w:sectPr>
      </w:pPr>
    </w:p>
    <w:bookmarkStart w:id="312" w:name="page313"/>
    <w:bookmarkEnd w:id="312"/>
    <w:p>
      <w:pPr>
        <w:ind w:left="420" w:firstLine="436"/>
        <w:spacing w:after="0" w:line="295" w:lineRule="auto"/>
        <w:tabs>
          <w:tab w:leader="none" w:pos="1162"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will automatically withhold the number of Shares having a Fair Market Value on the date the tax withholding obligation is to be determined equal to the amount required to be withheld (as determined pursuant to the Plan), rounded up to the nearest whole Share; or</w:t>
      </w:r>
    </w:p>
    <w:p>
      <w:pPr>
        <w:spacing w:after="0" w:line="109"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0"/>
          <w:numId w:val="2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such other methods as Capital One may make available from time to time.</w:t>
      </w:r>
    </w:p>
    <w:p>
      <w:pPr>
        <w:spacing w:after="0" w:line="17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Further, if you are subject to any income tax, social insurance, payroll tax, fringe benefits tax, payment on account or other tax-related items related to your participation in the Plan (“Tax-Related Items”) in more than one jurisdiction between the Date of Grant and the date of any relevant taxable or tax withholding event, as applicable, you acknowledge that Capital One and/or your Employer (or former employer, as applicable) may be required to withhold or account for Tax-Related Items in more than one jurisdiction.</w:t>
      </w:r>
    </w:p>
    <w:p>
      <w:pPr>
        <w:spacing w:after="0" w:line="134" w:lineRule="exact"/>
        <w:rPr>
          <w:sz w:val="20"/>
          <w:szCs w:val="20"/>
          <w:color w:val="auto"/>
        </w:rPr>
      </w:pPr>
    </w:p>
    <w:p>
      <w:pPr>
        <w:ind w:firstLine="424"/>
        <w:spacing w:after="0" w:line="281" w:lineRule="auto"/>
        <w:tabs>
          <w:tab w:leader="none" w:pos="690"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 Equivalents</w:t>
      </w:r>
      <w:r>
        <w:rPr>
          <w:rFonts w:ascii="Times New Roman" w:cs="Times New Roman" w:eastAsia="Times New Roman" w:hAnsi="Times New Roman"/>
          <w:sz w:val="13"/>
          <w:szCs w:val="13"/>
          <w:color w:val="auto"/>
        </w:rPr>
        <w:t>. With respect to the Restricted Stock Units, dividend equivalents shall be paid to you in cash as soon as is practicable after dividends are paid to holders of shares of Common Stock. Dividend equivalent payments shall be based on the total number of unvested Restricted Stock Units held as of the applicable dividend record date.</w:t>
      </w:r>
    </w:p>
    <w:p>
      <w:pPr>
        <w:spacing w:after="0" w:line="126" w:lineRule="exact"/>
        <w:rPr>
          <w:rFonts w:ascii="Times New Roman" w:cs="Times New Roman" w:eastAsia="Times New Roman" w:hAnsi="Times New Roman"/>
          <w:sz w:val="13"/>
          <w:szCs w:val="13"/>
          <w:color w:val="auto"/>
        </w:rPr>
      </w:pPr>
    </w:p>
    <w:p>
      <w:pPr>
        <w:jc w:val="both"/>
        <w:ind w:firstLine="424"/>
        <w:spacing w:after="0" w:line="270" w:lineRule="auto"/>
        <w:tabs>
          <w:tab w:leader="none" w:pos="663"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United States federal law and, to the extent not preempted thereby, by the laws of the State of Delaware. Capital One and you hereby consent and submit to the personal jurisdiction and venue of any state or federal court located in any city or county of Delaware for resolution of any and all claims, causes of action or disputes arising out of this Agreement. You and Capital One agree that the court shall not set aside the Committee’s determinations unless there is clear and convincing evidence of bad faith or fraud.</w:t>
      </w:r>
    </w:p>
    <w:p>
      <w:pPr>
        <w:spacing w:after="0" w:line="134" w:lineRule="exact"/>
        <w:rPr>
          <w:rFonts w:ascii="Times New Roman" w:cs="Times New Roman" w:eastAsia="Times New Roman" w:hAnsi="Times New Roman"/>
          <w:sz w:val="13"/>
          <w:szCs w:val="13"/>
          <w:color w:val="auto"/>
        </w:rPr>
      </w:pPr>
    </w:p>
    <w:p>
      <w:pPr>
        <w:ind w:firstLine="424"/>
        <w:spacing w:after="0" w:line="281" w:lineRule="auto"/>
        <w:tabs>
          <w:tab w:leader="none" w:pos="681"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Conflicts</w:t>
      </w:r>
      <w:r>
        <w:rPr>
          <w:rFonts w:ascii="Times New Roman" w:cs="Times New Roman" w:eastAsia="Times New Roman" w:hAnsi="Times New Roman"/>
          <w:sz w:val="13"/>
          <w:szCs w:val="13"/>
          <w:color w:val="auto"/>
        </w:rPr>
        <w:t>. In the event of any conflict between the provisions of the Plan as in effect on the Date of Grant and the provisions of this Agreement, except as provided otherwise herein, the provisions of the Plan shall govern. All references herein to the Plan shall mean the Plan as in effect on the date hereof.</w:t>
      </w:r>
    </w:p>
    <w:p>
      <w:pPr>
        <w:spacing w:after="0" w:line="126" w:lineRule="exact"/>
        <w:rPr>
          <w:rFonts w:ascii="Times New Roman" w:cs="Times New Roman" w:eastAsia="Times New Roman" w:hAnsi="Times New Roman"/>
          <w:sz w:val="13"/>
          <w:szCs w:val="13"/>
          <w:color w:val="auto"/>
        </w:rPr>
      </w:pPr>
    </w:p>
    <w:p>
      <w:pPr>
        <w:ind w:right="20" w:firstLine="424"/>
        <w:spacing w:after="0" w:line="281" w:lineRule="auto"/>
        <w:tabs>
          <w:tab w:leader="none" w:pos="690"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Bound by Plan</w:t>
      </w:r>
      <w:r>
        <w:rPr>
          <w:rFonts w:ascii="Times New Roman" w:cs="Times New Roman" w:eastAsia="Times New Roman" w:hAnsi="Times New Roman"/>
          <w:sz w:val="13"/>
          <w:szCs w:val="13"/>
          <w:color w:val="auto"/>
        </w:rPr>
        <w:t>. In consideration of the grant of the Restricted Stock Units, you agree that you will comply with such conditions as the Committee may impose on the Restricted Stock Units and be bound by the terms of the Plan.</w:t>
      </w:r>
    </w:p>
    <w:p>
      <w:pPr>
        <w:spacing w:after="0" w:line="126" w:lineRule="exact"/>
        <w:rPr>
          <w:rFonts w:ascii="Times New Roman" w:cs="Times New Roman" w:eastAsia="Times New Roman" w:hAnsi="Times New Roman"/>
          <w:sz w:val="13"/>
          <w:szCs w:val="13"/>
          <w:color w:val="auto"/>
        </w:rPr>
      </w:pPr>
    </w:p>
    <w:p>
      <w:pPr>
        <w:ind w:left="720" w:hanging="296"/>
        <w:spacing w:after="0"/>
        <w:tabs>
          <w:tab w:leader="none" w:pos="720"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Employment Status</w:t>
      </w:r>
      <w:r>
        <w:rPr>
          <w:rFonts w:ascii="Times New Roman" w:cs="Times New Roman" w:eastAsia="Times New Roman" w:hAnsi="Times New Roman"/>
          <w:sz w:val="13"/>
          <w:szCs w:val="13"/>
          <w:color w:val="auto"/>
        </w:rPr>
        <w:t>. This Agreement does not constitute a contract of employment nor does it alter your terminable at will status or otherwise guarantee future employment.</w:t>
      </w:r>
    </w:p>
    <w:p>
      <w:pPr>
        <w:spacing w:after="0" w:line="174" w:lineRule="exact"/>
        <w:rPr>
          <w:rFonts w:ascii="Times New Roman" w:cs="Times New Roman" w:eastAsia="Times New Roman" w:hAnsi="Times New Roman"/>
          <w:sz w:val="13"/>
          <w:szCs w:val="13"/>
          <w:color w:val="auto"/>
        </w:rPr>
      </w:pPr>
    </w:p>
    <w:p>
      <w:pPr>
        <w:ind w:firstLine="424"/>
        <w:spacing w:after="0" w:line="281" w:lineRule="auto"/>
        <w:tabs>
          <w:tab w:leader="none" w:pos="778"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This Agreement shall be binding upon, enforceable against, and inure to the benefit of you and your legatees, distributees and personal representatives, and Capital One and its successors and assigns.</w:t>
      </w:r>
    </w:p>
    <w:p>
      <w:pPr>
        <w:spacing w:after="0" w:line="126" w:lineRule="exact"/>
        <w:rPr>
          <w:rFonts w:ascii="Times New Roman" w:cs="Times New Roman" w:eastAsia="Times New Roman" w:hAnsi="Times New Roman"/>
          <w:sz w:val="13"/>
          <w:szCs w:val="13"/>
          <w:color w:val="auto"/>
        </w:rPr>
      </w:pPr>
    </w:p>
    <w:p>
      <w:pPr>
        <w:ind w:firstLine="424"/>
        <w:spacing w:after="0" w:line="281" w:lineRule="auto"/>
        <w:tabs>
          <w:tab w:leader="none" w:pos="729"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Forfeiture Event</w:t>
      </w:r>
      <w:r>
        <w:rPr>
          <w:rFonts w:ascii="Times New Roman" w:cs="Times New Roman" w:eastAsia="Times New Roman" w:hAnsi="Times New Roman"/>
          <w:sz w:val="13"/>
          <w:szCs w:val="13"/>
          <w:color w:val="auto"/>
        </w:rPr>
        <w:t>. You agree to reimburse the Company with respect to the Restricted Stock Units to the extent required under Section 304 of the Sarbanes-Oxley Act of 2002, Section 954 of the Dodd-Frank Act or as otherwise required by law.</w:t>
      </w:r>
    </w:p>
    <w:p>
      <w:pPr>
        <w:spacing w:after="0" w:line="126" w:lineRule="exact"/>
        <w:rPr>
          <w:rFonts w:ascii="Times New Roman" w:cs="Times New Roman" w:eastAsia="Times New Roman" w:hAnsi="Times New Roman"/>
          <w:sz w:val="13"/>
          <w:szCs w:val="13"/>
          <w:color w:val="auto"/>
        </w:rPr>
      </w:pPr>
    </w:p>
    <w:p>
      <w:pPr>
        <w:ind w:left="720" w:hanging="296"/>
        <w:spacing w:after="0"/>
        <w:tabs>
          <w:tab w:leader="none" w:pos="720"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Rights as a Stockholder</w:t>
      </w:r>
      <w:r>
        <w:rPr>
          <w:rFonts w:ascii="Times New Roman" w:cs="Times New Roman" w:eastAsia="Times New Roman" w:hAnsi="Times New Roman"/>
          <w:sz w:val="13"/>
          <w:szCs w:val="13"/>
          <w:color w:val="auto"/>
        </w:rPr>
        <w:t>. You shall have no rights of a stockholder with respect to the shares of Common Stock represented by Restricted Stock Units, including, but not limited to, the right to</w:t>
      </w:r>
    </w:p>
    <w:p>
      <w:pPr>
        <w:sectPr>
          <w:pgSz w:w="11900" w:h="16838" w:orient="portrait"/>
          <w:cols w:equalWidth="0" w:num="1">
            <w:col w:w="11300"/>
          </w:cols>
          <w:pgMar w:left="300" w:top="989" w:right="2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3"/>
          <w:szCs w:val="13"/>
          <w:color w:val="auto"/>
        </w:rPr>
        <w:t>vote and to receive dividends, unless and until such shares of Common Stock are transferred to you pursuant to the Plan and this Agreement.</w:t>
      </w:r>
    </w:p>
    <w:p>
      <w:pPr>
        <w:spacing w:after="0" w:line="175" w:lineRule="exact"/>
        <w:rPr>
          <w:sz w:val="20"/>
          <w:szCs w:val="20"/>
          <w:color w:val="auto"/>
        </w:rPr>
      </w:pPr>
    </w:p>
    <w:p>
      <w:pPr>
        <w:ind w:right="20" w:firstLine="424"/>
        <w:spacing w:after="0" w:line="260" w:lineRule="auto"/>
        <w:tabs>
          <w:tab w:leader="none" w:pos="747"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Data Protection</w:t>
      </w:r>
      <w:r>
        <w:rPr>
          <w:rFonts w:ascii="Times New Roman" w:cs="Times New Roman" w:eastAsia="Times New Roman" w:hAnsi="Times New Roman"/>
          <w:sz w:val="13"/>
          <w:szCs w:val="13"/>
          <w:color w:val="auto"/>
        </w:rPr>
        <w:t>. You consent to the collection, processing and transfer (including international transfer) of your personally identifiable data in connection with the grant of the Restricted Stock Units and participation in the Plan.</w:t>
      </w:r>
    </w:p>
    <w:p>
      <w:pPr>
        <w:jc w:val="both"/>
        <w:ind w:firstLine="424"/>
        <w:spacing w:after="0" w:line="257" w:lineRule="auto"/>
        <w:tabs>
          <w:tab w:leader="none" w:pos="756"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This Agreement shall be enforceable to the fullest extent allowed by law. In the event that any provision of this Agreement is determined to be invalid, illegal or unenforceable in any respect under any applicable law or rule in any jurisdiction, then that provision shall be reduced, modified or otherwise conformed to the relevant law, judgment or determination to the degree necessary to render it valid and enforceable without affecting the validity, legality or enforceability of any other provision of this Agreement or the validity, legality or enforceability of such provision in any other jurisdiction. Any provision of this Agreement that is prohibited or unenforceable in any jurisdiction shall, as to such jurisdiction, be deemed severable from the remainder of this Agreement, and the remaining provisions contained in this Agreement shall be construed to preserve to the maximum permissible extent the intent and purposes of this Agreement.</w:t>
      </w:r>
    </w:p>
    <w:p>
      <w:pPr>
        <w:spacing w:after="0" w:line="144" w:lineRule="exact"/>
        <w:rPr>
          <w:rFonts w:ascii="Times New Roman" w:cs="Times New Roman" w:eastAsia="Times New Roman" w:hAnsi="Times New Roman"/>
          <w:sz w:val="13"/>
          <w:szCs w:val="13"/>
          <w:color w:val="auto"/>
        </w:rPr>
      </w:pPr>
    </w:p>
    <w:p>
      <w:pPr>
        <w:ind w:right="20" w:firstLine="424"/>
        <w:spacing w:after="0" w:line="281" w:lineRule="auto"/>
        <w:tabs>
          <w:tab w:leader="none" w:pos="774"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counterparts, all of which together shall constitute one agreement binding on all the parties hereto, notwithstanding that all such parties are not signatories to the original or the same counterpart.</w:t>
      </w:r>
    </w:p>
    <w:p>
      <w:pPr>
        <w:spacing w:after="0" w:line="126" w:lineRule="exact"/>
        <w:rPr>
          <w:rFonts w:ascii="Times New Roman" w:cs="Times New Roman" w:eastAsia="Times New Roman" w:hAnsi="Times New Roman"/>
          <w:sz w:val="13"/>
          <w:szCs w:val="13"/>
          <w:color w:val="auto"/>
        </w:rPr>
      </w:pPr>
    </w:p>
    <w:p>
      <w:pPr>
        <w:ind w:left="720" w:hanging="296"/>
        <w:spacing w:after="0"/>
        <w:tabs>
          <w:tab w:leader="none" w:pos="720" w:val="left"/>
        </w:tabs>
        <w:numPr>
          <w:ilvl w:val="0"/>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 In accepting the grant, you acknowledge and agree that:</w:t>
      </w:r>
    </w:p>
    <w:p>
      <w:pPr>
        <w:spacing w:after="0" w:line="174"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is intended to comply with the applicable requirements of Section 409A of the Code and shall be limited, construed and interpreted in a manner so as to comply therewith;</w:t>
      </w:r>
    </w:p>
    <w:p>
      <w:pPr>
        <w:spacing w:after="0" w:line="165"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obligations under this Agreement shall survive any termination of your employment with the Company for any reason;</w:t>
      </w:r>
    </w:p>
    <w:p>
      <w:pPr>
        <w:spacing w:after="0" w:line="174"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the Company’s rights or remedies under this Agreement shall be cumulative and in addition to whatever other remedies the Company may have under law or equity;</w:t>
      </w:r>
    </w:p>
    <w:p>
      <w:pPr>
        <w:spacing w:after="0" w:line="165" w:lineRule="exact"/>
        <w:rPr>
          <w:rFonts w:ascii="Times New Roman" w:cs="Times New Roman" w:eastAsia="Times New Roman" w:hAnsi="Times New Roman"/>
          <w:sz w:val="13"/>
          <w:szCs w:val="13"/>
          <w:color w:val="auto"/>
        </w:rPr>
      </w:pPr>
    </w:p>
    <w:p>
      <w:pPr>
        <w:ind w:left="1140" w:hanging="284"/>
        <w:spacing w:after="0"/>
        <w:tabs>
          <w:tab w:leader="none" w:pos="1140" w:val="left"/>
        </w:tabs>
        <w:numPr>
          <w:ilvl w:val="1"/>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recovery by the Company under this Agreement will be a recovery of Restricted Stock Units to which you were not entitled under this Agreement and is not to be construed in any manner</w:t>
      </w:r>
    </w:p>
    <w:p>
      <w:pPr>
        <w:spacing w:after="0" w:line="22" w:lineRule="exact"/>
        <w:rPr>
          <w:rFonts w:ascii="Times New Roman" w:cs="Times New Roman" w:eastAsia="Times New Roman" w:hAnsi="Times New Roman"/>
          <w:sz w:val="13"/>
          <w:szCs w:val="13"/>
          <w:color w:val="auto"/>
        </w:rPr>
      </w:pPr>
    </w:p>
    <w:p>
      <w:pPr>
        <w:ind w:left="4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penalty;</w:t>
      </w:r>
    </w:p>
    <w:p>
      <w:pPr>
        <w:spacing w:after="0" w:line="164" w:lineRule="exact"/>
        <w:rPr>
          <w:rFonts w:ascii="Times New Roman" w:cs="Times New Roman" w:eastAsia="Times New Roman" w:hAnsi="Times New Roman"/>
          <w:sz w:val="13"/>
          <w:szCs w:val="13"/>
          <w:color w:val="auto"/>
        </w:rPr>
      </w:pPr>
    </w:p>
    <w:p>
      <w:pPr>
        <w:jc w:val="both"/>
        <w:ind w:left="420" w:firstLine="436"/>
        <w:spacing w:after="0" w:line="270" w:lineRule="auto"/>
        <w:tabs>
          <w:tab w:leader="none" w:pos="1144" w:val="left"/>
        </w:tabs>
        <w:numPr>
          <w:ilvl w:val="1"/>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may, to the maximum extent permitted by applicable law and Section 409A of the Code, retain for itself funds or securities otherwise payable to you pursuant to this Agreement to satisfy any obligation or debt that you owe the Company, including any obligations hereunder. The Company may not retain such funds or securities until such time as they would otherwise be distributable to you in accordance with this Agreement;</w:t>
      </w:r>
    </w:p>
    <w:p>
      <w:pPr>
        <w:spacing w:after="0" w:line="125" w:lineRule="exact"/>
        <w:rPr>
          <w:rFonts w:ascii="Times New Roman" w:cs="Times New Roman" w:eastAsia="Times New Roman" w:hAnsi="Times New Roman"/>
          <w:sz w:val="13"/>
          <w:szCs w:val="13"/>
          <w:color w:val="auto"/>
        </w:rPr>
      </w:pPr>
    </w:p>
    <w:p>
      <w:pPr>
        <w:ind w:left="420" w:firstLine="436"/>
        <w:spacing w:after="0" w:line="295" w:lineRule="auto"/>
        <w:tabs>
          <w:tab w:leader="none" w:pos="1118" w:val="left"/>
        </w:tabs>
        <w:numPr>
          <w:ilvl w:val="1"/>
          <w:numId w:val="2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reserves the right to impose other requirements on the Restricted Stock Units, any Shares acquired pursuant to the Restricted Stock Units, and your participation in the Plan, to the extent Capital One determines, in its sole discretion, that such other requirements are necessary or advisable in order to comply with local laws, rules and regulations, or to</w:t>
      </w:r>
    </w:p>
    <w:p>
      <w:pPr>
        <w:sectPr>
          <w:pgSz w:w="11900" w:h="16838" w:orient="portrait"/>
          <w:cols w:equalWidth="0" w:num="1">
            <w:col w:w="11300"/>
          </w:cols>
          <w:pgMar w:left="300" w:top="989" w:right="299" w:bottom="1440" w:gutter="0" w:footer="0" w:header="0"/>
        </w:sectPr>
      </w:pPr>
    </w:p>
    <w:bookmarkStart w:id="314" w:name="page315"/>
    <w:bookmarkEnd w:id="314"/>
    <w:p>
      <w:pPr>
        <w:spacing w:after="0" w:line="295" w:lineRule="auto"/>
        <w:rPr>
          <w:sz w:val="20"/>
          <w:szCs w:val="20"/>
          <w:color w:val="auto"/>
        </w:rPr>
      </w:pPr>
      <w:r>
        <w:rPr>
          <w:rFonts w:ascii="Times New Roman" w:cs="Times New Roman" w:eastAsia="Times New Roman" w:hAnsi="Times New Roman"/>
          <w:sz w:val="13"/>
          <w:szCs w:val="13"/>
          <w:color w:val="auto"/>
        </w:rPr>
        <w:t>facilitate the administration of the Restricted Stock Units and the Plan. Such requirements may include (but are not limited to) requiring you to sign any agreements or undertakings that may be necessary to accomplish the foregoing; and</w:t>
      </w:r>
    </w:p>
    <w:p>
      <w:pPr>
        <w:spacing w:after="0" w:line="110" w:lineRule="exact"/>
        <w:rPr>
          <w:sz w:val="20"/>
          <w:szCs w:val="20"/>
          <w:color w:val="auto"/>
        </w:rPr>
      </w:pPr>
    </w:p>
    <w:p>
      <w:pPr>
        <w:jc w:val="both"/>
        <w:ind w:firstLine="436"/>
        <w:spacing w:after="0" w:line="267" w:lineRule="auto"/>
        <w:tabs>
          <w:tab w:leader="none" w:pos="749" w:val="left"/>
        </w:tabs>
        <w:numPr>
          <w:ilvl w:val="0"/>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One from time to time distributes and makes available to associates disclosure documents, including a prospectus, relating to the Plan. You may also contact the HR Help Center to obtain copies of the Plan disclosure documents and the Plan. You should carefully read the Plan disclosure documents and the Plan. By accepting the benefits of this Agreement you acknowledge receipt of the Plan and the Plan disclosure documents and agree to be bound by the terms of this Agreement and the Plan. You hereby consent to receive such documents by electronic delivery and agree to participate in the Plan through an on-line or electronic system established and maintained by Capital One or a third-party designated by Capital One.</w:t>
      </w:r>
    </w:p>
    <w:p>
      <w:pPr>
        <w:sectPr>
          <w:pgSz w:w="11900" w:h="16838" w:orient="portrait"/>
          <w:cols w:equalWidth="0" w:num="1">
            <w:col w:w="10880"/>
          </w:cols>
          <w:pgMar w:left="720" w:top="989" w:right="299" w:bottom="1440" w:gutter="0" w:footer="0" w:header="0"/>
        </w:sectPr>
      </w:pPr>
    </w:p>
    <w:bookmarkStart w:id="315" w:name="page316"/>
    <w:bookmarkEnd w:id="315"/>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the parties have caused this Agreement to be signed on their behalf.</w:t>
      </w:r>
    </w:p>
    <w:p>
      <w:pPr>
        <w:spacing w:after="0" w:line="33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16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 /s/ Jory 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-5080</wp:posOffset>
            </wp:positionV>
            <wp:extent cx="75374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0">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Jory Berson</w:t>
      </w:r>
    </w:p>
    <w:p>
      <w:pPr>
        <w:spacing w:after="0" w:line="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3"/>
          <w:szCs w:val="13"/>
          <w:color w:val="auto"/>
        </w:rPr>
        <w:t>Chief Human Resources Officer</w:t>
      </w:r>
    </w:p>
    <w:p>
      <w:pPr>
        <w:spacing w:after="0" w:line="3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17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3"/>
          <w:szCs w:val="13"/>
          <w:color w:val="auto"/>
        </w:rPr>
        <w:t>By: /s/ Neal Blinde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-5080</wp:posOffset>
            </wp:positionV>
            <wp:extent cx="75374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1">
                      <a:extLst>
                        <a:ext uri="{28A0092B-C50C-407E-A947-70E740481C1C}"/>
                      </a:extLst>
                    </a:blip>
                    <a:srcRect/>
                    <a:stretch>
                      <a:fillRect/>
                    </a:stretch>
                  </pic:blipFill>
                  <pic:spPr bwMode="auto">
                    <a:xfrm>
                      <a:off x="0" y="0"/>
                      <a:ext cx="753745" cy="5715"/>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3"/>
          <w:szCs w:val="13"/>
          <w:color w:val="auto"/>
        </w:rPr>
        <w:t>Neal Blinde</w:t>
      </w:r>
    </w:p>
    <w:p>
      <w:pPr>
        <w:spacing w:after="0" w:line="3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color w:val="auto"/>
        </w:rPr>
        <w:t>BY ELECTRONICALLY ACCEPTING THE AWARD, YOU AGREE THAT (i) SUCH ACCEPTANCE CONSTITUTES YOUR ELECTRONIC SIGNATURE IN EXECUTION OF THIS AGREEMENT; (ii) YOU AGREE TO BE BOUND BY THE PROVISIONS OF THE PLAN AND THIS AGREEMENT; (iii) YOU HAVE REVIEWED THE PLAN AND THIS AGREEMENT IN THEIR ENTIRETY, HAVE HAD AN OPPORTUNITY TO OBTAIN THE ADVICE OF COUNSEL PRIOR TO ACCEPTING THE AWARD AND FULLY UNDERSTAND ALL OF THE PROVISIONS OF THE PLAN AND THIS AGREEMENT; (iv) YOU HAVE BEEN PROVIDED WITH A COPY OR ELECTRONIC ACCESS TO A COPY OF THE PROSPECTUS FOR THE PLAN; AND (v) YOU HEREBY AGREE TO ACCEPT AS BINDING, CONCLUSIVE AND FINAL ALL DECISIONS OR INTERPRETATIONS OF THE COMMITTEE UPON ANY QUESTIONS ARISING UNDER THE PLAN AND THIS AGREEMENT.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 * * *</w:t>
      </w:r>
    </w:p>
    <w:p>
      <w:pPr>
        <w:sectPr>
          <w:pgSz w:w="11900" w:h="16838" w:orient="portrait"/>
          <w:cols w:equalWidth="0" w:num="1">
            <w:col w:w="11300"/>
          </w:cols>
          <w:pgMar w:left="300" w:top="1440" w:right="29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3"/>
          <w:szCs w:val="13"/>
          <w:b w:val="1"/>
          <w:bCs w:val="1"/>
          <w:color w:val="auto"/>
        </w:rPr>
        <w:t>Exhibit 10.4.2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Executive Severance Plan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Amended effective October 5, 2022</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Section I. In General</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Capital One Financial Corporation, on behalf of itself and its wholly-owned subsidiaries (collectively, "Capital One" or the “Company”), hereby amends and restates the plan document for the Capital One Financial Corporation Executive Severance Plan, effective as of October 5, 2022, as it may be amended from time to time (the "Plan"), to provide eligible associates who have been involuntarily terminated due to restructuring or poor performance, as determined by the Plan Administrator in its discretion, with a reasonable amount of financial security so as to allow a smooth transition to other employment. The group of eligible associates covered by the Plan constitutes a select group of management or highly compensated employees.</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Plan as set forth herein applies to all eligible associates whose termination of employment occurs on or after October 5, 2022. For any associate who is terminated before October 5, 2022, benefits under the Plan will be based on the terms of the Plan in effect at the time of the associate’s termination, as applicable. The severance benefit that applies to an eligible associate will depend upon the associate's job level as set forth below.</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In order to receive any benefits under the Plan, an associate must also execute and not revoke a legally binding letter of agreement in a form acceptable to the Plan Administrator in its discretion that includes, but is not limited to, a general release of claims that covers all claims against Capital One that legally can be waived, as well as an agreement to comply with other obligations as outlined in the Plan in Section IV, “Compliance with Obligations” (the “Letter Agreement”), within the period designated in the Letter Agreement. The Letter Agreement will provide that an eligible associate who executes and does not revoke the Letter Agreement will receive the benefits as described in this Plan. The Letter Agreement will not be deemed to affect legal claims or rights that cannot under any circumstances be validly waived or released under law, such as a claim for vested benefits under a qualified retirement plan.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Notwithstanding the above, the Plan Administrator (or its designee) may in its sole and unfettered discretion designate an associate as severance-eligible if the associate is otherwise qualified under the Plan, but is involuntarily terminated for reasons other than restructuring or poor performance. Such exception shall not be made to an associate terminated for Cause (as defined herein), as determined by the Plan Administrator. Further, no such exception or designation shall be binding as to any other associate not so designated, nor shall it purport to amend the Plan or otherwise create a separate right to eligibility under the Plan. In the event the Plan Administrator designates someone as eligible under the Plan for reasons other than restructuring or poor performance, the Plan Administrator may also determine what benefit(s) shall be provided to such associate.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Section II. Eligibility</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Eligibility Criteria</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Notwithstanding the above, to be eligible for benefits under the Plan, an associate must meet all of the following eligibility requirements (and not be ineligible for benefits as provided below):</w:t>
      </w:r>
    </w:p>
    <w:p>
      <w:pPr>
        <w:sectPr>
          <w:pgSz w:w="11900" w:h="16838" w:orient="portrait"/>
          <w:cols w:equalWidth="0" w:num="1">
            <w:col w:w="11300"/>
          </w:cols>
          <w:pgMar w:left="300" w:top="987" w:right="299" w:bottom="1440" w:gutter="0" w:footer="0" w:header="0"/>
        </w:sectPr>
      </w:pPr>
    </w:p>
    <w:bookmarkStart w:id="317" w:name="page318"/>
    <w:bookmarkEnd w:id="317"/>
    <w:p>
      <w:pPr>
        <w:ind w:left="220" w:hanging="220"/>
        <w:spacing w:after="0" w:line="295" w:lineRule="auto"/>
        <w:tabs>
          <w:tab w:leader="none" w:pos="220"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must be a full-time associate on the U.S. payroll designated by the Plan Administrator as terminated due to restructuring or poor performance, or be a part-time associate on the U.S. payroll designated by the Plan Administrator as terminated due to restructuring.</w:t>
      </w:r>
    </w:p>
    <w:p>
      <w:pPr>
        <w:spacing w:after="0" w:line="100" w:lineRule="exact"/>
        <w:rPr>
          <w:rFonts w:ascii="Times New Roman" w:cs="Times New Roman" w:eastAsia="Times New Roman" w:hAnsi="Times New Roman"/>
          <w:sz w:val="13"/>
          <w:szCs w:val="13"/>
          <w:color w:val="auto"/>
        </w:rPr>
      </w:pPr>
    </w:p>
    <w:p>
      <w:pPr>
        <w:jc w:val="both"/>
        <w:ind w:left="640" w:hanging="208"/>
        <w:spacing w:after="0" w:line="267" w:lineRule="auto"/>
        <w:tabs>
          <w:tab w:leader="none" w:pos="632" w:val="left"/>
        </w:tabs>
        <w:numPr>
          <w:ilvl w:val="1"/>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if an associate, who is designated as part time at the time of their official notification of separation, was designated as full-time (defined as “Standard Hours” of 33 or more hours per week) for more than 50% of the 12-month period immediately prior to the separation date, the associate will be eligible to receive benefits whether terminated due to restructuring or poor performance. In such case, all benefits will be paid based on the Base Pay, as defined herein, the associate received on the last day of the last pay period in which the associate was classified as a full-time associate.</w:t>
      </w:r>
    </w:p>
    <w:p>
      <w:pPr>
        <w:spacing w:after="0" w:line="117" w:lineRule="exact"/>
        <w:rPr>
          <w:rFonts w:ascii="Times New Roman" w:cs="Times New Roman" w:eastAsia="Times New Roman" w:hAnsi="Times New Roman"/>
          <w:sz w:val="13"/>
          <w:szCs w:val="13"/>
          <w:color w:val="auto"/>
        </w:rPr>
      </w:pPr>
    </w:p>
    <w:p>
      <w:pPr>
        <w:ind w:left="640" w:hanging="208"/>
        <w:spacing w:after="0" w:line="267" w:lineRule="auto"/>
        <w:tabs>
          <w:tab w:leader="none" w:pos="559" w:val="left"/>
        </w:tabs>
        <w:numPr>
          <w:ilvl w:val="1"/>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the Plan, a part-time associate is defined as an associate whose “Standard Hours” in the Company’s system of record are 20 hours per week or greater, but less than 33 hours per week at the time the associate is officially notified of separation. Standard Hours are the number of hours associates are scheduled to work each week, as maintained in Capital One’s system of record. Standard Hours are used to determine benefits eligibility and are maintained by managers in Capital One’s system of record. Standard Hours may not be reflective of actual hours worked in any given week.</w:t>
      </w:r>
    </w:p>
    <w:p>
      <w:pPr>
        <w:spacing w:after="0" w:line="117" w:lineRule="exact"/>
        <w:rPr>
          <w:rFonts w:ascii="Times New Roman" w:cs="Times New Roman" w:eastAsia="Times New Roman" w:hAnsi="Times New Roman"/>
          <w:sz w:val="13"/>
          <w:szCs w:val="13"/>
          <w:color w:val="auto"/>
        </w:rPr>
      </w:pPr>
    </w:p>
    <w:p>
      <w:pPr>
        <w:ind w:left="640" w:hanging="208"/>
        <w:spacing w:after="0" w:line="281" w:lineRule="auto"/>
        <w:tabs>
          <w:tab w:leader="none" w:pos="552" w:val="left"/>
        </w:tabs>
        <w:numPr>
          <w:ilvl w:val="1"/>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the Plan, for an involuntary termination due to restructuring, official notification is deemed to occur as set forth on the date of the letter from the Career Development Center or Associate Relations, as applicable, and for an involuntary termination due to poor performance, official notification is deemed to occur on the last day worked.</w:t>
      </w:r>
    </w:p>
    <w:p>
      <w:pPr>
        <w:spacing w:after="0" w:line="108" w:lineRule="exact"/>
        <w:rPr>
          <w:rFonts w:ascii="Times New Roman" w:cs="Times New Roman" w:eastAsia="Times New Roman" w:hAnsi="Times New Roman"/>
          <w:sz w:val="13"/>
          <w:szCs w:val="13"/>
          <w:color w:val="auto"/>
        </w:rPr>
      </w:pPr>
    </w:p>
    <w:p>
      <w:pPr>
        <w:ind w:left="640" w:hanging="208"/>
        <w:spacing w:after="0" w:line="295" w:lineRule="auto"/>
        <w:tabs>
          <w:tab w:leader="none" w:pos="556" w:val="left"/>
        </w:tabs>
        <w:numPr>
          <w:ilvl w:val="1"/>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eligible for benefits provided due to poor performance, an associate must have been employed by the Company for a period of 6 consecutive months immediately prior to the associate’s separation date.</w:t>
      </w:r>
    </w:p>
    <w:p>
      <w:pPr>
        <w:spacing w:after="0" w:line="100" w:lineRule="exact"/>
        <w:rPr>
          <w:rFonts w:ascii="Times New Roman" w:cs="Times New Roman" w:eastAsia="Times New Roman" w:hAnsi="Times New Roman"/>
          <w:sz w:val="13"/>
          <w:szCs w:val="13"/>
          <w:color w:val="auto"/>
        </w:rPr>
      </w:pPr>
    </w:p>
    <w:p>
      <w:pPr>
        <w:ind w:left="220" w:hanging="220"/>
        <w:spacing w:after="0" w:line="281" w:lineRule="auto"/>
        <w:tabs>
          <w:tab w:leader="none" w:pos="137"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must be classified by the Company in one of the following internal job levels at the time of their termination of employment: Vice President ("VP"); Managing Vice President ("MVP"); Senior Vice President ("SVP"); Executive Vice President ("EVP"); or Executive Committee.</w:t>
      </w:r>
    </w:p>
    <w:p>
      <w:pPr>
        <w:spacing w:after="0" w:line="108" w:lineRule="exact"/>
        <w:rPr>
          <w:rFonts w:ascii="Times New Roman" w:cs="Times New Roman" w:eastAsia="Times New Roman" w:hAnsi="Times New Roman"/>
          <w:sz w:val="13"/>
          <w:szCs w:val="13"/>
          <w:color w:val="auto"/>
        </w:rPr>
      </w:pPr>
    </w:p>
    <w:p>
      <w:pPr>
        <w:ind w:left="220" w:hanging="220"/>
        <w:spacing w:after="0" w:line="265" w:lineRule="auto"/>
        <w:tabs>
          <w:tab w:leader="none" w:pos="150"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Plan Administrator must designate the associate as terminated by Capital One due to restructuring or poor performance. For these purposes, the Plan Administrator retains the discretion to determine whether severance benefits are payable in cases where jobs are being eliminated due to outsourcing, the sale of all or a portion of Capital One's business or assets or another corporate transaction having similar effect. Unless otherwise determined by the Plan Administrator in its discretion, an associate whose employment terminates in connection with any such reason will not be entitled to benefits under the Plan. If the Plan Administrator determines that an involuntary termination due to outsourcing, the sale of all or a portion of Capital One’s business or assets or another corporate transaction is a severance-eligible event, the Plan Administrator will retain the</w:t>
      </w:r>
    </w:p>
    <w:p>
      <w:pPr>
        <w:sectPr>
          <w:pgSz w:w="11900" w:h="16838" w:orient="portrait"/>
          <w:cols w:equalWidth="0" w:num="1">
            <w:col w:w="10660"/>
          </w:cols>
          <w:pgMar w:left="940" w:top="1133" w:right="299" w:bottom="1440" w:gutter="0" w:footer="0" w:header="0"/>
        </w:sectPr>
      </w:pPr>
    </w:p>
    <w:bookmarkStart w:id="318" w:name="page319"/>
    <w:bookmarkEnd w:id="318"/>
    <w:p>
      <w:pPr>
        <w:ind w:left="660"/>
        <w:spacing w:after="0"/>
        <w:rPr>
          <w:sz w:val="20"/>
          <w:szCs w:val="20"/>
          <w:color w:val="auto"/>
        </w:rPr>
      </w:pPr>
      <w:r>
        <w:rPr>
          <w:rFonts w:ascii="Times New Roman" w:cs="Times New Roman" w:eastAsia="Times New Roman" w:hAnsi="Times New Roman"/>
          <w:sz w:val="13"/>
          <w:szCs w:val="13"/>
          <w:color w:val="auto"/>
        </w:rPr>
        <w:t>discretion to determine what, if any, benefits will be offered, including but not limited to continued vesting of equity awards (if permitted by the applicable award agreement).</w:t>
      </w:r>
    </w:p>
    <w:p>
      <w:pPr>
        <w:spacing w:after="0" w:line="157" w:lineRule="exact"/>
        <w:rPr>
          <w:sz w:val="20"/>
          <w:szCs w:val="20"/>
          <w:color w:val="auto"/>
        </w:rPr>
      </w:pPr>
    </w:p>
    <w:p>
      <w:pPr>
        <w:ind w:left="580" w:hanging="140"/>
        <w:spacing w:after="0"/>
        <w:tabs>
          <w:tab w:leader="none" w:pos="580" w:val="left"/>
        </w:tabs>
        <w:numPr>
          <w:ilvl w:val="1"/>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must continue to work for Capital One and perform in a satisfactory manner until the associate's services are no longer required.</w:t>
      </w:r>
    </w:p>
    <w:p>
      <w:pPr>
        <w:spacing w:after="0" w:line="154"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Ineligibility Factors</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An associate who otherwise satisfies the eligibility conditions described in the Plan is not eligible for any Plan benefits if:</w:t>
      </w:r>
    </w:p>
    <w:p>
      <w:pPr>
        <w:spacing w:after="0" w:line="147" w:lineRule="exact"/>
        <w:rPr>
          <w:sz w:val="20"/>
          <w:szCs w:val="20"/>
          <w:color w:val="auto"/>
        </w:rPr>
      </w:pPr>
    </w:p>
    <w:p>
      <w:pPr>
        <w:ind w:left="660" w:hanging="220"/>
        <w:spacing w:after="0" w:line="270" w:lineRule="auto"/>
        <w:tabs>
          <w:tab w:leader="none" w:pos="577"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is classified by Capital One as a part-time associate with Standard Hours in the Company’s system of record of less than 20 hours per week at the time the associate is officially notified of separation, or is classified as a temporary worker (including, but not limited to, individuals engaged as contingent labor, contractors or other non-associate labor) as determined by the Plan Administrator in its discretion.</w:t>
      </w:r>
    </w:p>
    <w:p>
      <w:pPr>
        <w:spacing w:after="0" w:line="116" w:lineRule="exact"/>
        <w:rPr>
          <w:rFonts w:ascii="Times New Roman" w:cs="Times New Roman" w:eastAsia="Times New Roman" w:hAnsi="Times New Roman"/>
          <w:sz w:val="13"/>
          <w:szCs w:val="13"/>
          <w:color w:val="auto"/>
        </w:rPr>
      </w:pPr>
    </w:p>
    <w:p>
      <w:pPr>
        <w:ind w:left="660" w:hanging="220"/>
        <w:spacing w:after="0" w:line="267" w:lineRule="auto"/>
        <w:tabs>
          <w:tab w:leader="none" w:pos="581"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associate's employment is terminated for Cause, as determined by the Plan Administrator in its discretion, or for any other reason not deemed by the Plan Administrator to be eligible under the Plan. For purposes of this Plan, Cause shall be defined as the willful and continued failure by the associate to perform substantially their duties with Capital One (other than any such failure resulting from incapacity due to physical or mental illness) or misconduct, as determined by the Plan Administrator (including by way of example, violation of any Capital One rule, policy, or any law or regulation or commission of any crime).</w:t>
      </w:r>
    </w:p>
    <w:p>
      <w:pPr>
        <w:spacing w:after="0" w:line="117" w:lineRule="exact"/>
        <w:rPr>
          <w:rFonts w:ascii="Times New Roman" w:cs="Times New Roman" w:eastAsia="Times New Roman" w:hAnsi="Times New Roman"/>
          <w:sz w:val="13"/>
          <w:szCs w:val="13"/>
          <w:color w:val="auto"/>
        </w:rPr>
      </w:pPr>
    </w:p>
    <w:p>
      <w:pPr>
        <w:ind w:left="580" w:hanging="140"/>
        <w:spacing w:after="0"/>
        <w:tabs>
          <w:tab w:leader="none" w:pos="580"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is classified by the Company in an internal job level of any position other than one with an internal job level of Executive Committee, EVP, SVP, MVP, or VP.</w:t>
      </w:r>
    </w:p>
    <w:p>
      <w:pPr>
        <w:spacing w:after="0" w:line="156" w:lineRule="exact"/>
        <w:rPr>
          <w:rFonts w:ascii="Times New Roman" w:cs="Times New Roman" w:eastAsia="Times New Roman" w:hAnsi="Times New Roman"/>
          <w:sz w:val="13"/>
          <w:szCs w:val="13"/>
          <w:color w:val="auto"/>
        </w:rPr>
      </w:pPr>
    </w:p>
    <w:p>
      <w:pPr>
        <w:ind w:left="660" w:hanging="220"/>
        <w:spacing w:after="0" w:line="281" w:lineRule="auto"/>
        <w:tabs>
          <w:tab w:leader="none" w:pos="594"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resigns from Capital One for any reason, including any claim of a “good reason termination” or “constructive termination” or any similar separation not designated by the Plan Administrator, in its discretion, as involuntary.</w:t>
      </w:r>
    </w:p>
    <w:p>
      <w:pPr>
        <w:spacing w:after="0" w:line="108" w:lineRule="exact"/>
        <w:rPr>
          <w:rFonts w:ascii="Times New Roman" w:cs="Times New Roman" w:eastAsia="Times New Roman" w:hAnsi="Times New Roman"/>
          <w:sz w:val="13"/>
          <w:szCs w:val="13"/>
          <w:color w:val="auto"/>
        </w:rPr>
      </w:pPr>
    </w:p>
    <w:p>
      <w:pPr>
        <w:ind w:left="580" w:hanging="140"/>
        <w:spacing w:after="0"/>
        <w:tabs>
          <w:tab w:leader="none" w:pos="580"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is not legally eligible for employment with Capital One, as provided under any applicable law or regulation.</w:t>
      </w:r>
    </w:p>
    <w:p>
      <w:pPr>
        <w:spacing w:after="0" w:line="156" w:lineRule="exact"/>
        <w:rPr>
          <w:rFonts w:ascii="Times New Roman" w:cs="Times New Roman" w:eastAsia="Times New Roman" w:hAnsi="Times New Roman"/>
          <w:sz w:val="13"/>
          <w:szCs w:val="13"/>
          <w:color w:val="auto"/>
        </w:rPr>
      </w:pPr>
    </w:p>
    <w:p>
      <w:pPr>
        <w:ind w:left="660" w:hanging="220"/>
        <w:spacing w:after="0" w:line="277" w:lineRule="auto"/>
        <w:tabs>
          <w:tab w:leader="none" w:pos="596"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declines reassignment to a comparable employment position as an associate of Capital One, or as otherwise determined by the Plan Administrator. The Plan Administrator will determine, in its discretion, whether an employment position within Capital One is comparable. The Plan Administrator may document, in writing, such comparability determinations, and may further adopt written guidelines for determining comparability.</w:t>
      </w:r>
    </w:p>
    <w:p>
      <w:pPr>
        <w:spacing w:after="0" w:line="112" w:lineRule="exact"/>
        <w:rPr>
          <w:rFonts w:ascii="Times New Roman" w:cs="Times New Roman" w:eastAsia="Times New Roman" w:hAnsi="Times New Roman"/>
          <w:sz w:val="13"/>
          <w:szCs w:val="13"/>
          <w:color w:val="auto"/>
        </w:rPr>
      </w:pPr>
    </w:p>
    <w:p>
      <w:pPr>
        <w:ind w:left="580" w:hanging="140"/>
        <w:spacing w:after="0"/>
        <w:tabs>
          <w:tab w:leader="none" w:pos="580"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is eligible for severance-type benefits under another severance plan or agreement sponsored by the Company.</w:t>
      </w:r>
    </w:p>
    <w:p>
      <w:pPr>
        <w:spacing w:after="0" w:line="156" w:lineRule="exact"/>
        <w:rPr>
          <w:rFonts w:ascii="Times New Roman" w:cs="Times New Roman" w:eastAsia="Times New Roman" w:hAnsi="Times New Roman"/>
          <w:sz w:val="13"/>
          <w:szCs w:val="13"/>
          <w:color w:val="auto"/>
        </w:rPr>
      </w:pPr>
    </w:p>
    <w:p>
      <w:pPr>
        <w:ind w:left="660" w:hanging="220"/>
        <w:spacing w:after="0" w:line="281" w:lineRule="auto"/>
        <w:tabs>
          <w:tab w:leader="none" w:pos="585"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associate is on a personal and/or educational leave of absence, as determined by the Plan Administrator, at the time of termination of employment. Notwithstanding this provision, if the Plan Administrator determines in its discretion to provide benefits in the event of a personal and/or educational leave of absence, the associate shall receive such benefits.</w:t>
      </w:r>
    </w:p>
    <w:p>
      <w:pPr>
        <w:sectPr>
          <w:pgSz w:w="11900" w:h="16838" w:orient="portrait"/>
          <w:cols w:equalWidth="0" w:num="1">
            <w:col w:w="11100"/>
          </w:cols>
          <w:pgMar w:left="500" w:top="1133" w:right="299" w:bottom="1440" w:gutter="0" w:footer="0" w:header="0"/>
        </w:sectPr>
      </w:pPr>
    </w:p>
    <w:bookmarkStart w:id="319" w:name="page320"/>
    <w:bookmarkEnd w:id="319"/>
    <w:p>
      <w:pPr>
        <w:ind w:left="200"/>
        <w:spacing w:after="0"/>
        <w:rPr>
          <w:sz w:val="20"/>
          <w:szCs w:val="20"/>
          <w:color w:val="auto"/>
        </w:rPr>
      </w:pPr>
      <w:r>
        <w:rPr>
          <w:rFonts w:ascii="Times New Roman" w:cs="Times New Roman" w:eastAsia="Times New Roman" w:hAnsi="Times New Roman"/>
          <w:sz w:val="13"/>
          <w:szCs w:val="13"/>
          <w:color w:val="auto"/>
        </w:rPr>
        <w:t>An associate who meets the Plan's eligibility requirements and meets all other conditions for the receipt of benefits under the Plan may be referred to hereinafter as a "participant."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Section III. Severance Benefits</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Severance Payment</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 participant’s cash severance benefits (“Severance Payment”) will be determined as set forth in the applicable Appendix to the Plan.</w:t>
      </w:r>
    </w:p>
    <w:p>
      <w:pPr>
        <w:spacing w:after="0" w:line="147"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3"/>
          <w:szCs w:val="13"/>
          <w:color w:val="auto"/>
        </w:rPr>
        <w:t>The amount of the Severance Payment is generally determined based on whether the associate is involuntarily terminated due to restructuring or poor performance. For purposes of the Plan, an associate will be deemed to have terminated due to restructuring if the associate is involuntarily terminated because the associate’s position is eliminated, substantively redesigned, or is otherwise no longer available, each as determined by the Plan Administrator in its discretion; provided, however, that a member of the Executive Committee will be deemed to have terminated due to restructuring only if the associate is involuntarily terminated because the associate’s position is eliminated. For purposes of the Plan, an associate will be deemed to have terminated for performance if the associate is terminated for poor performance, as determined by the Plan Administrator in its discretion.</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Severance Bonus</w:t>
      </w:r>
    </w:p>
    <w:p>
      <w:pPr>
        <w:spacing w:after="0" w:line="24"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13"/>
          <w:szCs w:val="13"/>
          <w:color w:val="auto"/>
        </w:rPr>
        <w:t>If an associate who is otherwise eligible for an annual cash bonus (“Annual Cash Bonus”) under the Capital One Financial Corporation Managing Vice President and Below Corporate Incentive Plan Standard or the Capital One Financial Corporation Senior Executive Corporate Incentive Plan Standard, or any such successor plan or standard (each as applicable, the “CIP”) is involuntarily terminated due to restructuring or poor performance, as determined by the Plan Administrator, and such termination occurs on or after April 1st of the annual performance period, the associate will be eligible for a cash bonus equivalent to their full (or prorated, as applicable) Annual Cash Bonus under the applicable CIP (“Severance Bonus”), which will be paid at the same time as the Severance Payment. In the event of termination due to restructuring, the Severance Bonus will be based on the mid-point of the target bonus range(s) for the associate’s Annual Cash Bonus under the applicable CIP and will be prorated based on the associate’s period of employment in that performance period. In the event of termination due to poor performance, the Severance Bonus will be based on the mid-point of the bonus range(s) for an “Inconsistent” rating for the associate’s Annual Cash Bonus under the applicable CIP and will be prorated based on the associate’s period of employment in that performance period. If the Annual Cash Bonus has been approved by the Capital One Financial Corporation Board of Directors (“Board of Directors”) at the time of the associate’s separation, the amount of the Severance Bonus will be equal to the actual approved Annual Cash Bonus amount.</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b w:val="1"/>
          <w:bCs w:val="1"/>
          <w:u w:val="single" w:color="auto"/>
          <w:color w:val="auto"/>
        </w:rPr>
        <w:t>Outplacement Services</w:t>
      </w:r>
    </w:p>
    <w:p>
      <w:pPr>
        <w:spacing w:after="0" w:line="20"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3"/>
          <w:szCs w:val="13"/>
          <w:color w:val="auto"/>
        </w:rPr>
        <w:t>Outplacement services will be made available to eligible associates impacted by restructuring, as determined in the discretion of the Plan Administrator. Participants will receive up to twelve (12) months of outplacement services to be provided by a nationally recognized outplacement services firm selected by Capital One. Participants must begin using these outplacement services within 90 days of the termination date. If the associate’s termination is for reasons other than restructuring, the associate is not eligible for outplacement services.</w:t>
      </w:r>
    </w:p>
    <w:p>
      <w:pPr>
        <w:spacing w:after="0" w:line="1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D. </w:t>
      </w:r>
      <w:r>
        <w:rPr>
          <w:rFonts w:ascii="Times New Roman" w:cs="Times New Roman" w:eastAsia="Times New Roman" w:hAnsi="Times New Roman"/>
          <w:sz w:val="13"/>
          <w:szCs w:val="13"/>
          <w:b w:val="1"/>
          <w:bCs w:val="1"/>
          <w:u w:val="single" w:color="auto"/>
          <w:color w:val="auto"/>
        </w:rPr>
        <w:t>Subsidized COBRA Coverage Payment</w:t>
      </w:r>
    </w:p>
    <w:p>
      <w:pPr>
        <w:sectPr>
          <w:pgSz w:w="11900" w:h="16838" w:orient="portrait"/>
          <w:cols w:equalWidth="0" w:num="1">
            <w:col w:w="11300"/>
          </w:cols>
          <w:pgMar w:left="300" w:top="1133" w:right="299" w:bottom="1440" w:gutter="0" w:footer="0" w:header="0"/>
        </w:sectPr>
      </w:pPr>
    </w:p>
    <w:bookmarkStart w:id="320" w:name="page321"/>
    <w:bookmarkEnd w:id="320"/>
    <w:p>
      <w:pPr>
        <w:jc w:val="both"/>
        <w:ind w:left="420"/>
        <w:spacing w:after="0" w:line="295" w:lineRule="auto"/>
        <w:rPr>
          <w:sz w:val="20"/>
          <w:szCs w:val="20"/>
          <w:color w:val="auto"/>
        </w:rPr>
      </w:pPr>
      <w:r>
        <w:rPr>
          <w:rFonts w:ascii="Times New Roman" w:cs="Times New Roman" w:eastAsia="Times New Roman" w:hAnsi="Times New Roman"/>
          <w:sz w:val="13"/>
          <w:szCs w:val="13"/>
          <w:color w:val="auto"/>
        </w:rPr>
        <w:t>Eligible associates can elect to continue their health insurance coverage under the Consolidated Omnibus Budget Reconciliation Act of 1985 (COBRA) and receive subsidized coverage from Capital One pursuant to the terms set forth in Appendices A through E, as applicable.</w:t>
      </w:r>
    </w:p>
    <w:p>
      <w:pPr>
        <w:spacing w:after="0" w:line="101"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3"/>
          <w:szCs w:val="13"/>
          <w:color w:val="auto"/>
        </w:rPr>
        <w:t>In such case, Capital One will directly pay the COBRA administrator on the participant's behalf an amount equal to the employer-paid health care coverage premium in effect at that time for the same coverage for active employees, plus a 2% administrative fee. The participant will remain responsible for the remainder of the COBRA premium. The participant's COBRA coverage subsidy from Capital One will continue for the period set forth in the applicable Appendix. Participants on a Non-Competition Agreement or similar restrictive covenant agreement (collectively, “NCA”) or Garden Transition Period Agreement (“GTPA”) will receive the greater of the COBRA benefit provided under the NCA or GTPA, as applicable, or the Plan, but not both.</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E. </w:t>
      </w:r>
      <w:r>
        <w:rPr>
          <w:rFonts w:ascii="Times New Roman" w:cs="Times New Roman" w:eastAsia="Times New Roman" w:hAnsi="Times New Roman"/>
          <w:sz w:val="13"/>
          <w:szCs w:val="13"/>
          <w:b w:val="1"/>
          <w:bCs w:val="1"/>
          <w:u w:val="single" w:color="auto"/>
          <w:color w:val="auto"/>
        </w:rPr>
        <w:t>Retraining Educational Assistance Program</w:t>
      </w:r>
    </w:p>
    <w:p>
      <w:pPr>
        <w:spacing w:after="0" w:line="24"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3"/>
          <w:szCs w:val="13"/>
          <w:color w:val="auto"/>
        </w:rPr>
        <w:t>Eligible associates, who are impacted by restructuring, as determined in the discretion of the Plan Administrator, are eligible to participate in the Capital One Retraining Educational Assistance Program, subject to and in accordance with the provisions of that program as in effect from time-to-time. Associates who participate will be provided with retraining assistance with a value of up to $3,000 for educational expenses. Information about such program shall be set forth in a separate written document.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Section IV. Compliance with Obligations</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Compliance Obligations</w:t>
      </w:r>
    </w:p>
    <w:p>
      <w:pPr>
        <w:spacing w:after="0" w:line="24"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3"/>
          <w:szCs w:val="13"/>
          <w:color w:val="auto"/>
        </w:rPr>
        <w:t>In order to receive benefits pursuant to the Plan, participants must comply with the following obligations, each as further specified in the Letter Agreement, and such other obligations as determined in the discretion of the Plan Administrator.</w:t>
      </w:r>
    </w:p>
    <w:p>
      <w:pPr>
        <w:spacing w:after="0" w:line="117" w:lineRule="exact"/>
        <w:rPr>
          <w:sz w:val="20"/>
          <w:szCs w:val="20"/>
          <w:color w:val="auto"/>
        </w:rPr>
      </w:pPr>
    </w:p>
    <w:p>
      <w:pPr>
        <w:ind w:left="780" w:hanging="140"/>
        <w:spacing w:after="0"/>
        <w:tabs>
          <w:tab w:leader="none" w:pos="780" w:val="left"/>
        </w:tabs>
        <w:numPr>
          <w:ilvl w:val="0"/>
          <w:numId w:val="2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Compliance with Confidentiality Obligations of Capital One</w:t>
      </w:r>
    </w:p>
    <w:p>
      <w:pPr>
        <w:spacing w:after="0" w:line="2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The participant must agree to comply with all confidentiality obligations outlined in the Letter Agreement.</w:t>
      </w:r>
    </w:p>
    <w:p>
      <w:pPr>
        <w:spacing w:after="0" w:line="145" w:lineRule="exact"/>
        <w:rPr>
          <w:sz w:val="20"/>
          <w:szCs w:val="20"/>
          <w:color w:val="auto"/>
        </w:rPr>
      </w:pPr>
    </w:p>
    <w:p>
      <w:pPr>
        <w:ind w:left="780" w:hanging="140"/>
        <w:spacing w:after="0"/>
        <w:tabs>
          <w:tab w:leader="none" w:pos="780" w:val="left"/>
        </w:tabs>
        <w:numPr>
          <w:ilvl w:val="0"/>
          <w:numId w:val="2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Non-Solicitation of Employees</w:t>
      </w:r>
    </w:p>
    <w:p>
      <w:pPr>
        <w:spacing w:after="0" w:line="20" w:lineRule="exact"/>
        <w:rPr>
          <w:sz w:val="20"/>
          <w:szCs w:val="20"/>
          <w:color w:val="auto"/>
        </w:rPr>
      </w:pPr>
    </w:p>
    <w:p>
      <w:pPr>
        <w:ind w:left="860" w:right="40"/>
        <w:spacing w:after="0" w:line="259" w:lineRule="auto"/>
        <w:rPr>
          <w:sz w:val="20"/>
          <w:szCs w:val="20"/>
          <w:color w:val="auto"/>
        </w:rPr>
      </w:pPr>
      <w:r>
        <w:rPr>
          <w:rFonts w:ascii="Times New Roman" w:cs="Times New Roman" w:eastAsia="Times New Roman" w:hAnsi="Times New Roman"/>
          <w:sz w:val="13"/>
          <w:szCs w:val="13"/>
          <w:color w:val="auto"/>
        </w:rPr>
        <w:t>Any associate otherwise eligible under the Plan, who is required to sign a non solicitation of employee agreement pursuant to Capital One policy or practice, as determined by the Plan Administrator, and who has not signed the most current non-solicitation of employee agreement with Capital One in effect as of the date of the associate’s termination of employment, as determined by the Plan Administrator, restricting such associate from soliciting other associates for a specific time period following such associate’s separation from service, shall be required to execute a non-solicitation of employee covenant in a form acceptable to Capital One as part of the Letter Agreement. Any non-solicitation of employee covenant signed as part of the Letter Agreement will supersede any non-solicitation of employee covenant with Capital One previously signed by the associate, unless otherwise determined by the Plan Administrator.</w:t>
      </w:r>
    </w:p>
    <w:p>
      <w:pPr>
        <w:spacing w:after="0" w:line="122" w:lineRule="exact"/>
        <w:rPr>
          <w:sz w:val="20"/>
          <w:szCs w:val="20"/>
          <w:color w:val="auto"/>
        </w:rPr>
      </w:pPr>
    </w:p>
    <w:p>
      <w:pPr>
        <w:ind w:left="780" w:hanging="140"/>
        <w:spacing w:after="0"/>
        <w:tabs>
          <w:tab w:leader="none" w:pos="780" w:val="left"/>
        </w:tabs>
        <w:numPr>
          <w:ilvl w:val="0"/>
          <w:numId w:val="2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Full Cooperation</w:t>
      </w:r>
    </w:p>
    <w:p>
      <w:pPr>
        <w:spacing w:after="0" w:line="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The participant must agree to comply with the cooperation obligations outlined in the Letter Agreement.</w:t>
      </w:r>
    </w:p>
    <w:p>
      <w:pPr>
        <w:sectPr>
          <w:pgSz w:w="11900" w:h="16838" w:orient="portrait"/>
          <w:cols w:equalWidth="0" w:num="1">
            <w:col w:w="11300"/>
          </w:cols>
          <w:pgMar w:left="300" w:top="989" w:right="299" w:bottom="1440" w:gutter="0" w:footer="0" w:header="0"/>
        </w:sectPr>
      </w:pPr>
    </w:p>
    <w:bookmarkStart w:id="321" w:name="page322"/>
    <w:bookmarkEnd w:id="321"/>
    <w:p>
      <w:pPr>
        <w:ind w:left="780" w:hanging="140"/>
        <w:spacing w:after="0"/>
        <w:tabs>
          <w:tab w:leader="none" w:pos="780" w:val="left"/>
        </w:tabs>
        <w:numPr>
          <w:ilvl w:val="0"/>
          <w:numId w:val="2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Return of Work Property</w:t>
      </w:r>
    </w:p>
    <w:p>
      <w:pPr>
        <w:spacing w:after="0" w:line="24" w:lineRule="exact"/>
        <w:rPr>
          <w:sz w:val="20"/>
          <w:szCs w:val="20"/>
          <w:color w:val="auto"/>
        </w:rPr>
      </w:pPr>
    </w:p>
    <w:p>
      <w:pPr>
        <w:ind w:left="860" w:right="180"/>
        <w:spacing w:after="0" w:line="280" w:lineRule="auto"/>
        <w:rPr>
          <w:sz w:val="20"/>
          <w:szCs w:val="20"/>
          <w:color w:val="auto"/>
        </w:rPr>
      </w:pPr>
      <w:r>
        <w:rPr>
          <w:rFonts w:ascii="Times New Roman" w:cs="Times New Roman" w:eastAsia="Times New Roman" w:hAnsi="Times New Roman"/>
          <w:sz w:val="13"/>
          <w:szCs w:val="13"/>
          <w:color w:val="auto"/>
        </w:rPr>
        <w:t>Unless otherwise agreed to by Capital One in writing, the participant must comply with the obligation to return Capital One property, including confidential information, as provided in the Letter Agreement.</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Repayment Obligations</w:t>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Under the following circumstances, as outlined in the Letter Agreement, the participant will be required to repay to Capital One any payments received pursuant to the Plan.</w:t>
      </w:r>
    </w:p>
    <w:p>
      <w:pPr>
        <w:spacing w:after="0" w:line="141" w:lineRule="exact"/>
        <w:rPr>
          <w:sz w:val="20"/>
          <w:szCs w:val="20"/>
          <w:color w:val="auto"/>
        </w:rPr>
      </w:pPr>
    </w:p>
    <w:p>
      <w:pPr>
        <w:ind w:left="780" w:hanging="140"/>
        <w:spacing w:after="0"/>
        <w:tabs>
          <w:tab w:leader="none" w:pos="780" w:val="left"/>
        </w:tabs>
        <w:numPr>
          <w:ilvl w:val="0"/>
          <w:numId w:val="2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Re-employment with Capital One</w:t>
      </w:r>
    </w:p>
    <w:p>
      <w:pPr>
        <w:spacing w:after="0" w:line="24" w:lineRule="exact"/>
        <w:rPr>
          <w:sz w:val="20"/>
          <w:szCs w:val="20"/>
          <w:color w:val="auto"/>
        </w:rPr>
      </w:pPr>
    </w:p>
    <w:p>
      <w:pPr>
        <w:ind w:left="860"/>
        <w:spacing w:after="0" w:line="261" w:lineRule="auto"/>
        <w:rPr>
          <w:sz w:val="20"/>
          <w:szCs w:val="20"/>
          <w:color w:val="auto"/>
        </w:rPr>
      </w:pPr>
      <w:r>
        <w:rPr>
          <w:rFonts w:ascii="Times New Roman" w:cs="Times New Roman" w:eastAsia="Times New Roman" w:hAnsi="Times New Roman"/>
          <w:sz w:val="13"/>
          <w:szCs w:val="13"/>
          <w:color w:val="auto"/>
        </w:rPr>
        <w:t>In the event a participant is rehired as a Capital One associate between the participant’s separation date and the period of time used to calculate their Severance Payment (as defined in Appendices A through E, as applicable), the participant will be required to repay a prorated portion of the Severance Payment received as a condition of re-employment with Capital One. The amount of the repayment will be based on the number of days between the participant’s separation date and the date of re-employment (“Period of Separation”), and will be an amount equal to the difference between (i) the Severance Payment received; and (ii) that portion of the Severance Payment that is calculated based on the Period of Separation.</w:t>
      </w:r>
    </w:p>
    <w:p>
      <w:pPr>
        <w:spacing w:after="0" w:line="121" w:lineRule="exact"/>
        <w:rPr>
          <w:sz w:val="20"/>
          <w:szCs w:val="20"/>
          <w:color w:val="auto"/>
        </w:rPr>
      </w:pPr>
    </w:p>
    <w:p>
      <w:pPr>
        <w:ind w:left="780" w:hanging="140"/>
        <w:spacing w:after="0"/>
        <w:tabs>
          <w:tab w:leader="none" w:pos="780" w:val="left"/>
        </w:tabs>
        <w:numPr>
          <w:ilvl w:val="0"/>
          <w:numId w:val="2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Repayment of Amounts Owed to Capital One</w:t>
      </w:r>
    </w:p>
    <w:p>
      <w:pPr>
        <w:spacing w:after="0" w:line="20" w:lineRule="exact"/>
        <w:rPr>
          <w:sz w:val="20"/>
          <w:szCs w:val="20"/>
          <w:color w:val="auto"/>
        </w:rPr>
      </w:pPr>
    </w:p>
    <w:p>
      <w:pPr>
        <w:ind w:left="860" w:right="180"/>
        <w:spacing w:after="0" w:line="259" w:lineRule="auto"/>
        <w:rPr>
          <w:sz w:val="20"/>
          <w:szCs w:val="20"/>
          <w:color w:val="auto"/>
        </w:rPr>
      </w:pPr>
      <w:r>
        <w:rPr>
          <w:rFonts w:ascii="Times New Roman" w:cs="Times New Roman" w:eastAsia="Times New Roman" w:hAnsi="Times New Roman"/>
          <w:sz w:val="13"/>
          <w:szCs w:val="13"/>
          <w:color w:val="auto"/>
        </w:rPr>
        <w:t>To the fullest extent permitted by applicable law, if the participant fails to repay any amounts owed to Capital One (including, without limitation, overpayment of salary, bonus, vacation pay, severance benefits or personal expenditures on a Capital One credit card), the Plan shall be entitled to a return of some or all of the payment(s) and benefits provided to the participant pursuant to the Plan. In any such event, Capital One shall also be entitled to any appropriate remedy, including, without limitation, the equitable remedy of constructive trust.</w:t>
      </w:r>
    </w:p>
    <w:p>
      <w:pPr>
        <w:spacing w:after="0" w:line="121" w:lineRule="exact"/>
        <w:rPr>
          <w:sz w:val="20"/>
          <w:szCs w:val="20"/>
          <w:color w:val="auto"/>
        </w:rPr>
      </w:pPr>
    </w:p>
    <w:p>
      <w:pPr>
        <w:ind w:left="780" w:hanging="140"/>
        <w:spacing w:after="0"/>
        <w:tabs>
          <w:tab w:leader="none" w:pos="780" w:val="left"/>
        </w:tabs>
        <w:numPr>
          <w:ilvl w:val="0"/>
          <w:numId w:val="2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Participant’s Eligibility for Plan Benefits</w:t>
      </w:r>
    </w:p>
    <w:p>
      <w:pPr>
        <w:spacing w:after="0" w:line="24" w:lineRule="exact"/>
        <w:rPr>
          <w:sz w:val="20"/>
          <w:szCs w:val="20"/>
          <w:color w:val="auto"/>
        </w:rPr>
      </w:pPr>
    </w:p>
    <w:p>
      <w:pPr>
        <w:ind w:left="860" w:right="100"/>
        <w:spacing w:after="0" w:line="262" w:lineRule="auto"/>
        <w:rPr>
          <w:sz w:val="20"/>
          <w:szCs w:val="20"/>
          <w:color w:val="auto"/>
        </w:rPr>
      </w:pPr>
      <w:r>
        <w:rPr>
          <w:rFonts w:ascii="Times New Roman" w:cs="Times New Roman" w:eastAsia="Times New Roman" w:hAnsi="Times New Roman"/>
          <w:sz w:val="13"/>
          <w:szCs w:val="13"/>
          <w:color w:val="auto"/>
        </w:rPr>
        <w:t>To the fullest extent permitted by applicable law, if it is subsequently determined that the participant's employment could have been terminated for Cause or the participant was otherwise ineligible for benefits under the Plan, as determined in the Plan Administrator's discretion, the Plan shall be entitled to a return of some or all of the payment(s) and benefits provided to the participant pursuant to the Plan. In any such event, Capital One shall also be entitled to any appropriate remedy, including, without limitation, the equitable remedy of constructive trust.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Section V. Plan Administration</w:t>
      </w:r>
    </w:p>
    <w:p>
      <w:pPr>
        <w:spacing w:after="0" w:line="159"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3"/>
          <w:szCs w:val="13"/>
          <w:color w:val="auto"/>
        </w:rPr>
        <w:t>Capital One has designated the Capital One Benefits Committee (the “Benefits Committee”) as the Plan Administrator, which is the named fiduciary of the Plan and has the discretionary power to administer the Plan. Notwithstanding this or any other provision of the Plan however, the Compensation Committee of the Board of Directors (“Compensation Committee”) must approve and recommend to the Independent Members of the Board of Directors (as that term is defined in the charter of the Compensation Committee) all determinations as to eligibility and benefits payable under the Plan to members of the Executive Committee, including the authority to make any exceptions under the Plan, and the Independent Members of the Board of Directors shall have the authority to make such determinations.</w:t>
      </w:r>
    </w:p>
    <w:p>
      <w:pPr>
        <w:sectPr>
          <w:pgSz w:w="11900" w:h="16838" w:orient="portrait"/>
          <w:cols w:equalWidth="0" w:num="1">
            <w:col w:w="11280"/>
          </w:cols>
          <w:pgMar w:left="300" w:top="1131" w:right="31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3"/>
          <w:szCs w:val="13"/>
          <w:color w:val="auto"/>
        </w:rPr>
        <w:t>All references in the Plan to the Plan Administrator in connection with members of the Executive Committee shall be deemed to refer to the Compensation Committee.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Plan Administrator's discretionary powers include, but are not limited to, the power to: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Make and enforce such rules and regulations as the Plan Administrator deems necessary or proper for the efficient administration of the Plan;</w:t>
      </w:r>
    </w:p>
    <w:p>
      <w:pPr>
        <w:spacing w:after="0" w:line="157" w:lineRule="exact"/>
        <w:rPr>
          <w:sz w:val="20"/>
          <w:szCs w:val="20"/>
          <w:color w:val="auto"/>
        </w:rPr>
      </w:pPr>
    </w:p>
    <w:p>
      <w:pPr>
        <w:ind w:left="200" w:right="220" w:hanging="215"/>
        <w:spacing w:after="0" w:line="295" w:lineRule="auto"/>
        <w:rPr>
          <w:sz w:val="20"/>
          <w:szCs w:val="20"/>
          <w:color w:val="auto"/>
        </w:rPr>
      </w:pPr>
      <w:r>
        <w:rPr>
          <w:rFonts w:ascii="Times New Roman" w:cs="Times New Roman" w:eastAsia="Times New Roman" w:hAnsi="Times New Roman"/>
          <w:sz w:val="13"/>
          <w:szCs w:val="13"/>
          <w:color w:val="auto"/>
        </w:rPr>
        <w:t>B. Interpret the Plan, to decide all questions concerning the Plan, including without limitation the right to remedy possible ambiguities, inconsistencies, or omissions, by general rule or particular decision, and to determine the eligibility of any person to participate in the Plan and the entitlement of any person to any benefits under the Plan;</w:t>
      </w:r>
    </w:p>
    <w:p>
      <w:pPr>
        <w:spacing w:after="0" w:line="101" w:lineRule="exact"/>
        <w:rPr>
          <w:sz w:val="20"/>
          <w:szCs w:val="20"/>
          <w:color w:val="auto"/>
        </w:rPr>
      </w:pPr>
    </w:p>
    <w:p>
      <w:pPr>
        <w:ind w:left="200" w:right="200" w:hanging="215"/>
        <w:spacing w:after="0" w:line="295" w:lineRule="auto"/>
        <w:rPr>
          <w:sz w:val="20"/>
          <w:szCs w:val="20"/>
          <w:color w:val="auto"/>
        </w:rPr>
      </w:pPr>
      <w:r>
        <w:rPr>
          <w:rFonts w:ascii="Times New Roman" w:cs="Times New Roman" w:eastAsia="Times New Roman" w:hAnsi="Times New Roman"/>
          <w:sz w:val="13"/>
          <w:szCs w:val="13"/>
          <w:color w:val="auto"/>
        </w:rPr>
        <w:t>C. Make and approve any exceptions under the Plan, including but not limited to increasing or decreasing amounts payable under the Plan and granting benefits to associates who terminate for reasons other than restructuring or poor performance; and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Appoint other persons to render it advice and assist it in administering the Plan and to designate other persons to carry out any of its responsibilities under the Plan.</w:t>
      </w:r>
    </w:p>
    <w:p>
      <w:pPr>
        <w:spacing w:after="0" w:line="14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3"/>
          <w:szCs w:val="13"/>
          <w:color w:val="auto"/>
        </w:rPr>
        <w:t>Benefits shall be payable to a participant only if the Plan Administrator so determines in its discretion. Any interpretation, decision, or determination made by the Plan Administrator in good faith shall be final and binding on all persons claiming benefits under the Plan. The Plan Administrator may delegate all or any portion of its duties hereunder (including to decide claims and appeals described in Section VI, below) to one or more individuals or committees and, to the extent of such delegation, any reference herein to the Plan Administrator shall include a reference to such individual or committee.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Section VI. Claims Procedures</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An associate at the level of Executive Vice President or below who does not receive benefits to which they believe they are entitled under the Plan may file a written claim for such benefits with the Plan Administrator or its delegate. For purposes hereof, unless otherwise determined by the Plan Administrator, the power to determine such claims with respect to participants at the level of Executive Vice President or below is hereby delegated to the Executive in Charge of Severance. The written claim should include the benefits being claimed and the reason(s) the claimant believes they are entitled to such benefits. The claimant may designate, in writing on such form as may be provided by the Plan Administrator or is otherwise acceptable to the Plan Administrator, an authorized representative to act on their behalf in pursuing the claim or a subsequent appeal. The claimant must exhaust their rights under these claims procedures before they may file suit to recover any benefits claimed.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Claims by associates who are at the level of Executive Vice President or below should be sent to:</w:t>
      </w:r>
    </w:p>
    <w:p>
      <w:pPr>
        <w:spacing w:after="0" w:line="16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color w:val="auto"/>
        </w:rPr>
        <w:t>Capital One HR Services/ Transactions / Severance Team</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color w:val="auto"/>
        </w:rPr>
        <w:t>15000 Capital One Dr.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Richmond, VA 23238</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via Email: HRHelpCenter@capitalone.com (addressed to the attention of the Capital One Severance Claims Administrator)</w:t>
      </w:r>
    </w:p>
    <w:p>
      <w:pPr>
        <w:sectPr>
          <w:pgSz w:w="11900" w:h="16838" w:orient="portrait"/>
          <w:cols w:equalWidth="0" w:num="1">
            <w:col w:w="11300"/>
          </w:cols>
          <w:pgMar w:left="300" w:top="1133" w:right="299" w:bottom="1440" w:gutter="0" w:footer="0" w:header="0"/>
        </w:sectPr>
      </w:pPr>
    </w:p>
    <w:bookmarkStart w:id="323" w:name="page324"/>
    <w:bookmarkEnd w:id="323"/>
    <w:p>
      <w:pPr>
        <w:jc w:val="both"/>
        <w:ind w:right="20"/>
        <w:spacing w:after="0" w:line="270" w:lineRule="auto"/>
        <w:rPr>
          <w:sz w:val="20"/>
          <w:szCs w:val="20"/>
          <w:color w:val="auto"/>
        </w:rPr>
      </w:pPr>
      <w:r>
        <w:rPr>
          <w:rFonts w:ascii="Times New Roman" w:cs="Times New Roman" w:eastAsia="Times New Roman" w:hAnsi="Times New Roman"/>
          <w:sz w:val="13"/>
          <w:szCs w:val="13"/>
          <w:color w:val="auto"/>
        </w:rPr>
        <w:t>Within 90 days of filing a claim, the claimant will receive written notice of the grant or denial of the claim. If special circumstances require an extension of time to consider the claim, the claimant will be notified in writing of the need for an extension prior to the expiration of the initial 90-day period. The notice of extension will explain the reasons for the extension and will indicate a date by which the Plan Administrator expects to make a decision. The extension may not exceed 90 days, for a total of 180 days from the date the claim was initially filed.</w:t>
      </w:r>
    </w:p>
    <w:p>
      <w:pPr>
        <w:spacing w:after="0" w:line="10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If the claim is being denied, the notice will explain the reason for the denial, cite the Plan provisions on which it is based, describe the procedure for appealing the decision, and explain the claimant's right to file suit under section 502 of ERISA following denial of the claim on appeal. The notice also will describe any additional material or information necessary to demonstrate eligibility for the benefits requested.</w:t>
      </w:r>
    </w:p>
    <w:p>
      <w:pPr>
        <w:spacing w:after="0" w:line="9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Within 60 days of receiving a denial notice, the claimant may submit a written appeal to the Plan Administrator or its delegate requesting a review of the denial. For purposes hereof, unless otherwise determined by the Plan Administrator, the power to determine such claims with respect to participants at the level of Executive Vice President or below is hereby delegated to the Chief Human Resources Officer.</w:t>
      </w:r>
    </w:p>
    <w:p>
      <w:pPr>
        <w:spacing w:after="0" w:line="9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During this 60-day period, the claimant may also review and receive copies of relevant documents and may submit written issues, comments and additional information to the Plan Administrator. The Plan Administrator will consider all new information submitted by the claimant without regard to whether the information was submitted or considered during the initial claim.</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Within 60 days after the request for review is received, a decision on appeal will be made. If special circumstances require an extension of time to consider the appeal, the claimant will be notified in writing of the need for an extension prior to the expiration of the initial 60-day period. The notice of extension will explain the reasons for the extension and will indicate a date by which the Plan Administrator expects to make a decision. The extension may not exceed 60 days, for a total of 120 days from the date the appeal was initially filed. If the claim is being denied upon appeal, the claimant will receive a written decision, including the basis for the decision, references to the Plan provisions on which the decision is based, a statement that the claimant has a right to receive copies of all documents relevant to the claim, and an explanation of the claimant's right to sue under section 502 of ERISA following the denial on appeal. To the extent permitted by law, the decision of the Plan Administrator on appeal is final and binding on all parties.</w:t>
      </w:r>
    </w:p>
    <w:p>
      <w:pPr>
        <w:spacing w:after="0" w:line="12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Notwithstanding the above, the Compensation Committee must review and recommend its determination of any claims or appeals brought by an Executive Committee member to the Independent Members of the Board of Directors, which shall decide all claims and appeals hereunder with respect to any such participant.</w:t>
      </w:r>
    </w:p>
    <w:p>
      <w:pPr>
        <w:spacing w:after="0" w:line="1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no event may any legal or equitable action for benefits under the Plan be brought in a court of law or equity with respect to any claim for benefits more than one (1) year after the final denial of the appeal by the Plan Administrator (or, as applicable, the Independent Members of the Board of Directors).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Section VII. Amendment and Termination</w:t>
      </w:r>
    </w:p>
    <w:p>
      <w:pPr>
        <w:spacing w:after="0" w:line="1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Plan may be amended in whole or in part, prospectively or retroactively, at any time and from time to time, by action of the Benefits Committee or its delegate, provided that no such amendment may relate to eligibility or benefits payable under the Plan to any Executive Committee member. The Compensation Committee must approve and recommend to the Independent Members of the Board of Directors all amendments related to eligibility and benefits payable under the Plan to members of the Executive</w:t>
      </w:r>
    </w:p>
    <w:p>
      <w:pPr>
        <w:sectPr>
          <w:pgSz w:w="11900" w:h="16838" w:orient="portrait"/>
          <w:cols w:equalWidth="0" w:num="1">
            <w:col w:w="11300"/>
          </w:cols>
          <w:pgMar w:left="300" w:top="1133" w:right="2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3"/>
          <w:szCs w:val="13"/>
          <w:color w:val="auto"/>
        </w:rPr>
        <w:t>Committee, and the Independent Members of the Board of Directors shall have the authority to adopt such amendments.</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Benefits Committee or the Independent Members of the Board of Directors, or their designee(s) (as applicable) will affect any such amendment by adopting a resolution setting forth, or incorporating the specific terms of, the amendment or by approving the amendment itself. Notwithstanding the foregoing, no amendment to the Plan will apply to change the amount of any Severance Payment that begins before the amendment is adopted (or made effective, if later). The appropriate officers of Capital One may take all actions necessary or appropriate to implement any amendment to the Plan.</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Capital One has no obligation to maintain the Plan for any particular length of time, and reserves the right to discontinue or, by action of the Independent Members of the Board of Directors, to terminate the Plan, partially or in its entirety, as of any date specified by the Independent Members of the Board of Directors (or its delegate) by duly adopted written instrument.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Section VIII. Miscellaneous</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A. </w:t>
      </w:r>
      <w:r>
        <w:rPr>
          <w:rFonts w:ascii="Times New Roman" w:cs="Times New Roman" w:eastAsia="Times New Roman" w:hAnsi="Times New Roman"/>
          <w:sz w:val="13"/>
          <w:szCs w:val="13"/>
          <w:b w:val="1"/>
          <w:bCs w:val="1"/>
          <w:u w:val="single" w:color="auto"/>
          <w:color w:val="auto"/>
        </w:rPr>
        <w:t>Impact of Other Benefits on Severance Benefits</w:t>
      </w:r>
    </w:p>
    <w:p>
      <w:pPr>
        <w:spacing w:after="0" w:line="24"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3"/>
          <w:szCs w:val="13"/>
          <w:color w:val="auto"/>
        </w:rPr>
        <w:t>If a participant will receive benefits pursuant to a disability certification under the Capital One disability benefit program as defined in its Summary Plan Description or pursuant to a Workers' Compensation certification, such benefits shall have no impact on Severance Payment provided hereunder, and Severance Payment provided under this Plan shall have no impact on such disability or Worker’s Compensation benefits.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B. </w:t>
      </w:r>
      <w:r>
        <w:rPr>
          <w:rFonts w:ascii="Times New Roman" w:cs="Times New Roman" w:eastAsia="Times New Roman" w:hAnsi="Times New Roman"/>
          <w:sz w:val="13"/>
          <w:szCs w:val="13"/>
          <w:b w:val="1"/>
          <w:bCs w:val="1"/>
          <w:u w:val="single" w:color="auto"/>
          <w:color w:val="auto"/>
        </w:rPr>
        <w:t>Interaction with WARN Act</w:t>
      </w:r>
    </w:p>
    <w:p>
      <w:pPr>
        <w:spacing w:after="0" w:line="20"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3"/>
          <w:szCs w:val="13"/>
          <w:color w:val="auto"/>
        </w:rPr>
        <w:t>This Plan is not intended to duplicate payments already required by the Worker Adjustment and Retraining Notification Act or any similar state or local law requiring prior notice of plant closing or mass layoff (collectively, “WARN”). Therefore, notwithstanding any of the above, benefits payable under the Plan will be reduced by any payments required to be provided to eligible associates pursuant to WARN, without regard to whether the associate asserts such rights. Continued payment of compensation for services performed during a notice period, however, will not count against any benefits payable under the Plan.</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 xml:space="preserve">C. </w:t>
      </w:r>
      <w:r>
        <w:rPr>
          <w:rFonts w:ascii="Times New Roman" w:cs="Times New Roman" w:eastAsia="Times New Roman" w:hAnsi="Times New Roman"/>
          <w:sz w:val="13"/>
          <w:szCs w:val="13"/>
          <w:b w:val="1"/>
          <w:bCs w:val="1"/>
          <w:u w:val="single" w:color="auto"/>
          <w:color w:val="auto"/>
        </w:rPr>
        <w:t>Severance Payment Distribution</w:t>
      </w:r>
    </w:p>
    <w:p>
      <w:pPr>
        <w:spacing w:after="0" w:line="24" w:lineRule="exact"/>
        <w:rPr>
          <w:sz w:val="20"/>
          <w:szCs w:val="20"/>
          <w:color w:val="auto"/>
        </w:rPr>
      </w:pPr>
    </w:p>
    <w:p>
      <w:pPr>
        <w:jc w:val="both"/>
        <w:ind w:left="420"/>
        <w:spacing w:after="0" w:line="270" w:lineRule="auto"/>
        <w:rPr>
          <w:sz w:val="20"/>
          <w:szCs w:val="20"/>
          <w:color w:val="auto"/>
        </w:rPr>
      </w:pPr>
      <w:r>
        <w:rPr>
          <w:rFonts w:ascii="Times New Roman" w:cs="Times New Roman" w:eastAsia="Times New Roman" w:hAnsi="Times New Roman"/>
          <w:sz w:val="13"/>
          <w:szCs w:val="13"/>
          <w:color w:val="auto"/>
        </w:rPr>
        <w:t>The Severance Payment shall be paid to the participant in a lump sum within 60 days of Capital One’s receipt of the participant's fully executed Letter Agreement (but to the extent the payment is intended to be subject to the short-term deferral rule under Section 409A of the Internal Revenue Code of 1986, in no event later than March 15th of the year after the participant’s termination of employment occurs).</w:t>
      </w:r>
    </w:p>
    <w:p>
      <w:pPr>
        <w:spacing w:after="0" w:line="273" w:lineRule="exact"/>
        <w:rPr>
          <w:sz w:val="20"/>
          <w:szCs w:val="20"/>
          <w:color w:val="auto"/>
        </w:rPr>
      </w:pPr>
    </w:p>
    <w:p>
      <w:pPr>
        <w:ind w:left="360" w:hanging="152"/>
        <w:spacing w:after="0"/>
        <w:tabs>
          <w:tab w:leader="none" w:pos="360" w:val="left"/>
        </w:tabs>
        <w:numPr>
          <w:ilvl w:val="0"/>
          <w:numId w:val="2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Taxation</w:t>
      </w:r>
    </w:p>
    <w:p>
      <w:pPr>
        <w:spacing w:after="0" w:line="24" w:lineRule="exact"/>
        <w:rPr>
          <w:sz w:val="20"/>
          <w:szCs w:val="20"/>
          <w:color w:val="auto"/>
        </w:rPr>
      </w:pPr>
    </w:p>
    <w:p>
      <w:pPr>
        <w:ind w:left="420" w:right="20"/>
        <w:spacing w:after="0" w:line="265" w:lineRule="auto"/>
        <w:rPr>
          <w:sz w:val="20"/>
          <w:szCs w:val="20"/>
          <w:color w:val="auto"/>
        </w:rPr>
      </w:pPr>
      <w:r>
        <w:rPr>
          <w:rFonts w:ascii="Times New Roman" w:cs="Times New Roman" w:eastAsia="Times New Roman" w:hAnsi="Times New Roman"/>
          <w:sz w:val="13"/>
          <w:szCs w:val="13"/>
          <w:color w:val="auto"/>
        </w:rPr>
        <w:t>Cash payments under this Plan are treated as wages for federal income tax purposes. Capital One makes appropriate arrangements to take deductions from Plan payments for withholding taxes. The associate is responsible for all taxes on Plan benefits to the extent that no taxes are withheld, irrespective of whether withholding is required.</w:t>
      </w:r>
    </w:p>
    <w:p>
      <w:pPr>
        <w:spacing w:after="0" w:line="119" w:lineRule="exact"/>
        <w:rPr>
          <w:sz w:val="20"/>
          <w:szCs w:val="20"/>
          <w:color w:val="auto"/>
        </w:rPr>
      </w:pPr>
    </w:p>
    <w:p>
      <w:pPr>
        <w:ind w:left="420"/>
        <w:spacing w:after="0" w:line="295" w:lineRule="auto"/>
        <w:rPr>
          <w:sz w:val="20"/>
          <w:szCs w:val="20"/>
          <w:color w:val="auto"/>
        </w:rPr>
      </w:pPr>
      <w:r>
        <w:rPr>
          <w:rFonts w:ascii="Times New Roman" w:cs="Times New Roman" w:eastAsia="Times New Roman" w:hAnsi="Times New Roman"/>
          <w:sz w:val="13"/>
          <w:szCs w:val="13"/>
          <w:color w:val="auto"/>
        </w:rPr>
        <w:t>Payments under this Plan are intended to be excluded from coverage under Section 409A of the Internal Revenue Code of 1986, as amended (the "Code"). However, notwithstanding any provision of this Plan to the contrary, if, at the time of the participant's termination of</w:t>
      </w:r>
    </w:p>
    <w:p>
      <w:pPr>
        <w:sectPr>
          <w:pgSz w:w="11900" w:h="16838" w:orient="portrait"/>
          <w:cols w:equalWidth="0" w:num="1">
            <w:col w:w="11300"/>
          </w:cols>
          <w:pgMar w:left="300" w:top="1133" w:right="299" w:bottom="1440" w:gutter="0" w:footer="0" w:header="0"/>
        </w:sectPr>
      </w:pPr>
    </w:p>
    <w:bookmarkStart w:id="325" w:name="page326"/>
    <w:bookmarkEnd w:id="325"/>
    <w:p>
      <w:pPr>
        <w:jc w:val="both"/>
        <w:ind w:left="220"/>
        <w:spacing w:after="0" w:line="261" w:lineRule="auto"/>
        <w:rPr>
          <w:sz w:val="20"/>
          <w:szCs w:val="20"/>
          <w:color w:val="auto"/>
        </w:rPr>
      </w:pPr>
      <w:r>
        <w:rPr>
          <w:rFonts w:ascii="Times New Roman" w:cs="Times New Roman" w:eastAsia="Times New Roman" w:hAnsi="Times New Roman"/>
          <w:sz w:val="13"/>
          <w:szCs w:val="13"/>
          <w:color w:val="auto"/>
        </w:rPr>
        <w:t>employment, the participant is a "specified employee" as defined in Section 409A of the Code, and one or more of the payments or benefits received or to be received by the participant pursuant to this Plan would constitute deferred compensation subject to Section 409A, such payment or benefit under this Plan shall be delayed until the earlier of (a) the date that is six (6) months following the participant's termination of employment, or (b) the participant's death. The provisions of this paragraph shall only apply to the extent required to avoid the participant's incurrence of any penalty tax or interest under Section 409A of the Code or any regulations or Treasury guidance promulgated thereunder. In addition, if any provision of this Plan would cause the participant to incur any penalty tax or interest under Section 409A of the Code or any regulations or Treasury guidance promulgated thereunder, Capital One may reform such provision to maintain to the maximum extent practicable the original intent of the applicable provision without violating the provisions of Section 409A of the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E. </w:t>
      </w:r>
      <w:r>
        <w:rPr>
          <w:rFonts w:ascii="Times New Roman" w:cs="Times New Roman" w:eastAsia="Times New Roman" w:hAnsi="Times New Roman"/>
          <w:sz w:val="13"/>
          <w:szCs w:val="13"/>
          <w:b w:val="1"/>
          <w:bCs w:val="1"/>
          <w:u w:val="single" w:color="auto"/>
          <w:color w:val="auto"/>
        </w:rPr>
        <w:t>Funding of the Plan</w:t>
      </w:r>
    </w:p>
    <w:p>
      <w:pPr>
        <w:spacing w:after="0" w:line="24" w:lineRule="exact"/>
        <w:rPr>
          <w:sz w:val="20"/>
          <w:szCs w:val="20"/>
          <w:color w:val="auto"/>
        </w:rPr>
      </w:pPr>
    </w:p>
    <w:p>
      <w:pPr>
        <w:jc w:val="both"/>
        <w:ind w:left="220"/>
        <w:spacing w:after="0" w:line="262" w:lineRule="auto"/>
        <w:rPr>
          <w:sz w:val="20"/>
          <w:szCs w:val="20"/>
          <w:color w:val="auto"/>
        </w:rPr>
      </w:pPr>
      <w:r>
        <w:rPr>
          <w:rFonts w:ascii="Times New Roman" w:cs="Times New Roman" w:eastAsia="Times New Roman" w:hAnsi="Times New Roman"/>
          <w:sz w:val="13"/>
          <w:szCs w:val="13"/>
          <w:color w:val="auto"/>
        </w:rPr>
        <w:t>Associates do not pay for coverage under the Plan, and the benefits provided under the Plan are paid solely from Capital One's general assets. Capital One is not required to maintain any fund or to segregate any amount for the benefit of any associate under the Plan, and no associate has any claim against, right to, or security or other interest in, any fund, account or asset of Capital One from which any Plan payment may be made.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F. </w:t>
      </w:r>
      <w:r>
        <w:rPr>
          <w:rFonts w:ascii="Times New Roman" w:cs="Times New Roman" w:eastAsia="Times New Roman" w:hAnsi="Times New Roman"/>
          <w:sz w:val="13"/>
          <w:szCs w:val="13"/>
          <w:b w:val="1"/>
          <w:bCs w:val="1"/>
          <w:u w:val="single" w:color="auto"/>
          <w:color w:val="auto"/>
        </w:rPr>
        <w:t>Payments to Estates</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If a participant dies before receiving all Severance Payment due under the Plan, any remaining payments are made to the participant's estate.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G. </w:t>
      </w:r>
      <w:r>
        <w:rPr>
          <w:rFonts w:ascii="Times New Roman" w:cs="Times New Roman" w:eastAsia="Times New Roman" w:hAnsi="Times New Roman"/>
          <w:sz w:val="13"/>
          <w:szCs w:val="13"/>
          <w:b w:val="1"/>
          <w:bCs w:val="1"/>
          <w:u w:val="single" w:color="auto"/>
          <w:color w:val="auto"/>
        </w:rPr>
        <w:t>Plan Document Governs</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The extent of eligibility for Plan benefits is governed solely and in all respects by the terms of the Plan. The Plan Administrator has ultimate authority to interpret the Plan.</w:t>
      </w:r>
    </w:p>
    <w:p>
      <w:pPr>
        <w:spacing w:after="0" w:line="141" w:lineRule="exact"/>
        <w:rPr>
          <w:sz w:val="20"/>
          <w:szCs w:val="20"/>
          <w:color w:val="auto"/>
        </w:rPr>
      </w:pPr>
    </w:p>
    <w:p>
      <w:pPr>
        <w:ind w:left="180" w:hanging="172"/>
        <w:spacing w:after="0"/>
        <w:tabs>
          <w:tab w:leader="none" w:pos="180" w:val="left"/>
        </w:tabs>
        <w:numPr>
          <w:ilvl w:val="0"/>
          <w:numId w:val="2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Severability</w:t>
      </w:r>
    </w:p>
    <w:p>
      <w:pPr>
        <w:spacing w:after="0" w:line="24" w:lineRule="exact"/>
        <w:rPr>
          <w:sz w:val="20"/>
          <w:szCs w:val="20"/>
          <w:color w:val="auto"/>
        </w:rPr>
      </w:pPr>
    </w:p>
    <w:p>
      <w:pPr>
        <w:ind w:left="220"/>
        <w:spacing w:after="0" w:line="265" w:lineRule="auto"/>
        <w:rPr>
          <w:sz w:val="20"/>
          <w:szCs w:val="20"/>
          <w:color w:val="auto"/>
        </w:rPr>
      </w:pPr>
      <w:r>
        <w:rPr>
          <w:rFonts w:ascii="Times New Roman" w:cs="Times New Roman" w:eastAsia="Times New Roman" w:hAnsi="Times New Roman"/>
          <w:sz w:val="13"/>
          <w:szCs w:val="13"/>
          <w:color w:val="auto"/>
        </w:rPr>
        <w:t>If any Plan provision is held illegal or invalid for any reason, such illegality or invalidity does not affect remaining parts of the Plan, and the Plan is applied as if the illegal or invalid provision was never part of the Plan.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 </w:t>
      </w:r>
      <w:r>
        <w:rPr>
          <w:rFonts w:ascii="Times New Roman" w:cs="Times New Roman" w:eastAsia="Times New Roman" w:hAnsi="Times New Roman"/>
          <w:sz w:val="13"/>
          <w:szCs w:val="13"/>
          <w:b w:val="1"/>
          <w:bCs w:val="1"/>
          <w:u w:val="single" w:color="auto"/>
          <w:color w:val="auto"/>
        </w:rPr>
        <w:t>Not an Employment Contract</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Nothing in this Plan or any action taken with respect to it shall be construed as an employment contract or confer upon any person the right to continue employment with Capital 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J. </w:t>
      </w:r>
      <w:r>
        <w:rPr>
          <w:rFonts w:ascii="Times New Roman" w:cs="Times New Roman" w:eastAsia="Times New Roman" w:hAnsi="Times New Roman"/>
          <w:sz w:val="13"/>
          <w:szCs w:val="13"/>
          <w:b w:val="1"/>
          <w:bCs w:val="1"/>
          <w:u w:val="single" w:color="auto"/>
          <w:color w:val="auto"/>
        </w:rPr>
        <w:t>Plan Year</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The records of the Plan shall be maintained on the basis of a 12-month period beginning on each January 1 and ending each December 31.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K. </w:t>
      </w:r>
      <w:r>
        <w:rPr>
          <w:rFonts w:ascii="Times New Roman" w:cs="Times New Roman" w:eastAsia="Times New Roman" w:hAnsi="Times New Roman"/>
          <w:sz w:val="13"/>
          <w:szCs w:val="13"/>
          <w:b w:val="1"/>
          <w:bCs w:val="1"/>
          <w:u w:val="single" w:color="auto"/>
          <w:color w:val="auto"/>
        </w:rPr>
        <w:t>Governing Law</w:t>
      </w:r>
    </w:p>
    <w:p>
      <w:pPr>
        <w:spacing w:after="0" w:line="20" w:lineRule="exact"/>
        <w:rPr>
          <w:sz w:val="20"/>
          <w:szCs w:val="20"/>
          <w:color w:val="auto"/>
        </w:rPr>
      </w:pPr>
    </w:p>
    <w:p>
      <w:pPr>
        <w:ind w:left="220"/>
        <w:spacing w:after="0" w:line="273" w:lineRule="auto"/>
        <w:rPr>
          <w:sz w:val="20"/>
          <w:szCs w:val="20"/>
          <w:color w:val="auto"/>
        </w:rPr>
      </w:pPr>
      <w:r>
        <w:rPr>
          <w:rFonts w:ascii="Times New Roman" w:cs="Times New Roman" w:eastAsia="Times New Roman" w:hAnsi="Times New Roman"/>
          <w:sz w:val="13"/>
          <w:szCs w:val="13"/>
          <w:color w:val="auto"/>
        </w:rPr>
        <w:t>The Plan is construed, administered and regulated in accordance with the provisions of the Employee Retirement Income Security Act of 1974 (ERISA), as amended, and to the extent not preempted thereby, in accordance with Virginia laws.</w:t>
      </w:r>
    </w:p>
    <w:p>
      <w:pPr>
        <w:sectPr>
          <w:pgSz w:w="11900" w:h="16838" w:orient="portrait"/>
          <w:cols w:equalWidth="0" w:num="1">
            <w:col w:w="11100"/>
          </w:cols>
          <w:pgMar w:left="500" w:top="1133" w:right="2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3"/>
          <w:szCs w:val="13"/>
          <w:b w:val="1"/>
          <w:bCs w:val="1"/>
          <w:u w:val="single" w:color="auto"/>
          <w:color w:val="auto"/>
        </w:rPr>
        <w:t>Adoption of the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record the adoption of the Amended and Restated Plan document, effective as of October 5, 2022, Capital One has caused this document to be signed by its duly authorized officer on the date set forth below.</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CAPITAL ONE FINANCIAL CORPORATION</w:t>
      </w:r>
    </w:p>
    <w:p>
      <w:pPr>
        <w:spacing w:after="0" w:line="312" w:lineRule="exact"/>
        <w:rPr>
          <w:sz w:val="20"/>
          <w:szCs w:val="20"/>
          <w:color w:val="auto"/>
        </w:rPr>
      </w:pPr>
    </w:p>
    <w:p>
      <w:pPr>
        <w:ind w:left="2580"/>
        <w:spacing w:after="0"/>
        <w:tabs>
          <w:tab w:leader="none" w:pos="2920" w:val="left"/>
        </w:tabs>
        <w:rPr>
          <w:sz w:val="20"/>
          <w:szCs w:val="20"/>
          <w:color w:val="auto"/>
        </w:rPr>
      </w:pPr>
      <w:r>
        <w:rPr>
          <w:rFonts w:ascii="Times New Roman" w:cs="Times New Roman" w:eastAsia="Times New Roman" w:hAnsi="Times New Roman"/>
          <w:sz w:val="13"/>
          <w:szCs w:val="13"/>
          <w:color w:val="auto"/>
        </w:rPr>
        <w:t>By:</w:t>
        <w:tab/>
        <w:t>/s/ Jory 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-5080</wp:posOffset>
            </wp:positionV>
            <wp:extent cx="52324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2">
                      <a:extLst>
                        <a:ext uri="{28A0092B-C50C-407E-A947-70E740481C1C}"/>
                      </a:extLst>
                    </a:blip>
                    <a:srcRect/>
                    <a:stretch>
                      <a:fillRect/>
                    </a:stretch>
                  </pic:blipFill>
                  <pic:spPr bwMode="auto">
                    <a:xfrm>
                      <a:off x="0" y="0"/>
                      <a:ext cx="523240" cy="5715"/>
                    </a:xfrm>
                    <a:prstGeom prst="rect">
                      <a:avLst/>
                    </a:prstGeom>
                    <a:noFill/>
                  </pic:spPr>
                </pic:pic>
              </a:graphicData>
            </a:graphic>
          </wp:anchor>
        </w:drawing>
      </w:r>
    </w:p>
    <w:p>
      <w:pPr>
        <w:spacing w:after="0" w:line="29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 xml:space="preserve">Title: </w:t>
      </w:r>
      <w:r>
        <w:rPr>
          <w:rFonts w:ascii="Times New Roman" w:cs="Times New Roman" w:eastAsia="Times New Roman" w:hAnsi="Times New Roman"/>
          <w:sz w:val="13"/>
          <w:szCs w:val="13"/>
          <w:u w:val="single" w:color="auto"/>
          <w:color w:val="auto"/>
        </w:rPr>
        <w:t>Chief Human Resources Officer</w:t>
      </w:r>
    </w:p>
    <w:p>
      <w:pPr>
        <w:spacing w:after="0" w:line="319" w:lineRule="exact"/>
        <w:rPr>
          <w:sz w:val="20"/>
          <w:szCs w:val="20"/>
          <w:color w:val="auto"/>
        </w:rPr>
      </w:pPr>
    </w:p>
    <w:p>
      <w:pPr>
        <w:ind w:left="2580"/>
        <w:spacing w:after="0"/>
        <w:tabs>
          <w:tab w:leader="none" w:pos="302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u w:val="single" w:color="auto"/>
          <w:color w:val="auto"/>
        </w:rPr>
        <w:t>October 5, 2022</w:t>
      </w:r>
    </w:p>
    <w:p>
      <w:pPr>
        <w:sectPr>
          <w:pgSz w:w="11900" w:h="16838" w:orient="portrait"/>
          <w:cols w:equalWidth="0" w:num="1">
            <w:col w:w="11300"/>
          </w:cols>
          <w:pgMar w:left="300" w:top="987" w:right="299" w:bottom="1440" w:gutter="0" w:footer="0" w:header="0"/>
        </w:sectPr>
      </w:pPr>
    </w:p>
    <w:bookmarkStart w:id="327" w:name="page328"/>
    <w:bookmarkEnd w:id="327"/>
    <w:p>
      <w:pPr>
        <w:ind w:left="8"/>
        <w:spacing w:after="0"/>
        <w:rPr>
          <w:sz w:val="20"/>
          <w:szCs w:val="20"/>
          <w:color w:val="auto"/>
        </w:rPr>
      </w:pPr>
      <w:r>
        <w:rPr>
          <w:rFonts w:ascii="Times New Roman" w:cs="Times New Roman" w:eastAsia="Times New Roman" w:hAnsi="Times New Roman"/>
          <w:sz w:val="13"/>
          <w:szCs w:val="13"/>
          <w:b w:val="1"/>
          <w:bCs w:val="1"/>
          <w:color w:val="auto"/>
        </w:rPr>
        <w:t>Appendix</w:t>
      </w:r>
    </w:p>
    <w:p>
      <w:pPr>
        <w:spacing w:after="0" w:line="145" w:lineRule="exact"/>
        <w:rPr>
          <w:sz w:val="20"/>
          <w:szCs w:val="20"/>
          <w:color w:val="auto"/>
        </w:rPr>
      </w:pPr>
    </w:p>
    <w:p>
      <w:pPr>
        <w:jc w:val="center"/>
        <w:ind w:right="-7"/>
        <w:spacing w:after="0" w:line="196" w:lineRule="exact"/>
        <w:rPr>
          <w:sz w:val="20"/>
          <w:szCs w:val="20"/>
          <w:color w:val="auto"/>
        </w:rPr>
      </w:pPr>
      <w:r>
        <w:rPr>
          <w:rFonts w:ascii="Times New Roman" w:cs="Times New Roman" w:eastAsia="Times New Roman" w:hAnsi="Times New Roman"/>
          <w:sz w:val="13"/>
          <w:szCs w:val="13"/>
          <w:b w:val="1"/>
          <w:bCs w:val="1"/>
          <w:color w:val="auto"/>
        </w:rPr>
        <w:t>Executive Committee (EC)</w:t>
      </w:r>
      <w:r>
        <w:rPr>
          <w:rFonts w:ascii="MS PGothic" w:cs="MS PGothic" w:eastAsia="MS PGothic" w:hAnsi="MS PGothic"/>
          <w:sz w:val="17"/>
          <w:szCs w:val="17"/>
          <w:color w:val="auto"/>
          <w:highlight w:val="black"/>
          <w:vertAlign w:val="superscript"/>
        </w:rPr>
        <w:t>∗</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severance benefits for an EC member holding a President or “C” role title shall be the following amount or such lesser amount as determined by the Plan Administrator:</w:t>
      </w:r>
    </w:p>
    <w:p>
      <w:pPr>
        <w:spacing w:after="0" w:line="166" w:lineRule="exact"/>
        <w:rPr>
          <w:sz w:val="20"/>
          <w:szCs w:val="20"/>
          <w:color w:val="auto"/>
        </w:rPr>
      </w:pPr>
    </w:p>
    <w:p>
      <w:pPr>
        <w:ind w:left="428" w:hanging="212"/>
        <w:spacing w:after="0" w:line="281" w:lineRule="auto"/>
        <w:tabs>
          <w:tab w:leader="none" w:pos="420"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Severance Payment in an amount up to 30% of the associate’s Target Total Compensation (“TTC”) as defined in the most recent Total Compensation Statement Capital One provided the associate prior to the associate’s termination; plus</w:t>
      </w:r>
    </w:p>
    <w:p>
      <w:pPr>
        <w:spacing w:after="0" w:line="117" w:lineRule="exact"/>
        <w:rPr>
          <w:rFonts w:ascii="Times New Roman" w:cs="Times New Roman" w:eastAsia="Times New Roman" w:hAnsi="Times New Roman"/>
          <w:sz w:val="13"/>
          <w:szCs w:val="13"/>
          <w:color w:val="auto"/>
        </w:rPr>
      </w:pPr>
    </w:p>
    <w:p>
      <w:pPr>
        <w:ind w:left="428" w:hanging="212"/>
        <w:spacing w:after="0"/>
        <w:tabs>
          <w:tab w:leader="none" w:pos="428"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Subsidized COBRA coverage for a period of 18 months.</w:t>
      </w:r>
    </w:p>
    <w:p>
      <w:pPr>
        <w:spacing w:after="0" w:line="148"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3"/>
          <w:szCs w:val="13"/>
          <w:color w:val="auto"/>
        </w:rPr>
        <w:t>For purposes hereof, TTC with respect to a Performance Year (as defined below) shall mean the cash value of all target amounts designated as being part of the Executive’s annual compensation by the Company in the most recent Total Compensation Statement (or any similar document setting forth the Executive’s total annual compensation) for that Performance Year. TTC shall not include retention awards, spot bonus awards, sign-on bonuses, special equity awards, the value of Company provided benefits, pay associated with perquisites or relocation, and other bonuses and incentives not communicated as part of the Executive’s total target annual compensation as set forth in his Total Compensation Statement.</w:t>
      </w:r>
    </w:p>
    <w:p>
      <w:pPr>
        <w:spacing w:after="0" w:line="109"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3"/>
          <w:szCs w:val="13"/>
          <w:color w:val="auto"/>
        </w:rPr>
        <w:t>Performance Year shall mean the 12-month period of time over which an Executive's Target Total Compensation is calculated, as designated by the Company. At the discretion of the Plan Administrator, Severance Payments may also be deemed to include all or a portion of commissions and sales incentive pay.</w:t>
      </w:r>
    </w:p>
    <w:p>
      <w:pPr>
        <w:spacing w:after="0" w:line="200" w:lineRule="exact"/>
        <w:rPr>
          <w:sz w:val="20"/>
          <w:szCs w:val="20"/>
          <w:color w:val="auto"/>
        </w:rPr>
      </w:pPr>
    </w:p>
    <w:p>
      <w:pPr>
        <w:spacing w:after="0" w:line="222" w:lineRule="exact"/>
        <w:rPr>
          <w:sz w:val="20"/>
          <w:szCs w:val="20"/>
          <w:color w:val="auto"/>
        </w:rPr>
      </w:pPr>
    </w:p>
    <w:p>
      <w:pPr>
        <w:ind w:left="88" w:hanging="88"/>
        <w:spacing w:after="0"/>
        <w:tabs>
          <w:tab w:leader="none" w:pos="88" w:val="left"/>
        </w:tabs>
        <w:numPr>
          <w:ilvl w:val="0"/>
          <w:numId w:val="252"/>
        </w:numPr>
        <w:rPr>
          <w:rFonts w:ascii="MS PGothic" w:cs="MS PGothic" w:eastAsia="MS PGothic" w:hAnsi="MS PGothic"/>
          <w:sz w:val="17"/>
          <w:szCs w:val="17"/>
          <w:color w:val="auto"/>
          <w:vertAlign w:val="superscript"/>
        </w:rPr>
      </w:pPr>
      <w:r>
        <w:rPr>
          <w:rFonts w:ascii="Times New Roman" w:cs="Times New Roman" w:eastAsia="Times New Roman" w:hAnsi="Times New Roman"/>
          <w:sz w:val="13"/>
          <w:szCs w:val="13"/>
          <w:color w:val="auto"/>
        </w:rPr>
        <w:t>Refers to internal job levels as determined by the Plan Administrator.</w:t>
      </w:r>
    </w:p>
    <w:p>
      <w:pPr>
        <w:sectPr>
          <w:pgSz w:w="11900" w:h="16838" w:orient="portrait"/>
          <w:cols w:equalWidth="0" w:num="1">
            <w:col w:w="11308"/>
          </w:cols>
          <w:pgMar w:left="292" w:top="987" w:right="29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3"/>
          <w:szCs w:val="13"/>
          <w:b w:val="1"/>
          <w:bCs w:val="1"/>
          <w:color w:val="auto"/>
        </w:rPr>
        <w:t>Exhibit 10.4.3</w:t>
      </w:r>
    </w:p>
    <w:p>
      <w:pPr>
        <w:spacing w:after="0" w:line="1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Amendment Number One</w:t>
      </w:r>
    </w:p>
    <w:p>
      <w:pPr>
        <w:spacing w:after="0" w:line="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to the Capital One Financial Corporation</w:t>
      </w:r>
    </w:p>
    <w:p>
      <w:pPr>
        <w:spacing w:after="0" w:line="1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Executive Severance Plan</w:t>
      </w:r>
    </w:p>
    <w:p>
      <w:pPr>
        <w:spacing w:after="0" w:line="1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Capital One Financial Corporation Executive Severance Plan, as amended and restated effective October 5, 2022 (the “Plan”), is hereby amended, effective as of January 1, 2023:</w:t>
      </w:r>
    </w:p>
    <w:p>
      <w:pPr>
        <w:spacing w:after="0" w:line="172" w:lineRule="exact"/>
        <w:rPr>
          <w:sz w:val="20"/>
          <w:szCs w:val="20"/>
          <w:color w:val="auto"/>
        </w:rPr>
      </w:pPr>
    </w:p>
    <w:p>
      <w:pPr>
        <w:ind w:left="220" w:hanging="212"/>
        <w:spacing w:after="0"/>
        <w:tabs>
          <w:tab w:leader="none" w:pos="22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III of the Plan, regarding severance benefits, is hereby amended with the new subsection F to the end thereof, to be and read as follows:</w:t>
      </w:r>
    </w:p>
    <w:p>
      <w:pPr>
        <w:spacing w:after="0" w:line="170" w:lineRule="exact"/>
        <w:rPr>
          <w:rFonts w:ascii="Times New Roman" w:cs="Times New Roman" w:eastAsia="Times New Roman" w:hAnsi="Times New Roman"/>
          <w:sz w:val="14"/>
          <w:szCs w:val="14"/>
          <w:color w:val="auto"/>
        </w:rPr>
      </w:pPr>
    </w:p>
    <w:p>
      <w:pPr>
        <w:ind w:left="220"/>
        <w:spacing w:after="0" w:line="31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 Severance Death Benefits. </w:t>
      </w:r>
      <w:r>
        <w:rPr>
          <w:rFonts w:ascii="Times New Roman" w:cs="Times New Roman" w:eastAsia="Times New Roman" w:hAnsi="Times New Roman"/>
          <w:sz w:val="14"/>
          <w:szCs w:val="14"/>
          <w:color w:val="auto"/>
        </w:rPr>
        <w:t>Notwithstanding anything else in the Plan to the contrary, upon the death of an associate who has not had a termination of employment but who at the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death was otherwise eligible for benefits under this Plan as set forth in Section II.A, the estate of the associate will receive benefits in accordance with this provision.</w:t>
      </w:r>
    </w:p>
    <w:p>
      <w:pPr>
        <w:spacing w:after="0" w:line="94" w:lineRule="exact"/>
        <w:rPr>
          <w:rFonts w:ascii="Times New Roman" w:cs="Times New Roman" w:eastAsia="Times New Roman" w:hAnsi="Times New Roman"/>
          <w:sz w:val="14"/>
          <w:szCs w:val="14"/>
          <w:color w:val="auto"/>
        </w:rPr>
      </w:pPr>
    </w:p>
    <w:p>
      <w:pPr>
        <w:ind w:left="660" w:hanging="220"/>
        <w:spacing w:after="0"/>
        <w:tabs>
          <w:tab w:leader="none" w:pos="660" w:val="left"/>
        </w:tabs>
        <w:numPr>
          <w:ilvl w:val="1"/>
          <w:numId w:val="2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Severance Payment</w:t>
      </w:r>
    </w:p>
    <w:p>
      <w:pPr>
        <w:spacing w:after="0" w:line="28" w:lineRule="exact"/>
        <w:rPr>
          <w:rFonts w:ascii="Times New Roman" w:cs="Times New Roman" w:eastAsia="Times New Roman" w:hAnsi="Times New Roman"/>
          <w:sz w:val="14"/>
          <w:szCs w:val="14"/>
          <w:b w:val="1"/>
          <w:bCs w:val="1"/>
          <w:color w:val="auto"/>
        </w:rPr>
      </w:pPr>
    </w:p>
    <w:p>
      <w:pPr>
        <w:ind w:left="660"/>
        <w:spacing w:after="0" w:line="27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estate of the associate will receive severance pay as set forth in Section III.A., determined as if the associate’s employment involuntarily terminated due to job restructuring as of the date of their death.</w:t>
      </w:r>
    </w:p>
    <w:p>
      <w:pPr>
        <w:spacing w:after="0" w:line="122" w:lineRule="exact"/>
        <w:rPr>
          <w:rFonts w:ascii="Times New Roman" w:cs="Times New Roman" w:eastAsia="Times New Roman" w:hAnsi="Times New Roman"/>
          <w:sz w:val="14"/>
          <w:szCs w:val="14"/>
          <w:b w:val="1"/>
          <w:bCs w:val="1"/>
          <w:color w:val="auto"/>
        </w:rPr>
      </w:pPr>
    </w:p>
    <w:p>
      <w:pPr>
        <w:ind w:left="660" w:hanging="220"/>
        <w:spacing w:after="0"/>
        <w:tabs>
          <w:tab w:leader="none" w:pos="660" w:val="left"/>
        </w:tabs>
        <w:numPr>
          <w:ilvl w:val="1"/>
          <w:numId w:val="2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Subsidized COBRA Payments</w:t>
      </w:r>
    </w:p>
    <w:p>
      <w:pPr>
        <w:spacing w:after="0" w:line="28" w:lineRule="exact"/>
        <w:rPr>
          <w:rFonts w:ascii="Times New Roman" w:cs="Times New Roman" w:eastAsia="Times New Roman" w:hAnsi="Times New Roman"/>
          <w:sz w:val="14"/>
          <w:szCs w:val="14"/>
          <w:b w:val="1"/>
          <w:bCs w:val="1"/>
          <w:color w:val="auto"/>
        </w:rPr>
      </w:pPr>
    </w:p>
    <w:p>
      <w:pPr>
        <w:jc w:val="both"/>
        <w:ind w:left="660"/>
        <w:spacing w:after="0" w:line="26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eligible spouse and dependents of the deceased associate can elect to continue their health insurance coverage under COBRA. In such case, Capital One will directly pay the COBRA administrator, on behalf of the spouse or dependent, as applicable, an amount equal to the employer-paid health care coverage premium in effect at that time for active employees, plus a 2% administrative fee. The spouse and/or dependents will remain responsible for the remainder of COBRA premiums. This subsidy will continue for the period set forth in the applicable Appendix based upon the associate’s job level at the time of death as determined by the Plan Administrator.</w:t>
      </w:r>
    </w:p>
    <w:p>
      <w:pPr>
        <w:spacing w:after="0" w:line="125" w:lineRule="exact"/>
        <w:rPr>
          <w:rFonts w:ascii="Times New Roman" w:cs="Times New Roman" w:eastAsia="Times New Roman" w:hAnsi="Times New Roman"/>
          <w:sz w:val="14"/>
          <w:szCs w:val="14"/>
          <w:b w:val="1"/>
          <w:bCs w:val="1"/>
          <w:color w:val="auto"/>
        </w:rPr>
      </w:pPr>
    </w:p>
    <w:p>
      <w:pPr>
        <w:ind w:left="660" w:hanging="220"/>
        <w:spacing w:after="0"/>
        <w:tabs>
          <w:tab w:leader="none" w:pos="660" w:val="left"/>
        </w:tabs>
        <w:numPr>
          <w:ilvl w:val="1"/>
          <w:numId w:val="2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Time and Form of Benefit</w:t>
      </w:r>
    </w:p>
    <w:p>
      <w:pPr>
        <w:spacing w:after="0" w:line="28" w:lineRule="exact"/>
        <w:rPr>
          <w:rFonts w:ascii="Times New Roman" w:cs="Times New Roman" w:eastAsia="Times New Roman" w:hAnsi="Times New Roman"/>
          <w:sz w:val="14"/>
          <w:szCs w:val="14"/>
          <w:b w:val="1"/>
          <w:bCs w:val="1"/>
          <w:color w:val="auto"/>
        </w:rPr>
      </w:pPr>
    </w:p>
    <w:p>
      <w:pPr>
        <w:jc w:val="both"/>
        <w:ind w:left="660" w:right="20"/>
        <w:spacing w:after="0" w:line="27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severance payment due under Section III.F.1 or bonus payment paid under Section III.F.2 shall be paid in the form of a lump sum cash payment, directly deposited into the bank account the associate had designated for payroll direct deposit, at the same time as the associate’s final pay; provided, however, if the deceased associate’s designated bank account is no longer open as of the payment date, such payment shall be mailed to the deceased associate’s home address, made payable to the estate of the deceased associate.</w:t>
      </w:r>
    </w:p>
    <w:p>
      <w:pPr>
        <w:spacing w:after="0" w:line="122" w:lineRule="exact"/>
        <w:rPr>
          <w:rFonts w:ascii="Times New Roman" w:cs="Times New Roman" w:eastAsia="Times New Roman" w:hAnsi="Times New Roman"/>
          <w:sz w:val="14"/>
          <w:szCs w:val="14"/>
          <w:b w:val="1"/>
          <w:bCs w:val="1"/>
          <w:color w:val="auto"/>
        </w:rPr>
      </w:pPr>
    </w:p>
    <w:p>
      <w:pPr>
        <w:ind w:left="660" w:hanging="220"/>
        <w:spacing w:after="0"/>
        <w:tabs>
          <w:tab w:leader="none" w:pos="660" w:val="left"/>
        </w:tabs>
        <w:numPr>
          <w:ilvl w:val="1"/>
          <w:numId w:val="2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Compliance Obligations</w:t>
      </w:r>
    </w:p>
    <w:p>
      <w:pPr>
        <w:sectPr>
          <w:pgSz w:w="11900" w:h="16838" w:orient="portrait"/>
          <w:cols w:equalWidth="0" w:num="1">
            <w:col w:w="11100"/>
          </w:cols>
          <w:pgMar w:left="500" w:top="987" w:right="299" w:bottom="1440" w:gutter="0" w:footer="0" w:header="0"/>
        </w:sectPr>
      </w:pPr>
    </w:p>
    <w:bookmarkStart w:id="329" w:name="page330"/>
    <w:bookmarkEnd w:id="329"/>
    <w:p>
      <w:pPr>
        <w:ind w:left="860"/>
        <w:spacing w:after="0" w:line="295" w:lineRule="auto"/>
        <w:rPr>
          <w:sz w:val="20"/>
          <w:szCs w:val="20"/>
          <w:color w:val="auto"/>
        </w:rPr>
      </w:pPr>
      <w:r>
        <w:rPr>
          <w:rFonts w:ascii="Times New Roman" w:cs="Times New Roman" w:eastAsia="Times New Roman" w:hAnsi="Times New Roman"/>
          <w:sz w:val="14"/>
          <w:szCs w:val="14"/>
          <w:color w:val="auto"/>
        </w:rPr>
        <w:t>For avoidance of doubt, neither the associate nor the associate’s estate will be required to agree to execute a release of claims in order to receive the Severance Death Benefits outlined in this Section III.F.</w:t>
      </w:r>
    </w:p>
    <w:p>
      <w:pPr>
        <w:spacing w:after="0" w:line="106" w:lineRule="exact"/>
        <w:rPr>
          <w:sz w:val="20"/>
          <w:szCs w:val="20"/>
          <w:color w:val="auto"/>
        </w:rPr>
      </w:pPr>
    </w:p>
    <w:p>
      <w:pPr>
        <w:ind w:left="860" w:hanging="220"/>
        <w:spacing w:after="0"/>
        <w:tabs>
          <w:tab w:leader="none" w:pos="860" w:val="left"/>
        </w:tabs>
        <w:numPr>
          <w:ilvl w:val="0"/>
          <w:numId w:val="2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 Additional Benefits</w:t>
      </w:r>
    </w:p>
    <w:p>
      <w:pPr>
        <w:spacing w:after="0" w:line="29" w:lineRule="exact"/>
        <w:rPr>
          <w:rFonts w:ascii="Times New Roman" w:cs="Times New Roman" w:eastAsia="Times New Roman" w:hAnsi="Times New Roman"/>
          <w:sz w:val="14"/>
          <w:szCs w:val="14"/>
          <w:b w:val="1"/>
          <w:bCs w:val="1"/>
          <w:color w:val="auto"/>
        </w:rPr>
      </w:pPr>
    </w:p>
    <w:p>
      <w:pPr>
        <w:ind w:left="8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than as specifically provided in this Section III.F, no other benefits shall be payable under this Plan to an associate who had not terminated employment at the time of death.</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RESOLVED, </w:t>
      </w:r>
      <w:r>
        <w:rPr>
          <w:rFonts w:ascii="Times New Roman" w:cs="Times New Roman" w:eastAsia="Times New Roman" w:hAnsi="Times New Roman"/>
          <w:sz w:val="14"/>
          <w:szCs w:val="14"/>
          <w:color w:val="auto"/>
        </w:rPr>
        <w:t>that this Amendment Number One shall amend only the Sections set forth herein and those Sections not amended hereby shall remain in full force and effect.</w:t>
      </w:r>
    </w:p>
    <w:p>
      <w:pPr>
        <w:spacing w:after="0" w:line="172"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FURTHER RESOLVED, </w:t>
      </w:r>
      <w:r>
        <w:rPr>
          <w:rFonts w:ascii="Times New Roman" w:cs="Times New Roman" w:eastAsia="Times New Roman" w:hAnsi="Times New Roman"/>
          <w:sz w:val="14"/>
          <w:szCs w:val="14"/>
          <w:color w:val="auto"/>
        </w:rPr>
        <w:t>that the Chief Human Resources Officer and the executive in charge of the severance program (or each of their respective designees) of Capital One is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hereby authorized and directed on behalf of Capital One to take any and all further actions necessary to effect the intent of the foregoing resolution (hereby ratifying and confirming any and all actions heretofore and hereafter to accomplish such purpose).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994" w:right="31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4"/>
          <w:szCs w:val="14"/>
          <w:color w:val="auto"/>
        </w:rPr>
        <w:t>To record the adoption of this Amendment as set forth above, the Benefits Committee has authorized this document to be signed by the Head of Benefits.</w:t>
      </w:r>
    </w:p>
    <w:p>
      <w:pPr>
        <w:sectPr>
          <w:pgSz w:w="11900" w:h="16838" w:orient="portrait"/>
          <w:cols w:equalWidth="0" w:num="1">
            <w:col w:w="10159"/>
          </w:cols>
          <w:pgMar w:left="300" w:top="994"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u w:val="single" w:color="auto"/>
          <w:color w:val="auto"/>
        </w:rPr>
        <w:t>/s/Pamela Ventura</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PAMELA VENTURA</w:t>
      </w:r>
    </w:p>
    <w:p>
      <w:pPr>
        <w:spacing w:after="0" w:line="11" w:lineRule="exact"/>
        <w:rPr>
          <w:sz w:val="20"/>
          <w:szCs w:val="20"/>
          <w:color w:val="auto"/>
        </w:rPr>
      </w:pPr>
    </w:p>
    <w:p>
      <w:pPr>
        <w:jc w:val="right"/>
        <w:ind w:right="5719"/>
        <w:spacing w:after="0"/>
        <w:rPr>
          <w:sz w:val="20"/>
          <w:szCs w:val="20"/>
          <w:color w:val="auto"/>
        </w:rPr>
      </w:pPr>
      <w:r>
        <w:rPr>
          <w:rFonts w:ascii="Times New Roman" w:cs="Times New Roman" w:eastAsia="Times New Roman" w:hAnsi="Times New Roman"/>
          <w:sz w:val="14"/>
          <w:szCs w:val="14"/>
          <w:i w:val="1"/>
          <w:iCs w:val="1"/>
          <w:color w:val="auto"/>
        </w:rPr>
        <w:t>Vice President, Head of Benefits</w:t>
      </w:r>
    </w:p>
    <w:p>
      <w:pPr>
        <w:spacing w:after="0" w:line="3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u w:val="single" w:color="auto"/>
          <w:color w:val="auto"/>
        </w:rPr>
        <w:t>January 11, 2023</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DATE</w:t>
      </w:r>
    </w:p>
    <w:p>
      <w:pPr>
        <w:sectPr>
          <w:pgSz w:w="11900" w:h="16838" w:orient="portrait"/>
          <w:cols w:equalWidth="0" w:num="1">
            <w:col w:w="10159"/>
          </w:cols>
          <w:pgMar w:left="300" w:top="994" w:right="1440" w:bottom="1440" w:gutter="0" w:footer="0" w:header="0"/>
          <w:type w:val="continuous"/>
        </w:sectPr>
      </w:pPr>
    </w:p>
    <w:bookmarkStart w:id="331" w:name="page332"/>
    <w:bookmarkEnd w:id="331"/>
    <w:p>
      <w:pPr>
        <w:jc w:val="right"/>
        <w:spacing w:after="0"/>
        <w:rPr>
          <w:sz w:val="20"/>
          <w:szCs w:val="20"/>
          <w:color w:val="auto"/>
        </w:rPr>
      </w:pPr>
      <w:r>
        <w:rPr>
          <w:rFonts w:ascii="Times New Roman" w:cs="Times New Roman" w:eastAsia="Times New Roman" w:hAnsi="Times New Roman"/>
          <w:sz w:val="13"/>
          <w:szCs w:val="13"/>
          <w:b w:val="1"/>
          <w:bCs w:val="1"/>
          <w:color w:val="auto"/>
        </w:rPr>
        <w:t>Exhibit 10.9</w:t>
      </w:r>
    </w:p>
    <w:p>
      <w:pPr>
        <w:spacing w:after="0" w:line="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u w:val="single" w:color="auto"/>
          <w:color w:val="auto"/>
        </w:rPr>
        <w:t>NOTICE &amp; GARDEN LEAVE AGREEMENT</w:t>
      </w:r>
    </w:p>
    <w:p>
      <w:pPr>
        <w:spacing w:after="0" w:line="152"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3"/>
          <w:szCs w:val="13"/>
          <w:color w:val="auto"/>
        </w:rPr>
        <w:t>This Notice and Garden Leave Agreement (“Agreement”) is made by and between Capital One Financial Corporation, a Delaware corporation, on its own behalf and on behalf of its affiliates and subsidiaries (collectively, “Capital One”) and Neal Blinde (“You”), and effective as of the date of Capital One’s electronic signature to this Agreement (“Effective Date”).</w:t>
      </w:r>
    </w:p>
    <w:p>
      <w:pPr>
        <w:spacing w:after="0" w:line="110"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In consideration of Capital One’s offer of employment to You in the role of President, Commercial Banking and Executive Committee member (including, but not limited to, the significant monetary value of the sign-on cash bonus and equity grant, as well as the two additional special grants of equity detailed in your offer letter), its agreement and promise to provide You with access to Capital One’s Confidential Information, customer relationships and goodwill, and other business relationships and opportunities, as well as the consideration set forth herein, it is agreed as follows:</w:t>
      </w:r>
    </w:p>
    <w:p>
      <w:pPr>
        <w:spacing w:after="0" w:line="105" w:lineRule="exact"/>
        <w:rPr>
          <w:sz w:val="20"/>
          <w:szCs w:val="20"/>
          <w:color w:val="auto"/>
        </w:rPr>
      </w:pPr>
    </w:p>
    <w:p>
      <w:pPr>
        <w:ind w:left="428" w:hanging="212"/>
        <w:spacing w:after="0"/>
        <w:tabs>
          <w:tab w:leader="none" w:pos="428" w:val="left"/>
        </w:tabs>
        <w:numPr>
          <w:ilvl w:val="1"/>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Purpose of Agreement</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b w:val="1"/>
          <w:bCs w:val="1"/>
          <w:color w:val="auto"/>
        </w:rPr>
      </w:pPr>
    </w:p>
    <w:p>
      <w:pPr>
        <w:jc w:val="both"/>
        <w:ind w:left="8" w:firstLine="424"/>
        <w:spacing w:after="0" w:line="248" w:lineRule="auto"/>
        <w:tabs>
          <w:tab w:leader="none" w:pos="872" w:val="left"/>
        </w:tabs>
        <w:numPr>
          <w:ilvl w:val="2"/>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Customer Relationships and Goodwill</w:t>
      </w:r>
      <w:r>
        <w:rPr>
          <w:rFonts w:ascii="Times New Roman" w:cs="Times New Roman" w:eastAsia="Times New Roman" w:hAnsi="Times New Roman"/>
          <w:sz w:val="13"/>
          <w:szCs w:val="13"/>
          <w:color w:val="auto"/>
        </w:rPr>
        <w:t>. Capital One is engaged in highly competitive businesses, and invests significant resources to establish, maintain and expand relationships and goodwill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customers and prospective customers, which constitute valuable assets of Capital One. This includes investments in development of products, services, and Confidential Information; customer service; technologies and other infrastructure; brand, marketing and advertising; corporate citizenship and reputation; community investment and relations; vendor, partner and other business relationships; and employee compensation, benefits, training and development. By virtue of Your employment with Capital One, You will benefit from Capital One’s reputation and goodwill, and have a critical leadership role in the further development of its customer relationships and goodwill.</w:t>
      </w:r>
    </w:p>
    <w:p>
      <w:pPr>
        <w:spacing w:after="0" w:line="109" w:lineRule="exact"/>
        <w:rPr>
          <w:rFonts w:ascii="Times New Roman" w:cs="Times New Roman" w:eastAsia="Times New Roman" w:hAnsi="Times New Roman"/>
          <w:sz w:val="13"/>
          <w:szCs w:val="13"/>
          <w:b w:val="1"/>
          <w:bCs w:val="1"/>
          <w:color w:val="auto"/>
        </w:rPr>
      </w:pPr>
    </w:p>
    <w:p>
      <w:pPr>
        <w:jc w:val="both"/>
        <w:ind w:left="8" w:firstLine="424"/>
        <w:spacing w:after="0" w:line="253" w:lineRule="auto"/>
        <w:tabs>
          <w:tab w:leader="none" w:pos="870" w:val="left"/>
        </w:tabs>
        <w:numPr>
          <w:ilvl w:val="2"/>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Confidential Information</w:t>
      </w:r>
      <w:r>
        <w:rPr>
          <w:rFonts w:ascii="Times New Roman" w:cs="Times New Roman" w:eastAsia="Times New Roman" w:hAnsi="Times New Roman"/>
          <w:sz w:val="13"/>
          <w:szCs w:val="13"/>
          <w:color w:val="auto"/>
        </w:rPr>
        <w:t>. During Your employment, You will also be granted access to Confidential Information regarding Capital One’s operations, methods, plans and/or strategies, among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things, which, if not maintained in confidence, will threaten Capital One’s competitive advantage over those who do not know it and will cause immediate, substantial and irreparable harm to Capital One’s business interests. “Confidential Information” means information, knowledge, data, specialized training, or other information, including trade secrets or other proprietary information, that derives actual or potential value from the fact that it is not generally known to members of the general public, which concerns the business or affairs of Capital One or Capital One’s customers.</w:t>
      </w:r>
    </w:p>
    <w:p>
      <w:pPr>
        <w:spacing w:after="0" w:line="107" w:lineRule="exact"/>
        <w:rPr>
          <w:rFonts w:ascii="Times New Roman" w:cs="Times New Roman" w:eastAsia="Times New Roman" w:hAnsi="Times New Roman"/>
          <w:sz w:val="13"/>
          <w:szCs w:val="13"/>
          <w:b w:val="1"/>
          <w:bCs w:val="1"/>
          <w:color w:val="auto"/>
        </w:rPr>
      </w:pPr>
    </w:p>
    <w:p>
      <w:pPr>
        <w:jc w:val="both"/>
        <w:ind w:left="8" w:firstLine="424"/>
        <w:spacing w:after="0" w:line="257" w:lineRule="auto"/>
        <w:tabs>
          <w:tab w:leader="none" w:pos="864" w:val="left"/>
        </w:tabs>
        <w:numPr>
          <w:ilvl w:val="2"/>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Protecting Business Interests</w:t>
      </w:r>
      <w:r>
        <w:rPr>
          <w:rFonts w:ascii="Times New Roman" w:cs="Times New Roman" w:eastAsia="Times New Roman" w:hAnsi="Times New Roman"/>
          <w:sz w:val="13"/>
          <w:szCs w:val="13"/>
          <w:color w:val="auto"/>
        </w:rPr>
        <w:t>. You acknowledge and agree that Capital One has legitimate business interests in protecting its Confidential Information, customer and other business relationships,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goodwill, as well as in seeking to establish terms to promote an orderly transition in the event that You terminate your employment with Capital One as President, Commercial Banking and Executive Committee member. You further agree that the terms of this Agreement are reasonable and narrowly tailored to protect Capital One’s legitimate business interests.</w:t>
      </w:r>
    </w:p>
    <w:p>
      <w:pPr>
        <w:spacing w:after="0" w:line="104" w:lineRule="exact"/>
        <w:rPr>
          <w:rFonts w:ascii="Times New Roman" w:cs="Times New Roman" w:eastAsia="Times New Roman" w:hAnsi="Times New Roman"/>
          <w:sz w:val="13"/>
          <w:szCs w:val="13"/>
          <w:b w:val="1"/>
          <w:bCs w:val="1"/>
          <w:color w:val="auto"/>
        </w:rPr>
      </w:pPr>
    </w:p>
    <w:p>
      <w:pPr>
        <w:ind w:left="428" w:hanging="212"/>
        <w:spacing w:after="0"/>
        <w:tabs>
          <w:tab w:leader="none" w:pos="428" w:val="left"/>
        </w:tabs>
        <w:numPr>
          <w:ilvl w:val="1"/>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Notice of Termination of Employment &amp; Garden Leave Period</w:t>
      </w:r>
      <w:r>
        <w:rPr>
          <w:rFonts w:ascii="Times New Roman" w:cs="Times New Roman" w:eastAsia="Times New Roman" w:hAnsi="Times New Roman"/>
          <w:sz w:val="13"/>
          <w:szCs w:val="13"/>
          <w:b w:val="1"/>
          <w:bCs w:val="1"/>
          <w:color w:val="auto"/>
        </w:rPr>
        <w:t>.</w:t>
      </w:r>
    </w:p>
    <w:p>
      <w:pPr>
        <w:spacing w:after="0" w:line="147" w:lineRule="exact"/>
        <w:rPr>
          <w:rFonts w:ascii="Times New Roman" w:cs="Times New Roman" w:eastAsia="Times New Roman" w:hAnsi="Times New Roman"/>
          <w:sz w:val="13"/>
          <w:szCs w:val="13"/>
          <w:b w:val="1"/>
          <w:bCs w:val="1"/>
          <w:color w:val="auto"/>
        </w:rPr>
      </w:pPr>
    </w:p>
    <w:p>
      <w:pPr>
        <w:ind w:left="868" w:hanging="436"/>
        <w:spacing w:after="0"/>
        <w:tabs>
          <w:tab w:leader="none" w:pos="868" w:val="left"/>
        </w:tabs>
        <w:numPr>
          <w:ilvl w:val="2"/>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Required Notice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 acknowledge and agree that in the event You decide to terminate your employment with Capital One for any reason, You will provide Capital One with one hundred eighty</w:t>
      </w:r>
    </w:p>
    <w:p>
      <w:pPr>
        <w:spacing w:after="0" w:line="10" w:lineRule="exact"/>
        <w:rPr>
          <w:rFonts w:ascii="Times New Roman" w:cs="Times New Roman" w:eastAsia="Times New Roman" w:hAnsi="Times New Roman"/>
          <w:sz w:val="13"/>
          <w:szCs w:val="13"/>
          <w:b w:val="1"/>
          <w:bCs w:val="1"/>
          <w:color w:val="auto"/>
        </w:rPr>
      </w:pPr>
    </w:p>
    <w:p>
      <w:pPr>
        <w:ind w:left="328" w:hanging="328"/>
        <w:spacing w:after="0"/>
        <w:tabs>
          <w:tab w:leader="none" w:pos="328" w:val="left"/>
        </w:tabs>
        <w:numPr>
          <w:ilvl w:val="0"/>
          <w:numId w:val="2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days prior written notice of such intent to terminate Your employment with Capital One (the “Notice”)</w:t>
      </w:r>
    </w:p>
    <w:p>
      <w:pPr>
        <w:spacing w:after="0" w:line="131" w:lineRule="exact"/>
        <w:rPr>
          <w:rFonts w:ascii="Times New Roman" w:cs="Times New Roman" w:eastAsia="Times New Roman" w:hAnsi="Times New Roman"/>
          <w:sz w:val="13"/>
          <w:szCs w:val="13"/>
          <w:color w:val="auto"/>
        </w:rPr>
      </w:pPr>
    </w:p>
    <w:p>
      <w:pPr>
        <w:ind w:left="868" w:hanging="436"/>
        <w:spacing w:after="0"/>
        <w:tabs>
          <w:tab w:leader="none" w:pos="868" w:val="left"/>
        </w:tabs>
        <w:numPr>
          <w:ilvl w:val="2"/>
          <w:numId w:val="2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Garden Leave Period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 acknowledge and agree that Your employment with Capital One will continue for one hundred eighty (180) days from the date that You provide the Notice to Capital</w:t>
      </w:r>
    </w:p>
    <w:p>
      <w:pPr>
        <w:sectPr>
          <w:pgSz w:w="11900" w:h="16838" w:orient="portrait"/>
          <w:cols w:equalWidth="0" w:num="1">
            <w:col w:w="11308"/>
          </w:cols>
          <w:pgMar w:left="292" w:top="987" w:right="299" w:bottom="1440" w:gutter="0" w:footer="0" w:header="0"/>
        </w:sectPr>
      </w:pPr>
    </w:p>
    <w:bookmarkStart w:id="332" w:name="page333"/>
    <w:bookmarkEnd w:id="332"/>
    <w:p>
      <w:pPr>
        <w:jc w:val="both"/>
        <w:spacing w:after="0" w:line="247" w:lineRule="auto"/>
        <w:rPr>
          <w:sz w:val="20"/>
          <w:szCs w:val="20"/>
          <w:color w:val="auto"/>
        </w:rPr>
      </w:pPr>
      <w:r>
        <w:rPr>
          <w:rFonts w:ascii="Times New Roman" w:cs="Times New Roman" w:eastAsia="Times New Roman" w:hAnsi="Times New Roman"/>
          <w:sz w:val="13"/>
          <w:szCs w:val="13"/>
          <w:color w:val="auto"/>
        </w:rPr>
        <w:t>One, unless the one hundred eighty (180) day period is shortened, and the termination of Your employment is accelerated, in the following scenarios: (i) by mutual written agreement between You and Capital One; or (ii) by written notice from Capital One if it determines that You have engaged in material misconduct. The term “Garden Leave Period” shall mean the period of time beginning on the date that You provide the Notice to Capital One and ending either: (i) one hundred eighty (180) days after You provide the Notice, or (b) in the event the termination of Your employment is accelerated pursuant to this Paragraph, such earlier employment termination date.</w:t>
      </w:r>
    </w:p>
    <w:p>
      <w:pPr>
        <w:spacing w:after="0" w:line="121" w:lineRule="exact"/>
        <w:rPr>
          <w:sz w:val="20"/>
          <w:szCs w:val="20"/>
          <w:color w:val="auto"/>
        </w:rPr>
      </w:pPr>
    </w:p>
    <w:p>
      <w:pPr>
        <w:jc w:val="both"/>
        <w:ind w:right="20" w:firstLine="424"/>
        <w:spacing w:after="0" w:line="250" w:lineRule="auto"/>
        <w:tabs>
          <w:tab w:leader="none" w:pos="856" w:val="left"/>
        </w:tabs>
        <w:numPr>
          <w:ilvl w:val="1"/>
          <w:numId w:val="2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Compensation &amp; Benefits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During the Garden Leave Period, You will remain an employee of Capital One and will continue to receive Your base salary. In addition, and to the extent not otherwise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changed for similarly situated executives at your level, will be eligible to participate in the compensation and benefit programs applicable to a similarly situated executives at your level, including by way of example, bonus compensation, company-sponsored benefits, and vesting of equity under the applicable plans or programs, all subject to the eligibility requirements and terms and conditions of the applicable plans or programs.</w:t>
      </w:r>
    </w:p>
    <w:p>
      <w:pPr>
        <w:spacing w:after="0" w:line="261" w:lineRule="exact"/>
        <w:rPr>
          <w:rFonts w:ascii="Times New Roman" w:cs="Times New Roman" w:eastAsia="Times New Roman" w:hAnsi="Times New Roman"/>
          <w:sz w:val="13"/>
          <w:szCs w:val="13"/>
          <w:b w:val="1"/>
          <w:bCs w:val="1"/>
          <w:color w:val="auto"/>
        </w:rPr>
      </w:pPr>
    </w:p>
    <w:p>
      <w:pPr>
        <w:jc w:val="both"/>
        <w:ind w:firstLine="424"/>
        <w:spacing w:after="0" w:line="253" w:lineRule="auto"/>
        <w:tabs>
          <w:tab w:leader="none" w:pos="862" w:val="left"/>
        </w:tabs>
        <w:numPr>
          <w:ilvl w:val="1"/>
          <w:numId w:val="2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Duties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As an employee during the Garden Leave Period, You will be expected to continue to undertake such reasonable duties and responsibilities as are assigned to You by Capital One, including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duties to assist Capital One with Your transition from the company and maintaining Capital One’s business, customer relationships and goodwill. You acknowledge and agree that, during the Garden Leave Period, Capital One may, in its discretion, require that You continue to perform Your regular duties, discontinue, limit, or modify Your regular duties, limit Your access to Confidential Information and/or require that You not report to Company offices. Capital One reserves the right to put You on paid leave for all or part of Your Garden Leave Period.</w:t>
      </w:r>
    </w:p>
    <w:p>
      <w:pPr>
        <w:spacing w:after="0" w:line="107" w:lineRule="exact"/>
        <w:rPr>
          <w:rFonts w:ascii="Times New Roman" w:cs="Times New Roman" w:eastAsia="Times New Roman" w:hAnsi="Times New Roman"/>
          <w:sz w:val="13"/>
          <w:szCs w:val="13"/>
          <w:b w:val="1"/>
          <w:bCs w:val="1"/>
          <w:color w:val="auto"/>
        </w:rPr>
      </w:pPr>
    </w:p>
    <w:p>
      <w:pPr>
        <w:jc w:val="both"/>
        <w:ind w:firstLine="424"/>
        <w:spacing w:after="0" w:line="248" w:lineRule="auto"/>
        <w:tabs>
          <w:tab w:leader="none" w:pos="856" w:val="left"/>
        </w:tabs>
        <w:numPr>
          <w:ilvl w:val="1"/>
          <w:numId w:val="2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No External Employment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You acknowledge and agree that, as an employee during the Garden Leave Period, You will continue to be bound by all fiduciary duties and obligations (contractual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otherwise) owed to Capital One, and You will continue to be required to comply with Capital One’s Code of Business Conduct and Ethics (including confidentiality and conflict of interest duties), as well as all Capital One policies and procedures. You also acknowledge and agree that Your duties as an employee in the Garden Leave Period include, but are not limited to, the obligation not to, directly or indirectly, provide any services to any other employer or entity during the Garden Leave Period, nor to be employed by any other entity during the Garden Leave Period, without Capital One’s prior written consent.</w:t>
      </w:r>
    </w:p>
    <w:p>
      <w:pPr>
        <w:spacing w:after="0" w:line="120" w:lineRule="exact"/>
        <w:rPr>
          <w:rFonts w:ascii="Times New Roman" w:cs="Times New Roman" w:eastAsia="Times New Roman" w:hAnsi="Times New Roman"/>
          <w:sz w:val="13"/>
          <w:szCs w:val="13"/>
          <w:b w:val="1"/>
          <w:bCs w:val="1"/>
          <w:color w:val="auto"/>
        </w:rPr>
      </w:pPr>
    </w:p>
    <w:p>
      <w:pPr>
        <w:jc w:val="both"/>
        <w:ind w:firstLine="208"/>
        <w:spacing w:after="0" w:line="248" w:lineRule="auto"/>
        <w:tabs>
          <w:tab w:leader="none" w:pos="432" w:val="left"/>
        </w:tabs>
        <w:numPr>
          <w:ilvl w:val="0"/>
          <w:numId w:val="2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Irreparable Harm; Injunctive Relief; Attorneys’ Fees &amp; Costs</w:t>
      </w:r>
      <w:r>
        <w:rPr>
          <w:rFonts w:ascii="Times New Roman" w:cs="Times New Roman" w:eastAsia="Times New Roman" w:hAnsi="Times New Roman"/>
          <w:sz w:val="13"/>
          <w:szCs w:val="13"/>
          <w:color w:val="auto"/>
        </w:rPr>
        <w:t>. You acknowledge and agree that Your violation of any provision of this Agreement will cause immediate, substantial and irreparable harm</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to Capital One which cannot be adequately redressed by monetary damages alone. In the event of Your violation or threatened violation of any provision of this Agreement, You agree that Capital One, without limiting any other legal or equitable remedies available to it, shall be entitled to seek equitable relief, including, without limitation, temporary, preliminary and permanent injunctive relief, and specific performance, from any court or arbitrator of competent jurisdiction.</w:t>
      </w:r>
    </w:p>
    <w:p>
      <w:pPr>
        <w:spacing w:after="0" w:line="111" w:lineRule="exact"/>
        <w:rPr>
          <w:rFonts w:ascii="Times New Roman" w:cs="Times New Roman" w:eastAsia="Times New Roman" w:hAnsi="Times New Roman"/>
          <w:sz w:val="13"/>
          <w:szCs w:val="13"/>
          <w:b w:val="1"/>
          <w:bCs w:val="1"/>
          <w:color w:val="auto"/>
        </w:rPr>
      </w:pPr>
    </w:p>
    <w:p>
      <w:pPr>
        <w:jc w:val="both"/>
        <w:ind w:firstLine="208"/>
        <w:spacing w:after="0" w:line="253" w:lineRule="auto"/>
        <w:tabs>
          <w:tab w:leader="none" w:pos="432" w:val="left"/>
        </w:tabs>
        <w:numPr>
          <w:ilvl w:val="0"/>
          <w:numId w:val="25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Right to Modify Restriction; Severability</w:t>
      </w:r>
      <w:r>
        <w:rPr>
          <w:rFonts w:ascii="Times New Roman" w:cs="Times New Roman" w:eastAsia="Times New Roman" w:hAnsi="Times New Roman"/>
          <w:sz w:val="13"/>
          <w:szCs w:val="13"/>
          <w:color w:val="auto"/>
        </w:rPr>
        <w:t>. The parties agree that if at the time enforcement is sought, a court or arbitrator of competent jurisdiction adjudges any provision or portion of any provision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Agreement to be void, invalid, or unenforceable, or is found to be against public policy for any reason, including without limitation the Garden Leave Period provisions, such court or arbitrator may modify or reform such provision or portion of such provision so that it is enforceable to the fullest extent permitted by applicable law, given the fundamental intentions of these highly sophisticated parties who are represented by counsel, or if such modification or reformation is not possible or permitted under applicable law, shall sever the void, invalid or unenforceable provision or portion of such provision, and</w:t>
      </w:r>
    </w:p>
    <w:p>
      <w:pPr>
        <w:sectPr>
          <w:pgSz w:w="11900" w:h="16838" w:orient="portrait"/>
          <w:cols w:equalWidth="0" w:num="1">
            <w:col w:w="11300"/>
          </w:cols>
          <w:pgMar w:left="300" w:top="1133" w:right="29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3"/>
          <w:szCs w:val="13"/>
          <w:color w:val="auto"/>
        </w:rPr>
        <w:t>enforce the remaining provisions and portions of such provisions of the Agreement, which shall remain in full force and effect.</w:t>
      </w:r>
    </w:p>
    <w:p>
      <w:pPr>
        <w:spacing w:after="0" w:line="137" w:lineRule="exact"/>
        <w:rPr>
          <w:sz w:val="20"/>
          <w:szCs w:val="20"/>
          <w:color w:val="auto"/>
        </w:rPr>
      </w:pPr>
    </w:p>
    <w:p>
      <w:pPr>
        <w:ind w:firstLine="208"/>
        <w:spacing w:after="0" w:line="284" w:lineRule="auto"/>
        <w:tabs>
          <w:tab w:leader="none" w:pos="432" w:val="left"/>
        </w:tabs>
        <w:numPr>
          <w:ilvl w:val="0"/>
          <w:numId w:val="2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Successors and Assigns</w:t>
      </w:r>
      <w:r>
        <w:rPr>
          <w:rFonts w:ascii="Times New Roman" w:cs="Times New Roman" w:eastAsia="Times New Roman" w:hAnsi="Times New Roman"/>
          <w:sz w:val="13"/>
          <w:szCs w:val="13"/>
          <w:color w:val="auto"/>
        </w:rPr>
        <w:t>. The rights and obligations under this Agreement are personal to You and cannot be assigned to any party. This Agreement and all promises made herein shall survive the execution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this Agreement and shall be binding upon and inure to the benefit of Capital One’s successors and assigns without further consent or action.</w:t>
      </w:r>
    </w:p>
    <w:p>
      <w:pPr>
        <w:spacing w:after="0" w:line="87" w:lineRule="exact"/>
        <w:rPr>
          <w:rFonts w:ascii="Times New Roman" w:cs="Times New Roman" w:eastAsia="Times New Roman" w:hAnsi="Times New Roman"/>
          <w:sz w:val="13"/>
          <w:szCs w:val="13"/>
          <w:b w:val="1"/>
          <w:bCs w:val="1"/>
          <w:color w:val="auto"/>
        </w:rPr>
      </w:pPr>
    </w:p>
    <w:p>
      <w:pPr>
        <w:jc w:val="both"/>
        <w:ind w:firstLine="208"/>
        <w:spacing w:after="0" w:line="253" w:lineRule="auto"/>
        <w:tabs>
          <w:tab w:leader="none" w:pos="432" w:val="left"/>
        </w:tabs>
        <w:numPr>
          <w:ilvl w:val="0"/>
          <w:numId w:val="2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Choice of Law; Venue</w:t>
      </w:r>
      <w:r>
        <w:rPr>
          <w:rFonts w:ascii="Times New Roman" w:cs="Times New Roman" w:eastAsia="Times New Roman" w:hAnsi="Times New Roman"/>
          <w:sz w:val="13"/>
          <w:szCs w:val="13"/>
          <w:color w:val="auto"/>
        </w:rPr>
        <w:t>. This Agreement shall be governed by and construed in accordance with the laws of the State of Delaware, the state of incorporation of Capital One Financial Corporation, without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regard to principles of conflict of laws. Capital One and You hereby consent and submit to the personal jurisdiction and venue of any state or federal court located within the State of Delaware as a non-exclusive forum for resolution of claims, causes of action or disputes arising out of or related to this Agreement. With respect to any action seeking preliminary injunctive relief on account of the violation or threatened violation of this Agreement by You, Capital One shall be entitled to seek such relief from any court of competent jurisdiction, wherever located.</w:t>
      </w:r>
    </w:p>
    <w:p>
      <w:pPr>
        <w:spacing w:after="0" w:line="107" w:lineRule="exact"/>
        <w:rPr>
          <w:rFonts w:ascii="Times New Roman" w:cs="Times New Roman" w:eastAsia="Times New Roman" w:hAnsi="Times New Roman"/>
          <w:sz w:val="13"/>
          <w:szCs w:val="13"/>
          <w:b w:val="1"/>
          <w:bCs w:val="1"/>
          <w:color w:val="auto"/>
        </w:rPr>
      </w:pPr>
    </w:p>
    <w:p>
      <w:pPr>
        <w:jc w:val="both"/>
        <w:ind w:firstLine="208"/>
        <w:spacing w:after="0" w:line="248" w:lineRule="auto"/>
        <w:tabs>
          <w:tab w:leader="none" w:pos="432" w:val="left"/>
        </w:tabs>
        <w:numPr>
          <w:ilvl w:val="0"/>
          <w:numId w:val="2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Entire Agreement; Integration</w:t>
      </w:r>
      <w:r>
        <w:rPr>
          <w:rFonts w:ascii="Times New Roman" w:cs="Times New Roman" w:eastAsia="Times New Roman" w:hAnsi="Times New Roman"/>
          <w:sz w:val="13"/>
          <w:szCs w:val="13"/>
          <w:color w:val="auto"/>
        </w:rPr>
        <w:t>. This Agreement constitutes the entire agreement and understanding between You and Capital One with respect to the subject matter of this Agreement, and supersedes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prior agreements, arrangements, and understandings, whether oral or written, with respect to such subject matter between Capital One and You. This Agreement does not supersede, but rather supplements, any written policies of Capital One generally applicable to employees of Capital One respecting the treatment of Confidential Information and work product, as well as any other agreements as to Confidential Information, intellectual property, work product or no hire/non-solicitation of employees, and any Change of Control agreement or other severance plan, arrangement or agreement applicable to You. This Agreement may be modified only by a writing signed by the party to be bound.</w:t>
      </w:r>
    </w:p>
    <w:p>
      <w:pPr>
        <w:spacing w:after="0" w:line="109" w:lineRule="exact"/>
        <w:rPr>
          <w:rFonts w:ascii="Times New Roman" w:cs="Times New Roman" w:eastAsia="Times New Roman" w:hAnsi="Times New Roman"/>
          <w:sz w:val="13"/>
          <w:szCs w:val="13"/>
          <w:b w:val="1"/>
          <w:bCs w:val="1"/>
          <w:color w:val="auto"/>
        </w:rPr>
      </w:pPr>
    </w:p>
    <w:p>
      <w:pPr>
        <w:jc w:val="both"/>
        <w:ind w:firstLine="208"/>
        <w:spacing w:after="0" w:line="248" w:lineRule="auto"/>
        <w:tabs>
          <w:tab w:leader="none" w:pos="432" w:val="left"/>
        </w:tabs>
        <w:numPr>
          <w:ilvl w:val="0"/>
          <w:numId w:val="25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Notices</w:t>
      </w:r>
      <w:r>
        <w:rPr>
          <w:rFonts w:ascii="Times New Roman" w:cs="Times New Roman" w:eastAsia="Times New Roman" w:hAnsi="Times New Roman"/>
          <w:sz w:val="13"/>
          <w:szCs w:val="13"/>
          <w:color w:val="auto"/>
        </w:rPr>
        <w:t>. All requests, notices and other communications required or permitted to be given under this Agreement shall be in writing. Delivery thereof shall be deemed to have been made when such notice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have been either (i) duly mailed by first-class mail, postage prepaid, return receipt requested, or any comparable or superior postal or air courier service then in effect, or (ii) transmitted by hand delivery or facsimile transmission, to the party entitled to receive the same at the address indicated below or at such other address as such party shall have specified by written notice to the other party hereto given in accordance herewith or, if You are still employed by Capital One, at Your office address or electronic mail address at Capital One:</w:t>
      </w:r>
    </w:p>
    <w:p>
      <w:pPr>
        <w:spacing w:after="0" w:line="1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If to You: To the most recent address on record with Capital One.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If to Capital One:</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Non-Competition Program Administrator</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Capital One Financial Corporation</w:t>
      </w:r>
    </w:p>
    <w:p>
      <w:pPr>
        <w:ind w:left="1280"/>
        <w:spacing w:after="0"/>
        <w:rPr>
          <w:sz w:val="20"/>
          <w:szCs w:val="20"/>
          <w:color w:val="auto"/>
        </w:rPr>
      </w:pPr>
      <w:r>
        <w:rPr>
          <w:rFonts w:ascii="Times New Roman" w:cs="Times New Roman" w:eastAsia="Times New Roman" w:hAnsi="Times New Roman"/>
          <w:sz w:val="13"/>
          <w:szCs w:val="13"/>
          <w:color w:val="auto"/>
        </w:rPr>
        <w:t>15000 Capital One Drive</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3"/>
          <w:szCs w:val="13"/>
          <w:color w:val="auto"/>
        </w:rPr>
        <w:t>Richmond, Virginia 23238</w:t>
      </w:r>
    </w:p>
    <w:p>
      <w:pPr>
        <w:spacing w:after="0" w:line="123" w:lineRule="exact"/>
        <w:rPr>
          <w:sz w:val="20"/>
          <w:szCs w:val="20"/>
          <w:color w:val="auto"/>
        </w:rPr>
      </w:pPr>
    </w:p>
    <w:p>
      <w:pPr>
        <w:ind w:left="420" w:hanging="212"/>
        <w:spacing w:after="0"/>
        <w:tabs>
          <w:tab w:leader="none" w:pos="420" w:val="left"/>
        </w:tabs>
        <w:numPr>
          <w:ilvl w:val="0"/>
          <w:numId w:val="2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Headings</w:t>
      </w:r>
      <w:r>
        <w:rPr>
          <w:rFonts w:ascii="Times New Roman" w:cs="Times New Roman" w:eastAsia="Times New Roman" w:hAnsi="Times New Roman"/>
          <w:sz w:val="13"/>
          <w:szCs w:val="13"/>
          <w:color w:val="auto"/>
        </w:rPr>
        <w:t>. The headings in this Agreement are included for convenience only and shall not constitute a part of the Agreement nor shall they affect its meaning, construction or effect.</w:t>
      </w:r>
    </w:p>
    <w:p>
      <w:pPr>
        <w:spacing w:after="0" w:line="147" w:lineRule="exact"/>
        <w:rPr>
          <w:rFonts w:ascii="Times New Roman" w:cs="Times New Roman" w:eastAsia="Times New Roman" w:hAnsi="Times New Roman"/>
          <w:sz w:val="13"/>
          <w:szCs w:val="13"/>
          <w:b w:val="1"/>
          <w:bCs w:val="1"/>
          <w:color w:val="auto"/>
        </w:rPr>
      </w:pPr>
    </w:p>
    <w:p>
      <w:pPr>
        <w:ind w:left="420" w:hanging="212"/>
        <w:spacing w:after="0"/>
        <w:tabs>
          <w:tab w:leader="none" w:pos="420" w:val="left"/>
        </w:tabs>
        <w:numPr>
          <w:ilvl w:val="0"/>
          <w:numId w:val="2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Consultation with Counsel</w:t>
      </w:r>
      <w:r>
        <w:rPr>
          <w:rFonts w:ascii="Times New Roman" w:cs="Times New Roman" w:eastAsia="Times New Roman" w:hAnsi="Times New Roman"/>
          <w:sz w:val="13"/>
          <w:szCs w:val="13"/>
          <w:color w:val="auto"/>
        </w:rPr>
        <w:t>. You are advised and encouraged to consult with independent legal counsel before executing this Agreement.</w:t>
      </w:r>
    </w:p>
    <w:p>
      <w:pPr>
        <w:sectPr>
          <w:pgSz w:w="11900" w:h="16838" w:orient="portrait"/>
          <w:cols w:equalWidth="0" w:num="1">
            <w:col w:w="11300"/>
          </w:cols>
          <w:pgMar w:left="300" w:top="1133" w:right="299" w:bottom="1440" w:gutter="0" w:footer="0" w:header="0"/>
        </w:sectPr>
      </w:pPr>
    </w:p>
    <w:bookmarkStart w:id="334" w:name="page335"/>
    <w:bookmarkEnd w:id="334"/>
    <w:p>
      <w:pPr>
        <w:ind w:left="420"/>
        <w:spacing w:after="0"/>
        <w:rPr>
          <w:sz w:val="20"/>
          <w:szCs w:val="20"/>
          <w:color w:val="auto"/>
        </w:rPr>
      </w:pPr>
      <w:r>
        <w:rPr>
          <w:rFonts w:ascii="Times New Roman" w:cs="Times New Roman" w:eastAsia="Times New Roman" w:hAnsi="Times New Roman"/>
          <w:sz w:val="13"/>
          <w:szCs w:val="13"/>
          <w:color w:val="auto"/>
        </w:rPr>
        <w:t>By providing their electronic signatures to this Agreement below, the parties represent that they have read this Agreement, understand it, and accept all of its terms:</w:t>
      </w:r>
    </w:p>
    <w:p>
      <w:pPr>
        <w:spacing w:after="0" w:line="29"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3"/>
          <w:szCs w:val="13"/>
          <w:b w:val="1"/>
          <w:bCs w:val="1"/>
          <w:color w:val="auto"/>
        </w:rPr>
        <w:t>Neal Blinde</w:t>
      </w:r>
      <w:r>
        <w:rPr>
          <w:sz w:val="20"/>
          <w:szCs w:val="20"/>
          <w:color w:val="auto"/>
        </w:rPr>
        <w:tab/>
      </w:r>
      <w:r>
        <w:rPr>
          <w:rFonts w:ascii="Times New Roman" w:cs="Times New Roman" w:eastAsia="Times New Roman" w:hAnsi="Times New Roman"/>
          <w:sz w:val="13"/>
          <w:szCs w:val="13"/>
          <w:b w:val="1"/>
          <w:bCs w:val="1"/>
          <w:color w:val="auto"/>
        </w:rPr>
        <w:t>Capital One Financial Corporation</w:t>
      </w:r>
    </w:p>
    <w:p>
      <w:pPr>
        <w:sectPr>
          <w:pgSz w:w="11900" w:h="16838" w:orient="portrait"/>
          <w:cols w:equalWidth="0" w:num="1">
            <w:col w:w="10159"/>
          </w:cols>
          <w:pgMar w:left="300" w:top="1151" w:right="1440"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Neal Blinde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5186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EC, Commercial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5186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Neal Blinde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5186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5">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Print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45186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6">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Jory Berson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757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7">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Signature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757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8">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757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9">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w:t>
      </w:r>
    </w:p>
    <w:p>
      <w:pPr>
        <w:sectPr>
          <w:pgSz w:w="11900" w:h="16838" w:orient="portrait"/>
          <w:cols w:equalWidth="0" w:num="2">
            <w:col w:w="5140" w:space="720"/>
            <w:col w:w="4299"/>
          </w:cols>
          <w:pgMar w:left="300" w:top="1151" w:right="1440" w:bottom="1440" w:gutter="0" w:footer="0" w:header="0"/>
          <w:type w:val="continuous"/>
        </w:sectPr>
      </w:pPr>
    </w:p>
    <w:bookmarkStart w:id="335" w:name="page336"/>
    <w:bookmarkEnd w:id="335"/>
    <w:p>
      <w:pPr>
        <w:jc w:val="right"/>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SUBSIDIARIES AS OF DECEMBER 31, 2022</w:t>
      </w:r>
    </w:p>
    <w:p>
      <w:pPr>
        <w:spacing w:after="0" w:line="244" w:lineRule="exact"/>
        <w:rPr>
          <w:sz w:val="20"/>
          <w:szCs w:val="20"/>
          <w:color w:val="auto"/>
        </w:rPr>
      </w:pPr>
    </w:p>
    <w:tbl>
      <w:tblPr>
        <w:tblLayout w:type="fixed"/>
        <w:tblInd w:w="2598" w:type="dxa"/>
        <w:tblCellMar>
          <w:top w:w="0" w:type="dxa"/>
          <w:left w:w="0" w:type="dxa"/>
          <w:bottom w:w="0" w:type="dxa"/>
          <w:right w:w="0" w:type="dxa"/>
        </w:tblCellMar>
      </w:tblPr>
      <w:tr>
        <w:trPr>
          <w:trHeight w:val="126"/>
        </w:trPr>
        <w:tc>
          <w:tcPr>
            <w:tcW w:w="2040" w:type="dxa"/>
            <w:vAlign w:val="bottom"/>
            <w:tcBorders>
              <w:top w:val="single" w:sz="8" w:color="auto"/>
              <w:left w:val="single" w:sz="8" w:color="auto"/>
              <w:right w:val="single" w:sz="8" w:color="auto"/>
            </w:tcBorders>
            <w:vMerge w:val="restart"/>
          </w:tcPr>
          <w:p>
            <w:pPr>
              <w:ind w:left="66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2060" w:type="dxa"/>
            <w:vAlign w:val="bottom"/>
            <w:tcBorders>
              <w:top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Jurisdiction of Incorporation or</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Parent Company</w:t>
            </w:r>
          </w:p>
        </w:tc>
        <w:tc>
          <w:tcPr>
            <w:tcW w:w="0" w:type="dxa"/>
            <w:vAlign w:val="bottom"/>
          </w:tcPr>
          <w:p>
            <w:pPr>
              <w:spacing w:after="0"/>
              <w:rPr>
                <w:sz w:val="1"/>
                <w:szCs w:val="1"/>
                <w:color w:val="auto"/>
              </w:rPr>
            </w:pPr>
          </w:p>
        </w:tc>
      </w:tr>
      <w:tr>
        <w:trPr>
          <w:trHeight w:val="162"/>
        </w:trPr>
        <w:tc>
          <w:tcPr>
            <w:tcW w:w="20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Organization</w:t>
            </w:r>
          </w:p>
        </w:tc>
        <w:tc>
          <w:tcPr>
            <w:tcW w:w="20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40" w:type="dxa"/>
            <w:vAlign w:val="bottom"/>
            <w:tcBorders>
              <w:left w:val="single" w:sz="8" w:color="auto"/>
              <w:right w:val="single" w:sz="8" w:color="auto"/>
            </w:tcBorders>
          </w:tcPr>
          <w:p>
            <w:pPr>
              <w:ind w:left="20"/>
              <w:spacing w:after="0" w:line="106" w:lineRule="exact"/>
              <w:rPr>
                <w:sz w:val="20"/>
                <w:szCs w:val="20"/>
                <w:color w:val="auto"/>
              </w:rPr>
            </w:pPr>
            <w:r>
              <w:rPr>
                <w:rFonts w:ascii="Times New Roman" w:cs="Times New Roman" w:eastAsia="Times New Roman" w:hAnsi="Times New Roman"/>
                <w:sz w:val="12"/>
                <w:szCs w:val="12"/>
                <w:color w:val="auto"/>
              </w:rPr>
              <w:t>Capital One, National Association</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United States</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Capital One Financial Corporation</w:t>
            </w:r>
          </w:p>
        </w:tc>
        <w:tc>
          <w:tcPr>
            <w:tcW w:w="0" w:type="dxa"/>
            <w:vAlign w:val="bottom"/>
          </w:tcPr>
          <w:p>
            <w:pPr>
              <w:spacing w:after="0"/>
              <w:rPr>
                <w:sz w:val="1"/>
                <w:szCs w:val="1"/>
                <w:color w:val="auto"/>
              </w:rPr>
            </w:pPr>
          </w:p>
        </w:tc>
      </w:tr>
      <w:tr>
        <w:trPr>
          <w:trHeight w:val="99"/>
        </w:trPr>
        <w:tc>
          <w:tcPr>
            <w:tcW w:w="20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(“CONA”)</w:t>
            </w:r>
          </w:p>
        </w:tc>
        <w:tc>
          <w:tcPr>
            <w:tcW w:w="2060" w:type="dxa"/>
            <w:vAlign w:val="bottom"/>
            <w:tcBorders>
              <w:right w:val="single" w:sz="8" w:color="auto"/>
            </w:tcBorders>
            <w:vMerge w:val="continue"/>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2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w:t>
      </w:r>
    </w:p>
    <w:p>
      <w:pPr>
        <w:spacing w:after="0" w:line="44" w:lineRule="exact"/>
        <w:rPr>
          <w:sz w:val="20"/>
          <w:szCs w:val="20"/>
          <w:color w:val="auto"/>
        </w:rPr>
      </w:pPr>
    </w:p>
    <w:p>
      <w:pPr>
        <w:ind w:left="168" w:hanging="168"/>
        <w:spacing w:after="0"/>
        <w:tabs>
          <w:tab w:leader="none" w:pos="168" w:val="left"/>
        </w:tabs>
        <w:numPr>
          <w:ilvl w:val="0"/>
          <w:numId w:val="2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Direct subsidiaries of Capital One Financial Corporation other than CONA are not listed above because, in the aggregate, they would not constitute a significant subsidiary.</w:t>
      </w:r>
    </w:p>
    <w:p>
      <w:pPr>
        <w:sectPr>
          <w:pgSz w:w="11900" w:h="16838" w:orient="portrait"/>
          <w:cols w:equalWidth="0" w:num="1">
            <w:col w:w="11308"/>
          </w:cols>
          <w:pgMar w:left="292" w:top="638" w:right="29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2"/>
          <w:szCs w:val="12"/>
          <w:b w:val="1"/>
          <w:bCs w:val="1"/>
          <w:color w:val="auto"/>
        </w:rPr>
        <w:t>Exhibit 23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consent to the incorporation by reference in the following Registration Statements, as listed below, of Capital One Financial Corporation and in the related Prospectus, where applicable, of our reports dated February 24, 2023, with respect to the consolidated financial statements of Capital One Financial Corporation and the effectiveness of internal control over financial reporting of Capital One Financial Corporation, included in this Annual Report (Form 10-K) of Capital One Financial Corporation for the year ended December 31, 2022.</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Registration Statement Number</w:t>
            </w: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Form</w:t>
            </w:r>
          </w:p>
        </w:tc>
        <w:tc>
          <w:tcPr>
            <w:tcW w:w="8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51"/>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033-99748</w:t>
            </w:r>
          </w:p>
        </w:tc>
        <w:tc>
          <w:tcPr>
            <w:tcW w:w="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S-3</w:t>
            </w:r>
          </w:p>
        </w:tc>
        <w:tc>
          <w:tcPr>
            <w:tcW w:w="80" w:type="dxa"/>
            <w:vAlign w:val="bottom"/>
            <w:tcBorders>
              <w:bottom w:val="single" w:sz="8" w:color="auto"/>
              <w:right w:val="single" w:sz="8" w:color="auto"/>
            </w:tcBorders>
          </w:tcPr>
          <w:p>
            <w:pPr>
              <w:spacing w:after="0"/>
              <w:rPr>
                <w:sz w:val="13"/>
                <w:szCs w:val="13"/>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Dividend Reinvestment and Stock Purchase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333-97125</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S-3</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Dividend Reinvestment and Stock Purchase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033-86986</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033-91790</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1995</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Non-Employee Directors 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033-97032</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Amendment to 1994 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333-42853</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- 1997 Special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333-45453</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Associate Savings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333-51637</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333-51639</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Tier 5 Special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333-57317</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- 1998 Special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333-70305</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Supplemental Special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333-78067</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333-78383</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- 1999 Performance-Based Option Program and Supplemental Special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333-78609</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1999</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333-78635</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1999</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Non-Employee Directors 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333-84693</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Supplemental Special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333-91327</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Supplemental Special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333-92345</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333-43288</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333-58628</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333-72788</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- 2001 Performance-Based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333-72820</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1999</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Non-Employee Directors 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333-72822</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333-76726</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1994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 - 2001 Performance-Based Option Program</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333-97123</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2002</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Non-Executive Officer 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333-97127</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Associate Savings Plan as Amended and Restated</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333-100488</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2002</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Associate Stock Purchase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333-117920</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2004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333-124428</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Plans of Hibernia Corporation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333-136281</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2004</w:t>
            </w:r>
          </w:p>
        </w:tc>
        <w:tc>
          <w:tcPr>
            <w:tcW w:w="7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333-133665</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Plans of North Fork Bancorporation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333-151325</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Amended and Restated Associate Stock Purchase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333-158664</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Second Amended and Restated 2004 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333-181736</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Amended and Restated 2002 Associate Stock Purchase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333-193683</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Associate Savings Plan as Amended and Restated</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333-195677</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Third Amended and Restated 2004 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333-219570</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Amended and Restated 2002 Associate Stock Purchase Plan</w:t>
            </w:r>
          </w:p>
        </w:tc>
      </w:tr>
    </w:tbl>
    <w:p>
      <w:pPr>
        <w:sectPr>
          <w:pgSz w:w="11900" w:h="16838" w:orient="portrait"/>
          <w:cols w:equalWidth="0" w:num="1">
            <w:col w:w="11300"/>
          </w:cols>
          <w:pgMar w:left="300" w:top="638" w:right="299" w:bottom="1440" w:gutter="0" w:footer="0" w:header="0"/>
        </w:sectPr>
      </w:pPr>
    </w:p>
    <w:bookmarkStart w:id="337" w:name="page338"/>
    <w:bookmarkEnd w:id="3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Registration Statement Number</w:t>
            </w: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Form</w:t>
            </w:r>
          </w:p>
        </w:tc>
        <w:tc>
          <w:tcPr>
            <w:tcW w:w="8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51"/>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333-232907</w:t>
            </w:r>
          </w:p>
        </w:tc>
        <w:tc>
          <w:tcPr>
            <w:tcW w:w="8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Associate Savings Plan as Amended and Restated</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333-254191</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S-3</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Senior Debt Securities, Subordinated Debt Securities, Preferred Stock, Depositary Shares, Common Stock, Purchase Contracts, Warrants, Units</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333-256072</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Sixth Amended and Restated 2004 Stock Incentive Plan</w:t>
            </w:r>
          </w:p>
        </w:tc>
      </w:tr>
      <w:tr>
        <w:trPr>
          <w:trHeight w:val="142"/>
        </w:trPr>
        <w:tc>
          <w:tcPr>
            <w:tcW w:w="1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333-256073</w:t>
            </w:r>
          </w:p>
        </w:tc>
        <w:tc>
          <w:tcPr>
            <w:tcW w:w="8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Form S-8</w:t>
            </w:r>
          </w:p>
        </w:tc>
        <w:tc>
          <w:tcPr>
            <w:tcW w:w="80" w:type="dxa"/>
            <w:vAlign w:val="bottom"/>
            <w:tcBorders>
              <w:bottom w:val="single" w:sz="8" w:color="auto"/>
              <w:right w:val="single" w:sz="8" w:color="auto"/>
            </w:tcBorders>
          </w:tcPr>
          <w:p>
            <w:pPr>
              <w:spacing w:after="0"/>
              <w:rPr>
                <w:sz w:val="12"/>
                <w:szCs w:val="12"/>
                <w:color w:val="auto"/>
              </w:rPr>
            </w:pPr>
          </w:p>
        </w:tc>
        <w:tc>
          <w:tcPr>
            <w:tcW w:w="8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Associate Savings Plan as Amended and Restated</w:t>
            </w: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93154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0">
                      <a:extLst>
                        <a:ext uri="{28A0092B-C50C-407E-A947-70E740481C1C}"/>
                      </a:extLst>
                    </a:blip>
                    <a:srcRect/>
                    <a:stretch>
                      <a:fillRect/>
                    </a:stretch>
                  </pic:blipFill>
                  <pic:spPr bwMode="auto">
                    <a:xfrm>
                      <a:off x="0" y="0"/>
                      <a:ext cx="931545" cy="571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Tysons, Virginia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24, 2023</w:t>
      </w:r>
    </w:p>
    <w:p>
      <w:pPr>
        <w:sectPr>
          <w:pgSz w:w="11900" w:h="16838" w:orient="portrait"/>
          <w:cols w:equalWidth="0" w:num="1">
            <w:col w:w="11260"/>
          </w:cols>
          <w:pgMar w:left="300" w:top="674" w:right="3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FOR ANNUAL REPORT ON FORM 10-K OF CAPITAL ONE FINANCIAL</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CORPORATION AND CONSOLIDATED SUBSIDIARIES</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Richard D. Fairbank, certify that:</w:t>
      </w:r>
    </w:p>
    <w:p>
      <w:pPr>
        <w:spacing w:after="0" w:line="114" w:lineRule="exact"/>
        <w:rPr>
          <w:sz w:val="20"/>
          <w:szCs w:val="20"/>
          <w:color w:val="auto"/>
        </w:rPr>
      </w:pPr>
    </w:p>
    <w:p>
      <w:pPr>
        <w:ind w:left="208" w:hanging="208"/>
        <w:spacing w:after="0"/>
        <w:tabs>
          <w:tab w:leader="none" w:pos="20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for the year ended December 31, 2022 of Capital One Financial Corporation;</w:t>
      </w:r>
    </w:p>
    <w:p>
      <w:pPr>
        <w:spacing w:after="0" w:line="114"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2"/>
          <w:szCs w:val="12"/>
          <w:color w:val="auto"/>
        </w:rPr>
      </w:pPr>
    </w:p>
    <w:p>
      <w:pPr>
        <w:ind w:left="428" w:right="20" w:hanging="212"/>
        <w:spacing w:after="0" w:line="279" w:lineRule="auto"/>
        <w:tabs>
          <w:tab w:leader="none" w:pos="426"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2"/>
          <w:szCs w:val="12"/>
          <w:color w:val="auto"/>
        </w:rPr>
      </w:pPr>
    </w:p>
    <w:p>
      <w:pPr>
        <w:ind w:left="428" w:right="20" w:hanging="212"/>
        <w:spacing w:after="0" w:line="279" w:lineRule="auto"/>
        <w:tabs>
          <w:tab w:leader="none" w:pos="424"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2"/>
          <w:szCs w:val="12"/>
          <w:color w:val="auto"/>
        </w:rPr>
      </w:pPr>
    </w:p>
    <w:p>
      <w:pPr>
        <w:ind w:left="428" w:hanging="212"/>
        <w:spacing w:after="0" w:line="279" w:lineRule="auto"/>
        <w:tabs>
          <w:tab w:leader="none" w:pos="426"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2"/>
          <w:szCs w:val="12"/>
          <w:color w:val="auto"/>
        </w:rPr>
      </w:pPr>
    </w:p>
    <w:p>
      <w:pPr>
        <w:ind w:left="428" w:hanging="212"/>
        <w:spacing w:after="0" w:line="279" w:lineRule="auto"/>
        <w:tabs>
          <w:tab w:leader="none" w:pos="424"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12"/>
          <w:szCs w:val="12"/>
          <w:color w:val="auto"/>
        </w:rPr>
      </w:pPr>
    </w:p>
    <w:p>
      <w:pPr>
        <w:ind w:left="428" w:hanging="212"/>
        <w:spacing w:after="0" w:line="279" w:lineRule="auto"/>
        <w:tabs>
          <w:tab w:leader="none" w:pos="426"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8"/>
        <w:spacing w:after="0"/>
        <w:tabs>
          <w:tab w:leader="none" w:pos="608" w:val="left"/>
          <w:tab w:leader="none" w:pos="5848" w:val="left"/>
          <w:tab w:leader="none" w:pos="6308"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February 24,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10795</wp:posOffset>
            </wp:positionV>
            <wp:extent cx="315468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1">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ind w:left="6328"/>
        <w:spacing w:after="0"/>
        <w:rPr>
          <w:sz w:val="20"/>
          <w:szCs w:val="20"/>
          <w:color w:val="auto"/>
        </w:rPr>
      </w:pPr>
      <w:r>
        <w:rPr>
          <w:rFonts w:ascii="Times New Roman" w:cs="Times New Roman" w:eastAsia="Times New Roman" w:hAnsi="Times New Roman"/>
          <w:sz w:val="12"/>
          <w:szCs w:val="12"/>
          <w:color w:val="auto"/>
        </w:rPr>
        <w:t>Richard D. Fairbank</w:t>
      </w:r>
    </w:p>
    <w:p>
      <w:pPr>
        <w:ind w:left="6328"/>
        <w:spacing w:after="0"/>
        <w:rPr>
          <w:sz w:val="20"/>
          <w:szCs w:val="20"/>
          <w:color w:val="auto"/>
        </w:rPr>
      </w:pPr>
      <w:r>
        <w:rPr>
          <w:rFonts w:ascii="Times New Roman" w:cs="Times New Roman" w:eastAsia="Times New Roman" w:hAnsi="Times New Roman"/>
          <w:sz w:val="12"/>
          <w:szCs w:val="12"/>
          <w:color w:val="auto"/>
        </w:rPr>
        <w:t>Chair and Chief Executive Officer</w:t>
      </w:r>
    </w:p>
    <w:p>
      <w:pPr>
        <w:sectPr>
          <w:pgSz w:w="11900" w:h="16838" w:orient="portrait"/>
          <w:cols w:equalWidth="0" w:num="1">
            <w:col w:w="11308"/>
          </w:cols>
          <w:pgMar w:left="292" w:top="989" w:right="29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FOR ANNUAL REPORT ON FORM 10-K OF CAPITAL ONE FINANCIAL</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CORPORATION AND CONSOLIDATED SUBSIDIARIES</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Andrew M. Young, certify that,</w:t>
      </w:r>
    </w:p>
    <w:p>
      <w:pPr>
        <w:spacing w:after="0" w:line="114" w:lineRule="exact"/>
        <w:rPr>
          <w:sz w:val="20"/>
          <w:szCs w:val="20"/>
          <w:color w:val="auto"/>
        </w:rPr>
      </w:pPr>
    </w:p>
    <w:p>
      <w:pPr>
        <w:ind w:left="208" w:hanging="208"/>
        <w:spacing w:after="0"/>
        <w:tabs>
          <w:tab w:leader="none" w:pos="208"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for the year ended December 31, 2022 of Capital One Financial Corporation;</w:t>
      </w:r>
    </w:p>
    <w:p>
      <w:pPr>
        <w:spacing w:after="0" w:line="114"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2"/>
          <w:szCs w:val="12"/>
          <w:color w:val="auto"/>
        </w:rPr>
      </w:pPr>
    </w:p>
    <w:p>
      <w:pPr>
        <w:ind w:left="428" w:right="20" w:hanging="212"/>
        <w:spacing w:after="0" w:line="279" w:lineRule="auto"/>
        <w:tabs>
          <w:tab w:leader="none" w:pos="426"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2"/>
          <w:szCs w:val="12"/>
          <w:color w:val="auto"/>
        </w:rPr>
      </w:pPr>
    </w:p>
    <w:p>
      <w:pPr>
        <w:ind w:left="428" w:right="20" w:hanging="212"/>
        <w:spacing w:after="0" w:line="279" w:lineRule="auto"/>
        <w:tabs>
          <w:tab w:leader="none" w:pos="424"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2"/>
          <w:szCs w:val="12"/>
          <w:color w:val="auto"/>
        </w:rPr>
      </w:pPr>
    </w:p>
    <w:p>
      <w:pPr>
        <w:ind w:left="428" w:hanging="212"/>
        <w:spacing w:after="0" w:line="279" w:lineRule="auto"/>
        <w:tabs>
          <w:tab w:leader="none" w:pos="426"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Times New Roman" w:cs="Times New Roman" w:eastAsia="Times New Roman" w:hAnsi="Times New Roman"/>
          <w:sz w:val="12"/>
          <w:szCs w:val="12"/>
          <w:color w:val="auto"/>
        </w:rPr>
      </w:pPr>
    </w:p>
    <w:p>
      <w:pPr>
        <w:ind w:left="428" w:hanging="212"/>
        <w:spacing w:after="0" w:line="279" w:lineRule="auto"/>
        <w:tabs>
          <w:tab w:leader="none" w:pos="424"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12"/>
          <w:szCs w:val="12"/>
          <w:color w:val="auto"/>
        </w:rPr>
      </w:pPr>
    </w:p>
    <w:p>
      <w:pPr>
        <w:ind w:left="428" w:hanging="212"/>
        <w:spacing w:after="0" w:line="279" w:lineRule="auto"/>
        <w:tabs>
          <w:tab w:leader="none" w:pos="426"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8"/>
        <w:spacing w:after="0"/>
        <w:tabs>
          <w:tab w:leader="none" w:pos="608" w:val="left"/>
          <w:tab w:leader="none" w:pos="5848" w:val="left"/>
          <w:tab w:leader="none" w:pos="6308"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February 24,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ANDREW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10795</wp:posOffset>
            </wp:positionV>
            <wp:extent cx="315468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2">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ind w:left="6328"/>
        <w:spacing w:after="0"/>
        <w:rPr>
          <w:sz w:val="20"/>
          <w:szCs w:val="20"/>
          <w:color w:val="auto"/>
        </w:rPr>
      </w:pPr>
      <w:r>
        <w:rPr>
          <w:rFonts w:ascii="Times New Roman" w:cs="Times New Roman" w:eastAsia="Times New Roman" w:hAnsi="Times New Roman"/>
          <w:sz w:val="12"/>
          <w:szCs w:val="12"/>
          <w:color w:val="auto"/>
        </w:rPr>
        <w:t>Andrew M. Young</w:t>
      </w:r>
    </w:p>
    <w:p>
      <w:pPr>
        <w:ind w:left="6328"/>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1308"/>
          </w:cols>
          <w:pgMar w:left="292" w:top="989" w:right="29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906 of the Sarbanes-Oxley Act of 2002</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(Subsections (a) and (b) of Section 1350, Chapter 63 of Title 18, United States Code)</w:t>
      </w:r>
    </w:p>
    <w:p>
      <w:pPr>
        <w:spacing w:after="0" w:line="103"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Pursuant to Section 906 of the Sarbanes-Oxley Act of 2002 (Subsections (a) and (b) of Section 1350, Chapter 63 of Title 18, United States Code), I, Richard D. Fairbank, Chairman and Chief Executive Officer of Capital One Financial Corporation (“Capital One”), a Delaware corporation , do hereby certify that:</w:t>
      </w:r>
    </w:p>
    <w:p>
      <w:pPr>
        <w:spacing w:after="0" w:line="75" w:lineRule="exact"/>
        <w:rPr>
          <w:sz w:val="20"/>
          <w:szCs w:val="20"/>
          <w:color w:val="auto"/>
        </w:rPr>
      </w:pPr>
    </w:p>
    <w:p>
      <w:pPr>
        <w:ind w:left="208" w:hanging="208"/>
        <w:spacing w:after="0"/>
        <w:tabs>
          <w:tab w:leader="none" w:pos="208" w:val="left"/>
        </w:tabs>
        <w:numPr>
          <w:ilvl w:val="0"/>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on Form 10-K for the year ended December 31, 2022 (the “Form 10-K”) of Capital One fully complies with the requirements of Section 13(a) or 15(d) of the Securities Exchange Act of 1934; and</w:t>
      </w:r>
    </w:p>
    <w:p>
      <w:pPr>
        <w:spacing w:after="0" w:line="114"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Form 10-K fairly presents, in all material respects, the financial condition and results of operations of Capital One.</w:t>
      </w:r>
    </w:p>
    <w:p>
      <w:pPr>
        <w:spacing w:after="0" w:line="204" w:lineRule="exact"/>
        <w:rPr>
          <w:sz w:val="20"/>
          <w:szCs w:val="20"/>
          <w:color w:val="auto"/>
        </w:rPr>
      </w:pPr>
    </w:p>
    <w:p>
      <w:pPr>
        <w:ind w:left="8"/>
        <w:spacing w:after="0"/>
        <w:tabs>
          <w:tab w:leader="none" w:pos="608" w:val="left"/>
          <w:tab w:leader="none" w:pos="5848" w:val="left"/>
          <w:tab w:leader="none" w:pos="6308"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February 24,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10795</wp:posOffset>
            </wp:positionV>
            <wp:extent cx="315468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3">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ind w:left="6328"/>
        <w:spacing w:after="0"/>
        <w:rPr>
          <w:sz w:val="20"/>
          <w:szCs w:val="20"/>
          <w:color w:val="auto"/>
        </w:rPr>
      </w:pPr>
      <w:r>
        <w:rPr>
          <w:rFonts w:ascii="Times New Roman" w:cs="Times New Roman" w:eastAsia="Times New Roman" w:hAnsi="Times New Roman"/>
          <w:sz w:val="12"/>
          <w:szCs w:val="12"/>
          <w:color w:val="auto"/>
        </w:rPr>
        <w:t>Richard D. Fairbank</w:t>
      </w:r>
    </w:p>
    <w:p>
      <w:pPr>
        <w:ind w:left="6328"/>
        <w:spacing w:after="0"/>
        <w:rPr>
          <w:sz w:val="20"/>
          <w:szCs w:val="20"/>
          <w:color w:val="auto"/>
        </w:rPr>
      </w:pPr>
      <w:r>
        <w:rPr>
          <w:rFonts w:ascii="Times New Roman" w:cs="Times New Roman" w:eastAsia="Times New Roman" w:hAnsi="Times New Roman"/>
          <w:sz w:val="12"/>
          <w:szCs w:val="12"/>
          <w:color w:val="auto"/>
        </w:rPr>
        <w:t>Chair and Chief Executive Officer</w:t>
      </w:r>
    </w:p>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Capital One and will be retained by Capital One and furnished to the Securities and Exchange Commission or its staff upon request.</w:t>
      </w:r>
    </w:p>
    <w:p>
      <w:pPr>
        <w:sectPr>
          <w:pgSz w:w="11900" w:h="16838" w:orient="portrait"/>
          <w:cols w:equalWidth="0" w:num="1">
            <w:col w:w="11308"/>
          </w:cols>
          <w:pgMar w:left="292" w:top="989" w:right="29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906 of the Sarbanes-Oxley Act of 2002</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(Subsections (a) and (b) of Section 1350, Chapter 63 of Title 18, United States Code)</w:t>
      </w:r>
    </w:p>
    <w:p>
      <w:pPr>
        <w:spacing w:after="0" w:line="103"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Pursuant to Section 906 of the Sarbanes-Oxley Act of 2002 (Subsections (a) and (b) of Section 1350, Chapter 63 of Title 18, United States Code), I, Andrew M. Young, Chief Financial Officer of Capital One Financial Corporation (“Capital One”), a Delaware corporation, do hereby certify that:</w:t>
      </w:r>
    </w:p>
    <w:p>
      <w:pPr>
        <w:spacing w:after="0" w:line="75" w:lineRule="exact"/>
        <w:rPr>
          <w:sz w:val="20"/>
          <w:szCs w:val="20"/>
          <w:color w:val="auto"/>
        </w:rPr>
      </w:pPr>
    </w:p>
    <w:p>
      <w:pPr>
        <w:ind w:left="208" w:hanging="208"/>
        <w:spacing w:after="0"/>
        <w:tabs>
          <w:tab w:leader="none" w:pos="20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on Form 10-K for the year ended December 31, 2022 (the “Form 10-K”) of Capital One fully complies with the requirements of Section 13(a) or 15(d) of the Securities Exchange Act of 1934; and</w:t>
      </w:r>
    </w:p>
    <w:p>
      <w:pPr>
        <w:spacing w:after="0" w:line="114"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Form 10-K fairly presents, in all material respects, the financial condition and results of operations of Capital One.</w:t>
      </w:r>
    </w:p>
    <w:p>
      <w:pPr>
        <w:spacing w:after="0" w:line="204" w:lineRule="exact"/>
        <w:rPr>
          <w:sz w:val="20"/>
          <w:szCs w:val="20"/>
          <w:color w:val="auto"/>
        </w:rPr>
      </w:pPr>
    </w:p>
    <w:p>
      <w:pPr>
        <w:ind w:left="8"/>
        <w:spacing w:after="0"/>
        <w:tabs>
          <w:tab w:leader="none" w:pos="608" w:val="left"/>
          <w:tab w:leader="none" w:pos="5848" w:val="left"/>
          <w:tab w:leader="none" w:pos="6308"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February 24, 2023</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ANDREW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10795</wp:posOffset>
            </wp:positionV>
            <wp:extent cx="315468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4">
                      <a:extLst>
                        <a:ext uri="{28A0092B-C50C-407E-A947-70E740481C1C}"/>
                      </a:extLst>
                    </a:blip>
                    <a:srcRect/>
                    <a:stretch>
                      <a:fillRect/>
                    </a:stretch>
                  </pic:blipFill>
                  <pic:spPr bwMode="auto">
                    <a:xfrm>
                      <a:off x="0" y="0"/>
                      <a:ext cx="3154680" cy="5715"/>
                    </a:xfrm>
                    <a:prstGeom prst="rect">
                      <a:avLst/>
                    </a:prstGeom>
                    <a:noFill/>
                  </pic:spPr>
                </pic:pic>
              </a:graphicData>
            </a:graphic>
          </wp:anchor>
        </w:drawing>
      </w:r>
    </w:p>
    <w:p>
      <w:pPr>
        <w:ind w:left="6328"/>
        <w:spacing w:after="0"/>
        <w:rPr>
          <w:sz w:val="20"/>
          <w:szCs w:val="20"/>
          <w:color w:val="auto"/>
        </w:rPr>
      </w:pPr>
      <w:r>
        <w:rPr>
          <w:rFonts w:ascii="Times New Roman" w:cs="Times New Roman" w:eastAsia="Times New Roman" w:hAnsi="Times New Roman"/>
          <w:sz w:val="12"/>
          <w:szCs w:val="12"/>
          <w:color w:val="auto"/>
        </w:rPr>
        <w:t>Andrew M. Young</w:t>
      </w:r>
    </w:p>
    <w:p>
      <w:pPr>
        <w:ind w:left="632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Capital One and will be retained by Capital One and furnished to the Securities and Exchange Commission or its staff upon request.</w:t>
      </w:r>
    </w:p>
    <w:sectPr>
      <w:pgSz w:w="11900" w:h="16838" w:orient="portrait"/>
      <w:cols w:equalWidth="0" w:num="1">
        <w:col w:w="11308"/>
      </w:cols>
      <w:pgMar w:left="292" w:top="98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37E80A"/>
    <w:multiLevelType w:val="hybridMultilevel"/>
    <w:lvl w:ilvl="0">
      <w:lvlJc w:val="left"/>
      <w:lvlText w:val="%1."/>
      <w:numFmt w:val="decimal"/>
      <w:start w:val="1"/>
    </w:lvl>
  </w:abstractNum>
  <w:abstractNum w:abstractNumId="1">
    <w:nsid w:val="2157F6BC"/>
    <w:multiLevelType w:val="hybridMultilevel"/>
    <w:lvl w:ilvl="0">
      <w:lvlJc w:val="left"/>
      <w:lvlText w:val="•"/>
      <w:numFmt w:val="bullet"/>
      <w:start w:val="1"/>
    </w:lvl>
  </w:abstractNum>
  <w:abstractNum w:abstractNumId="2">
    <w:nsid w:val="704E1DD5"/>
    <w:multiLevelType w:val="hybridMultilevel"/>
    <w:lvl w:ilvl="0">
      <w:lvlJc w:val="left"/>
      <w:lvlText w:val="•"/>
      <w:numFmt w:val="bullet"/>
      <w:start w:val="1"/>
    </w:lvl>
  </w:abstractNum>
  <w:abstractNum w:abstractNumId="3">
    <w:nsid w:val="57D2F10E"/>
    <w:multiLevelType w:val="hybridMultilevel"/>
    <w:lvl w:ilvl="0">
      <w:lvlJc w:val="left"/>
      <w:lvlText w:val="•"/>
      <w:numFmt w:val="bullet"/>
      <w:start w:val="1"/>
    </w:lvl>
  </w:abstractNum>
  <w:abstractNum w:abstractNumId="4">
    <w:nsid w:val="BFFAE18"/>
    <w:multiLevelType w:val="hybridMultilevel"/>
    <w:lvl w:ilvl="0">
      <w:lvlJc w:val="left"/>
      <w:lvlText w:val="•"/>
      <w:numFmt w:val="bullet"/>
      <w:start w:val="1"/>
    </w:lvl>
  </w:abstractNum>
  <w:abstractNum w:abstractNumId="5">
    <w:nsid w:val="E3E47A8"/>
    <w:multiLevelType w:val="hybridMultilevel"/>
    <w:lvl w:ilvl="0">
      <w:lvlJc w:val="left"/>
      <w:lvlText w:val="•"/>
      <w:numFmt w:val="bullet"/>
      <w:start w:val="1"/>
    </w:lvl>
  </w:abstractNum>
  <w:abstractNum w:abstractNumId="6">
    <w:nsid w:val="2E48F044"/>
    <w:multiLevelType w:val="hybridMultilevel"/>
    <w:lvl w:ilvl="0">
      <w:lvlJc w:val="left"/>
      <w:lvlText w:val="•"/>
      <w:numFmt w:val="bullet"/>
      <w:start w:val="1"/>
    </w:lvl>
  </w:abstractNum>
  <w:abstractNum w:abstractNumId="7">
    <w:nsid w:val="49D0FEAC"/>
    <w:multiLevelType w:val="hybridMultilevel"/>
    <w:lvl w:ilvl="0">
      <w:lvlJc w:val="left"/>
      <w:lvlText w:val="•"/>
      <w:numFmt w:val="bullet"/>
      <w:start w:val="1"/>
    </w:lvl>
  </w:abstractNum>
  <w:abstractNum w:abstractNumId="8">
    <w:nsid w:val="4BEE5A5B"/>
    <w:multiLevelType w:val="hybridMultilevel"/>
    <w:lvl w:ilvl="0">
      <w:lvlJc w:val="left"/>
      <w:lvlText w:val="•"/>
      <w:numFmt w:val="bullet"/>
      <w:start w:val="1"/>
    </w:lvl>
  </w:abstractNum>
  <w:abstractNum w:abstractNumId="9">
    <w:nsid w:val="5551B9F3"/>
    <w:multiLevelType w:val="hybridMultilevel"/>
    <w:lvl w:ilvl="0">
      <w:lvlJc w:val="left"/>
      <w:lvlText w:val="•"/>
      <w:numFmt w:val="bullet"/>
      <w:start w:val="1"/>
    </w:lvl>
  </w:abstractNum>
  <w:abstractNum w:abstractNumId="10">
    <w:nsid w:val="24F6AB8E"/>
    <w:multiLevelType w:val="hybridMultilevel"/>
    <w:lvl w:ilvl="0">
      <w:lvlJc w:val="left"/>
      <w:lvlText w:val="•"/>
      <w:numFmt w:val="bullet"/>
      <w:start w:val="1"/>
    </w:lvl>
  </w:abstractNum>
  <w:abstractNum w:abstractNumId="11">
    <w:nsid w:val="634C574C"/>
    <w:multiLevelType w:val="hybridMultilevel"/>
    <w:lvl w:ilvl="0">
      <w:lvlJc w:val="left"/>
      <w:lvlText w:val="•"/>
      <w:numFmt w:val="bullet"/>
      <w:start w:val="1"/>
    </w:lvl>
  </w:abstractNum>
  <w:abstractNum w:abstractNumId="12">
    <w:nsid w:val="24E99DD7"/>
    <w:multiLevelType w:val="hybridMultilevel"/>
    <w:lvl w:ilvl="0">
      <w:lvlJc w:val="left"/>
      <w:lvlText w:val="•"/>
      <w:numFmt w:val="bullet"/>
      <w:start w:val="1"/>
    </w:lvl>
  </w:abstractNum>
  <w:abstractNum w:abstractNumId="13">
    <w:nsid w:val="2A31B62D"/>
    <w:multiLevelType w:val="hybridMultilevel"/>
    <w:lvl w:ilvl="0">
      <w:lvlJc w:val="left"/>
      <w:lvlText w:val="•"/>
      <w:numFmt w:val="bullet"/>
      <w:start w:val="1"/>
    </w:lvl>
  </w:abstractNum>
  <w:abstractNum w:abstractNumId="14">
    <w:nsid w:val="1849C29B"/>
    <w:multiLevelType w:val="hybridMultilevel"/>
    <w:lvl w:ilvl="0">
      <w:lvlJc w:val="left"/>
      <w:lvlText w:val="(%1)"/>
      <w:numFmt w:val="decimal"/>
      <w:start w:val="1"/>
    </w:lvl>
  </w:abstractNum>
  <w:abstractNum w:abstractNumId="15">
    <w:nsid w:val="7DFF9D09"/>
    <w:multiLevelType w:val="hybridMultilevel"/>
    <w:lvl w:ilvl="0">
      <w:lvlJc w:val="left"/>
      <w:lvlText w:val="(%1)"/>
      <w:numFmt w:val="decimal"/>
      <w:start w:val="1"/>
    </w:lvl>
  </w:abstractNum>
  <w:abstractNum w:abstractNumId="16">
    <w:nsid w:val="754342"/>
    <w:multiLevelType w:val="hybridMultilevel"/>
    <w:lvl w:ilvl="0">
      <w:lvlJc w:val="left"/>
      <w:lvlText w:val="•"/>
      <w:numFmt w:val="bullet"/>
      <w:start w:val="1"/>
    </w:lvl>
    <w:lvl w:ilvl="1">
      <w:lvlJc w:val="left"/>
      <w:lvlText w:val="◦"/>
      <w:numFmt w:val="bullet"/>
      <w:start w:val="1"/>
    </w:lvl>
  </w:abstractNum>
  <w:abstractNum w:abstractNumId="17">
    <w:nsid w:val="69E7F3E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2A6DE806"/>
    <w:multiLevelType w:val="hybridMultilevel"/>
    <w:lvl w:ilvl="0">
      <w:lvlJc w:val="left"/>
      <w:lvlText w:val="•"/>
      <w:numFmt w:val="bullet"/>
      <w:start w:val="1"/>
    </w:lvl>
  </w:abstractNum>
  <w:abstractNum w:abstractNumId="19">
    <w:nsid w:val="1816F8C4"/>
    <w:multiLevelType w:val="hybridMultilevel"/>
    <w:lvl w:ilvl="0">
      <w:lvlJc w:val="left"/>
      <w:lvlText w:val="(%1)"/>
      <w:numFmt w:val="decimal"/>
      <w:start w:val="1"/>
    </w:lvl>
  </w:abstractNum>
  <w:abstractNum w:abstractNumId="20">
    <w:nsid w:val="37DF2233"/>
    <w:multiLevelType w:val="hybridMultilevel"/>
    <w:lvl w:ilvl="0">
      <w:lvlJc w:val="left"/>
      <w:lvlText w:val="(%1)"/>
      <w:numFmt w:val="decimal"/>
      <w:start w:val="4"/>
    </w:lvl>
  </w:abstractNum>
  <w:abstractNum w:abstractNumId="21">
    <w:nsid w:val="7AB49DAF"/>
    <w:multiLevelType w:val="hybridMultilevel"/>
    <w:lvl w:ilvl="0">
      <w:lvlJc w:val="left"/>
      <w:lvlText w:val="•"/>
      <w:numFmt w:val="bullet"/>
      <w:start w:val="1"/>
    </w:lvl>
  </w:abstractNum>
  <w:abstractNum w:abstractNumId="22">
    <w:nsid w:val="759F82CD"/>
    <w:multiLevelType w:val="hybridMultilevel"/>
    <w:lvl w:ilvl="0">
      <w:lvlJc w:val="left"/>
      <w:lvlText w:val="(%1)"/>
      <w:numFmt w:val="decimal"/>
      <w:start w:val="1"/>
    </w:lvl>
  </w:abstractNum>
  <w:abstractNum w:abstractNumId="23">
    <w:nsid w:val="61E74EA3"/>
    <w:multiLevelType w:val="hybridMultilevel"/>
    <w:lvl w:ilvl="0">
      <w:lvlJc w:val="left"/>
      <w:lvlText w:val="(%1)"/>
      <w:numFmt w:val="decimal"/>
      <w:start w:val="1"/>
    </w:lvl>
  </w:abstractNum>
  <w:abstractNum w:abstractNumId="24">
    <w:nsid w:val="597B4D84"/>
    <w:multiLevelType w:val="hybridMultilevel"/>
    <w:lvl w:ilvl="0">
      <w:lvlJc w:val="left"/>
      <w:lvlText w:val="(%1)"/>
      <w:numFmt w:val="decimal"/>
      <w:start w:val="1"/>
    </w:lvl>
  </w:abstractNum>
  <w:abstractNum w:abstractNumId="25">
    <w:nsid w:val="F819E7F"/>
    <w:multiLevelType w:val="hybridMultilevel"/>
    <w:lvl w:ilvl="0">
      <w:lvlJc w:val="left"/>
      <w:lvlText w:val="(%1)"/>
      <w:numFmt w:val="decimal"/>
      <w:start w:val="1"/>
    </w:lvl>
  </w:abstractNum>
  <w:abstractNum w:abstractNumId="26">
    <w:nsid w:val="57C7D42D"/>
    <w:multiLevelType w:val="hybridMultilevel"/>
    <w:lvl w:ilvl="0">
      <w:lvlJc w:val="left"/>
      <w:lvlText w:val="(%1)"/>
      <w:numFmt w:val="decimal"/>
      <w:start w:val="1"/>
    </w:lvl>
  </w:abstractNum>
  <w:abstractNum w:abstractNumId="27">
    <w:nsid w:val="312167AD"/>
    <w:multiLevelType w:val="hybridMultilevel"/>
    <w:lvl w:ilvl="0">
      <w:lvlJc w:val="left"/>
      <w:lvlText w:val="(%1)"/>
      <w:numFmt w:val="decimal"/>
      <w:start w:val="1"/>
    </w:lvl>
  </w:abstractNum>
  <w:abstractNum w:abstractNumId="28">
    <w:nsid w:val="631B64D4"/>
    <w:multiLevelType w:val="hybridMultilevel"/>
    <w:lvl w:ilvl="0">
      <w:lvlJc w:val="left"/>
      <w:lvlText w:val="•"/>
      <w:numFmt w:val="bullet"/>
      <w:start w:val="1"/>
    </w:lvl>
  </w:abstractNum>
  <w:abstractNum w:abstractNumId="29">
    <w:nsid w:val="78B5E776"/>
    <w:multiLevelType w:val="hybridMultilevel"/>
    <w:lvl w:ilvl="0">
      <w:lvlJc w:val="left"/>
      <w:lvlText w:val="•"/>
      <w:numFmt w:val="bullet"/>
      <w:start w:val="1"/>
    </w:lvl>
  </w:abstractNum>
  <w:abstractNum w:abstractNumId="30">
    <w:nsid w:val="75486E47"/>
    <w:multiLevelType w:val="hybridMultilevel"/>
    <w:lvl w:ilvl="0">
      <w:lvlJc w:val="left"/>
      <w:lvlText w:val="•"/>
      <w:numFmt w:val="bullet"/>
      <w:start w:val="1"/>
    </w:lvl>
  </w:abstractNum>
  <w:abstractNum w:abstractNumId="31">
    <w:nsid w:val="6E534CDE"/>
    <w:multiLevelType w:val="hybridMultilevel"/>
    <w:lvl w:ilvl="0">
      <w:lvlJc w:val="left"/>
      <w:lvlText w:val="•"/>
      <w:numFmt w:val="bullet"/>
      <w:start w:val="1"/>
    </w:lvl>
  </w:abstractNum>
  <w:abstractNum w:abstractNumId="32">
    <w:nsid w:val="1A0DDE32"/>
    <w:multiLevelType w:val="hybridMultilevel"/>
    <w:lvl w:ilvl="0">
      <w:lvlJc w:val="left"/>
      <w:lvlText w:val="(%1)"/>
      <w:numFmt w:val="decimal"/>
      <w:start w:val="1"/>
    </w:lvl>
  </w:abstractNum>
  <w:abstractNum w:abstractNumId="33">
    <w:nsid w:val="65968C1C"/>
    <w:multiLevelType w:val="hybridMultilevel"/>
    <w:lvl w:ilvl="0">
      <w:lvlJc w:val="left"/>
      <w:lvlText w:val="(%1)"/>
      <w:numFmt w:val="decimal"/>
      <w:start w:val="2"/>
    </w:lvl>
  </w:abstractNum>
  <w:abstractNum w:abstractNumId="34">
    <w:nsid w:val="46263DEC"/>
    <w:multiLevelType w:val="hybridMultilevel"/>
    <w:lvl w:ilvl="0">
      <w:lvlJc w:val="left"/>
      <w:lvlText w:val="•"/>
      <w:numFmt w:val="bullet"/>
      <w:start w:val="1"/>
    </w:lvl>
  </w:abstractNum>
  <w:abstractNum w:abstractNumId="35">
    <w:nsid w:val="260D8C4A"/>
    <w:multiLevelType w:val="hybridMultilevel"/>
    <w:lvl w:ilvl="0">
      <w:lvlJc w:val="left"/>
      <w:lvlText w:val="•"/>
      <w:numFmt w:val="bullet"/>
      <w:start w:val="1"/>
    </w:lvl>
  </w:abstractNum>
  <w:abstractNum w:abstractNumId="36">
    <w:nsid w:val="73D4D3C4"/>
    <w:multiLevelType w:val="hybridMultilevel"/>
    <w:lvl w:ilvl="0">
      <w:lvlJc w:val="left"/>
      <w:lvlText w:val="(%1)"/>
      <w:numFmt w:val="decimal"/>
      <w:start w:val="1"/>
    </w:lvl>
  </w:abstractNum>
  <w:abstractNum w:abstractNumId="37">
    <w:nsid w:val="746F2E30"/>
    <w:multiLevelType w:val="hybridMultilevel"/>
    <w:lvl w:ilvl="0">
      <w:lvlJc w:val="left"/>
      <w:lvlText w:val="•"/>
      <w:numFmt w:val="bullet"/>
      <w:start w:val="1"/>
    </w:lvl>
  </w:abstractNum>
  <w:abstractNum w:abstractNumId="38">
    <w:nsid w:val="6FDE8AF6"/>
    <w:multiLevelType w:val="hybridMultilevel"/>
    <w:lvl w:ilvl="0">
      <w:lvlJc w:val="left"/>
      <w:lvlText w:val="•"/>
      <w:numFmt w:val="bullet"/>
      <w:start w:val="1"/>
    </w:lvl>
  </w:abstractNum>
  <w:abstractNum w:abstractNumId="39">
    <w:nsid w:val="3FC32E20"/>
    <w:multiLevelType w:val="hybridMultilevel"/>
    <w:lvl w:ilvl="0">
      <w:lvlJc w:val="left"/>
      <w:lvlText w:val="•"/>
      <w:numFmt w:val="bullet"/>
      <w:start w:val="1"/>
    </w:lvl>
  </w:abstractNum>
  <w:abstractNum w:abstractNumId="40">
    <w:nsid w:val="49C0E823"/>
    <w:multiLevelType w:val="hybridMultilevel"/>
    <w:lvl w:ilvl="0">
      <w:lvlJc w:val="left"/>
      <w:lvlText w:val="•"/>
      <w:numFmt w:val="bullet"/>
      <w:start w:val="1"/>
    </w:lvl>
  </w:abstractNum>
  <w:abstractNum w:abstractNumId="41">
    <w:nsid w:val="14D53685"/>
    <w:multiLevelType w:val="hybridMultilevel"/>
    <w:lvl w:ilvl="0">
      <w:lvlJc w:val="left"/>
      <w:lvlText w:val="(%1)"/>
      <w:numFmt w:val="decimal"/>
      <w:start w:val="1"/>
    </w:lvl>
  </w:abstractNum>
  <w:abstractNum w:abstractNumId="42">
    <w:nsid w:val="230F856C"/>
    <w:multiLevelType w:val="hybridMultilevel"/>
    <w:lvl w:ilvl="0">
      <w:lvlJc w:val="left"/>
      <w:lvlText w:val="•"/>
      <w:numFmt w:val="bullet"/>
      <w:start w:val="1"/>
    </w:lvl>
  </w:abstractNum>
  <w:abstractNum w:abstractNumId="43">
    <w:nsid w:val="6EAA85FB"/>
    <w:multiLevelType w:val="hybridMultilevel"/>
    <w:lvl w:ilvl="0">
      <w:lvlJc w:val="left"/>
      <w:lvlText w:val="•"/>
      <w:numFmt w:val="bullet"/>
      <w:start w:val="1"/>
    </w:lvl>
  </w:abstractNum>
  <w:abstractNum w:abstractNumId="44">
    <w:nsid w:val="3F06ECB2"/>
    <w:multiLevelType w:val="hybridMultilevel"/>
    <w:lvl w:ilvl="0">
      <w:lvlJc w:val="left"/>
      <w:lvlText w:val="•"/>
      <w:numFmt w:val="bullet"/>
      <w:start w:val="1"/>
    </w:lvl>
  </w:abstractNum>
  <w:abstractNum w:abstractNumId="45">
    <w:nsid w:val="3B594807"/>
    <w:multiLevelType w:val="hybridMultilevel"/>
    <w:lvl w:ilvl="0">
      <w:lvlJc w:val="left"/>
      <w:lvlText w:val="•"/>
      <w:numFmt w:val="bullet"/>
      <w:start w:val="1"/>
    </w:lvl>
  </w:abstractNum>
  <w:abstractNum w:abstractNumId="46">
    <w:nsid w:val="6CAA2304"/>
    <w:multiLevelType w:val="hybridMultilevel"/>
    <w:lvl w:ilvl="0">
      <w:lvlJc w:val="left"/>
      <w:lvlText w:val="•"/>
      <w:numFmt w:val="bullet"/>
      <w:start w:val="1"/>
    </w:lvl>
  </w:abstractNum>
  <w:abstractNum w:abstractNumId="47">
    <w:nsid w:val="3F7C2FF4"/>
    <w:multiLevelType w:val="hybridMultilevel"/>
    <w:lvl w:ilvl="0">
      <w:lvlJc w:val="left"/>
      <w:lvlText w:val="(%1)"/>
      <w:numFmt w:val="decimal"/>
      <w:start w:val="1"/>
    </w:lvl>
  </w:abstractNum>
  <w:abstractNum w:abstractNumId="48">
    <w:nsid w:val="25413BEC"/>
    <w:multiLevelType w:val="hybridMultilevel"/>
    <w:lvl w:ilvl="0">
      <w:lvlJc w:val="left"/>
      <w:lvlText w:val="•"/>
      <w:numFmt w:val="bullet"/>
      <w:start w:val="1"/>
    </w:lvl>
  </w:abstractNum>
  <w:abstractNum w:abstractNumId="49">
    <w:nsid w:val="17180B0B"/>
    <w:multiLevelType w:val="hybridMultilevel"/>
    <w:lvl w:ilvl="0">
      <w:lvlJc w:val="left"/>
      <w:lvlText w:val="(%1)"/>
      <w:numFmt w:val="decimal"/>
      <w:start w:val="1"/>
    </w:lvl>
  </w:abstractNum>
  <w:abstractNum w:abstractNumId="50">
    <w:nsid w:val="579328B9"/>
    <w:multiLevelType w:val="hybridMultilevel"/>
    <w:lvl w:ilvl="0">
      <w:lvlJc w:val="left"/>
      <w:lvlText w:val="(%1)"/>
      <w:numFmt w:val="decimal"/>
      <w:start w:val="1"/>
    </w:lvl>
  </w:abstractNum>
  <w:abstractNum w:abstractNumId="51">
    <w:nsid w:val="5D205E20"/>
    <w:multiLevelType w:val="hybridMultilevel"/>
    <w:lvl w:ilvl="0">
      <w:lvlJc w:val="left"/>
      <w:lvlText w:val="•"/>
      <w:numFmt w:val="bullet"/>
      <w:start w:val="1"/>
    </w:lvl>
  </w:abstractNum>
  <w:abstractNum w:abstractNumId="52">
    <w:nsid w:val="11CCA8BA"/>
    <w:multiLevelType w:val="hybridMultilevel"/>
    <w:lvl w:ilvl="0">
      <w:lvlJc w:val="left"/>
      <w:lvlText w:val="(%1)"/>
      <w:numFmt w:val="decimal"/>
      <w:start w:val="1"/>
    </w:lvl>
  </w:abstractNum>
  <w:abstractNum w:abstractNumId="53">
    <w:nsid w:val="4D32AB86"/>
    <w:multiLevelType w:val="hybridMultilevel"/>
    <w:lvl w:ilvl="0">
      <w:lvlJc w:val="left"/>
      <w:lvlText w:val="(%1)"/>
      <w:numFmt w:val="decimal"/>
      <w:start w:val="1"/>
    </w:lvl>
  </w:abstractNum>
  <w:abstractNum w:abstractNumId="54">
    <w:nsid w:val="3F07ACC3"/>
    <w:multiLevelType w:val="hybridMultilevel"/>
    <w:lvl w:ilvl="0">
      <w:lvlJc w:val="left"/>
      <w:lvlText w:val="(%1)"/>
      <w:numFmt w:val="decimal"/>
      <w:start w:val="1"/>
    </w:lvl>
  </w:abstractNum>
  <w:abstractNum w:abstractNumId="55">
    <w:nsid w:val="6B47F63E"/>
    <w:multiLevelType w:val="hybridMultilevel"/>
    <w:lvl w:ilvl="0">
      <w:lvlJc w:val="left"/>
      <w:lvlText w:val="(%1)"/>
      <w:numFmt w:val="decimal"/>
      <w:start w:val="1"/>
    </w:lvl>
  </w:abstractNum>
  <w:abstractNum w:abstractNumId="56">
    <w:nsid w:val="5CB44A05"/>
    <w:multiLevelType w:val="hybridMultilevel"/>
    <w:lvl w:ilvl="0">
      <w:lvlJc w:val="left"/>
      <w:lvlText w:val="(%1)"/>
      <w:numFmt w:val="decimal"/>
      <w:start w:val="1"/>
    </w:lvl>
  </w:abstractNum>
  <w:abstractNum w:abstractNumId="57">
    <w:nsid w:val="16CF80F1"/>
    <w:multiLevelType w:val="hybridMultilevel"/>
    <w:lvl w:ilvl="0">
      <w:lvlJc w:val="left"/>
      <w:lvlText w:val="(%1)"/>
      <w:numFmt w:val="decimal"/>
      <w:start w:val="1"/>
    </w:lvl>
  </w:abstractNum>
  <w:abstractNum w:abstractNumId="58">
    <w:nsid w:val="1C695DEC"/>
    <w:multiLevelType w:val="hybridMultilevel"/>
    <w:lvl w:ilvl="0">
      <w:lvlJc w:val="left"/>
      <w:lvlText w:val="(%1)"/>
      <w:numFmt w:val="decimal"/>
      <w:start w:val="3"/>
    </w:lvl>
  </w:abstractNum>
  <w:abstractNum w:abstractNumId="59">
    <w:nsid w:val="3FCFAED9"/>
    <w:multiLevelType w:val="hybridMultilevel"/>
    <w:lvl w:ilvl="0">
      <w:lvlJc w:val="left"/>
      <w:lvlText w:val="(%1)"/>
      <w:numFmt w:val="decimal"/>
      <w:start w:val="1"/>
    </w:lvl>
  </w:abstractNum>
  <w:abstractNum w:abstractNumId="60">
    <w:nsid w:val="F856867"/>
    <w:multiLevelType w:val="hybridMultilevel"/>
    <w:lvl w:ilvl="0">
      <w:lvlJc w:val="left"/>
      <w:lvlText w:val="(%1)"/>
      <w:numFmt w:val="decimal"/>
      <w:start w:val="1"/>
    </w:lvl>
  </w:abstractNum>
  <w:abstractNum w:abstractNumId="61">
    <w:nsid w:val="11B1CC33"/>
    <w:multiLevelType w:val="hybridMultilevel"/>
    <w:lvl w:ilvl="0">
      <w:lvlJc w:val="left"/>
      <w:lvlText w:val="(%1)"/>
      <w:numFmt w:val="decimal"/>
      <w:start w:val="1"/>
    </w:lvl>
  </w:abstractNum>
  <w:abstractNum w:abstractNumId="62">
    <w:nsid w:val="2E22FBB7"/>
    <w:multiLevelType w:val="hybridMultilevel"/>
    <w:lvl w:ilvl="0">
      <w:lvlJc w:val="left"/>
      <w:lvlText w:val="(%1)"/>
      <w:numFmt w:val="decimal"/>
      <w:start w:val="1"/>
    </w:lvl>
  </w:abstractNum>
  <w:abstractNum w:abstractNumId="63">
    <w:nsid w:val="29934699"/>
    <w:multiLevelType w:val="hybridMultilevel"/>
    <w:lvl w:ilvl="0">
      <w:lvlJc w:val="left"/>
      <w:lvlText w:val="•"/>
      <w:numFmt w:val="bullet"/>
      <w:start w:val="1"/>
    </w:lvl>
  </w:abstractNum>
  <w:abstractNum w:abstractNumId="64">
    <w:nsid w:val="77485850"/>
    <w:multiLevelType w:val="hybridMultilevel"/>
    <w:lvl w:ilvl="0">
      <w:lvlJc w:val="left"/>
      <w:lvlText w:val="•"/>
      <w:numFmt w:val="bullet"/>
      <w:start w:val="1"/>
    </w:lvl>
  </w:abstractNum>
  <w:abstractNum w:abstractNumId="65">
    <w:nsid w:val="744939A3"/>
    <w:multiLevelType w:val="hybridMultilevel"/>
    <w:lvl w:ilvl="0">
      <w:lvlJc w:val="left"/>
      <w:lvlText w:val="(%1)"/>
      <w:numFmt w:val="decimal"/>
      <w:start w:val="1"/>
    </w:lvl>
  </w:abstractNum>
  <w:abstractNum w:abstractNumId="66">
    <w:nsid w:val="4FA0D2E3"/>
    <w:multiLevelType w:val="hybridMultilevel"/>
    <w:lvl w:ilvl="0">
      <w:lvlJc w:val="left"/>
      <w:lvlText w:val="(%1)"/>
      <w:numFmt w:val="decimal"/>
      <w:start w:val="1"/>
    </w:lvl>
  </w:abstractNum>
  <w:abstractNum w:abstractNumId="67">
    <w:nsid w:val="6B1D2C14"/>
    <w:multiLevelType w:val="hybridMultilevel"/>
    <w:lvl w:ilvl="0">
      <w:lvlJc w:val="left"/>
      <w:lvlText w:val="(%1)"/>
      <w:numFmt w:val="decimal"/>
      <w:start w:val="1"/>
    </w:lvl>
  </w:abstractNum>
  <w:abstractNum w:abstractNumId="68">
    <w:nsid w:val="68B867D3"/>
    <w:multiLevelType w:val="hybridMultilevel"/>
    <w:lvl w:ilvl="0">
      <w:lvlJc w:val="left"/>
      <w:lvlText w:val="•"/>
      <w:numFmt w:val="bullet"/>
      <w:start w:val="1"/>
    </w:lvl>
  </w:abstractNum>
  <w:abstractNum w:abstractNumId="69">
    <w:nsid w:val="3F7F5DD9"/>
    <w:multiLevelType w:val="hybridMultilevel"/>
    <w:lvl w:ilvl="0">
      <w:lvlJc w:val="left"/>
      <w:lvlText w:val="•"/>
      <w:numFmt w:val="bullet"/>
      <w:start w:val="1"/>
    </w:lvl>
  </w:abstractNum>
  <w:abstractNum w:abstractNumId="70">
    <w:nsid w:val="2AE05A34"/>
    <w:multiLevelType w:val="hybridMultilevel"/>
    <w:lvl w:ilvl="0">
      <w:lvlJc w:val="left"/>
      <w:lvlText w:val="(%1)"/>
      <w:numFmt w:val="decimal"/>
      <w:start w:val="1"/>
    </w:lvl>
  </w:abstractNum>
  <w:abstractNum w:abstractNumId="71">
    <w:nsid w:val="32794FF7"/>
    <w:multiLevelType w:val="hybridMultilevel"/>
    <w:lvl w:ilvl="0">
      <w:lvlJc w:val="left"/>
      <w:lvlText w:val="(%1)"/>
      <w:numFmt w:val="decimal"/>
      <w:start w:val="1"/>
    </w:lvl>
  </w:abstractNum>
  <w:abstractNum w:abstractNumId="72">
    <w:nsid w:val="5454945E"/>
    <w:multiLevelType w:val="hybridMultilevel"/>
    <w:lvl w:ilvl="0">
      <w:lvlJc w:val="left"/>
      <w:lvlText w:val="(%1)"/>
      <w:numFmt w:val="decimal"/>
      <w:start w:val="1"/>
    </w:lvl>
  </w:abstractNum>
  <w:abstractNum w:abstractNumId="73">
    <w:nsid w:val="4DEFDFA0"/>
    <w:multiLevelType w:val="hybridMultilevel"/>
    <w:lvl w:ilvl="0">
      <w:lvlJc w:val="left"/>
      <w:lvlText w:val="(%1)"/>
      <w:numFmt w:val="decimal"/>
      <w:start w:val="1"/>
    </w:lvl>
  </w:abstractNum>
  <w:abstractNum w:abstractNumId="74">
    <w:nsid w:val="2123D5F2"/>
    <w:multiLevelType w:val="hybridMultilevel"/>
    <w:lvl w:ilvl="0">
      <w:lvlJc w:val="left"/>
      <w:lvlText w:val="(%1)"/>
      <w:numFmt w:val="decimal"/>
      <w:start w:val="1"/>
    </w:lvl>
  </w:abstractNum>
  <w:abstractNum w:abstractNumId="75">
    <w:nsid w:val="135B8110"/>
    <w:multiLevelType w:val="hybridMultilevel"/>
    <w:lvl w:ilvl="0">
      <w:lvlJc w:val="left"/>
      <w:lvlText w:val="(%1)"/>
      <w:numFmt w:val="decimal"/>
      <w:start w:val="1"/>
    </w:lvl>
  </w:abstractNum>
  <w:abstractNum w:abstractNumId="76">
    <w:nsid w:val="94927A8"/>
    <w:multiLevelType w:val="hybridMultilevel"/>
    <w:lvl w:ilvl="0">
      <w:lvlJc w:val="left"/>
      <w:lvlText w:val="•"/>
      <w:numFmt w:val="bullet"/>
      <w:start w:val="1"/>
    </w:lvl>
  </w:abstractNum>
  <w:abstractNum w:abstractNumId="77">
    <w:nsid w:val="DCDF8F6"/>
    <w:multiLevelType w:val="hybridMultilevel"/>
    <w:lvl w:ilvl="0">
      <w:lvlJc w:val="left"/>
      <w:lvlText w:val="(%1)"/>
      <w:numFmt w:val="decimal"/>
      <w:start w:val="1"/>
    </w:lvl>
  </w:abstractNum>
  <w:abstractNum w:abstractNumId="78">
    <w:nsid w:val="52D7B105"/>
    <w:multiLevelType w:val="hybridMultilevel"/>
    <w:lvl w:ilvl="0">
      <w:lvlJc w:val="left"/>
      <w:lvlText w:val="(%1)"/>
      <w:numFmt w:val="decimal"/>
      <w:start w:val="1"/>
    </w:lvl>
  </w:abstractNum>
  <w:abstractNum w:abstractNumId="79">
    <w:nsid w:val="2E8A6394"/>
    <w:multiLevelType w:val="hybridMultilevel"/>
    <w:lvl w:ilvl="0">
      <w:lvlJc w:val="left"/>
      <w:lvlText w:val="(%1)"/>
      <w:numFmt w:val="decimal"/>
      <w:start w:val="1"/>
    </w:lvl>
  </w:abstractNum>
  <w:abstractNum w:abstractNumId="80">
    <w:nsid w:val="24E60401"/>
    <w:multiLevelType w:val="hybridMultilevel"/>
    <w:lvl w:ilvl="0">
      <w:lvlJc w:val="left"/>
      <w:lvlText w:val="(%1)"/>
      <w:numFmt w:val="decimal"/>
      <w:start w:val="1"/>
    </w:lvl>
  </w:abstractNum>
  <w:abstractNum w:abstractNumId="81">
    <w:nsid w:val="2A6AD9BE"/>
    <w:multiLevelType w:val="hybridMultilevel"/>
    <w:lvl w:ilvl="0">
      <w:lvlJc w:val="left"/>
      <w:lvlText w:val="(%1)"/>
      <w:numFmt w:val="decimal"/>
      <w:start w:val="1"/>
    </w:lvl>
  </w:abstractNum>
  <w:abstractNum w:abstractNumId="82">
    <w:nsid w:val="BAAC1B4"/>
    <w:multiLevelType w:val="hybridMultilevel"/>
    <w:lvl w:ilvl="0">
      <w:lvlJc w:val="left"/>
      <w:lvlText w:val="(%1)"/>
      <w:numFmt w:val="decimal"/>
      <w:start w:val="1"/>
    </w:lvl>
  </w:abstractNum>
  <w:abstractNum w:abstractNumId="83">
    <w:nsid w:val="36B2ACBC"/>
    <w:multiLevelType w:val="hybridMultilevel"/>
    <w:lvl w:ilvl="0">
      <w:lvlJc w:val="left"/>
      <w:lvlText w:val="(%1)"/>
      <w:numFmt w:val="decimal"/>
      <w:start w:val="1"/>
    </w:lvl>
  </w:abstractNum>
  <w:abstractNum w:abstractNumId="84">
    <w:nsid w:val="779D8544"/>
    <w:multiLevelType w:val="hybridMultilevel"/>
    <w:lvl w:ilvl="0">
      <w:lvlJc w:val="left"/>
      <w:lvlText w:val="(%1)"/>
      <w:numFmt w:val="decimal"/>
      <w:start w:val="1"/>
    </w:lvl>
  </w:abstractNum>
  <w:abstractNum w:abstractNumId="85">
    <w:nsid w:val="4AB26E78"/>
    <w:multiLevelType w:val="hybridMultilevel"/>
    <w:lvl w:ilvl="0">
      <w:lvlJc w:val="left"/>
      <w:lvlText w:val="•"/>
      <w:numFmt w:val="bullet"/>
      <w:start w:val="1"/>
    </w:lvl>
  </w:abstractNum>
  <w:abstractNum w:abstractNumId="86">
    <w:nsid w:val="21FAA2FA"/>
    <w:multiLevelType w:val="hybridMultilevel"/>
    <w:lvl w:ilvl="0">
      <w:lvlJc w:val="left"/>
      <w:lvlText w:val="•"/>
      <w:numFmt w:val="bullet"/>
      <w:start w:val="1"/>
    </w:lvl>
  </w:abstractNum>
  <w:abstractNum w:abstractNumId="87">
    <w:nsid w:val="5451CF49"/>
    <w:multiLevelType w:val="hybridMultilevel"/>
    <w:lvl w:ilvl="0">
      <w:lvlJc w:val="left"/>
      <w:lvlText w:val="(%1)"/>
      <w:numFmt w:val="decimal"/>
      <w:start w:val="1"/>
    </w:lvl>
  </w:abstractNum>
  <w:abstractNum w:abstractNumId="88">
    <w:nsid w:val="6181EF69"/>
    <w:multiLevelType w:val="hybridMultilevel"/>
    <w:lvl w:ilvl="0">
      <w:lvlJc w:val="left"/>
      <w:lvlText w:val="(%1)"/>
      <w:numFmt w:val="decimal"/>
      <w:start w:val="3"/>
    </w:lvl>
  </w:abstractNum>
  <w:abstractNum w:abstractNumId="89">
    <w:nsid w:val="3E6400E6"/>
    <w:multiLevelType w:val="hybridMultilevel"/>
    <w:lvl w:ilvl="0">
      <w:lvlJc w:val="left"/>
      <w:lvlText w:val="(%1)"/>
      <w:numFmt w:val="decimal"/>
      <w:start w:val="1"/>
    </w:lvl>
  </w:abstractNum>
  <w:abstractNum w:abstractNumId="90">
    <w:nsid w:val="14217E23"/>
    <w:multiLevelType w:val="hybridMultilevel"/>
    <w:lvl w:ilvl="0">
      <w:lvlJc w:val="left"/>
      <w:lvlText w:val="(%1)"/>
      <w:numFmt w:val="decimal"/>
      <w:start w:val="1"/>
    </w:lvl>
  </w:abstractNum>
  <w:abstractNum w:abstractNumId="91">
    <w:nsid w:val="710757D0"/>
    <w:multiLevelType w:val="hybridMultilevel"/>
    <w:lvl w:ilvl="0">
      <w:lvlJc w:val="left"/>
      <w:lvlText w:val="(%1)"/>
      <w:numFmt w:val="decimal"/>
      <w:start w:val="1"/>
    </w:lvl>
  </w:abstractNum>
  <w:abstractNum w:abstractNumId="92">
    <w:nsid w:val="5015CD1A"/>
    <w:multiLevelType w:val="hybridMultilevel"/>
    <w:lvl w:ilvl="0">
      <w:lvlJc w:val="left"/>
      <w:lvlText w:val="(%1)"/>
      <w:numFmt w:val="decimal"/>
      <w:start w:val="1"/>
    </w:lvl>
  </w:abstractNum>
  <w:abstractNum w:abstractNumId="93">
    <w:nsid w:val="424479DA"/>
    <w:multiLevelType w:val="hybridMultilevel"/>
    <w:lvl w:ilvl="0">
      <w:lvlJc w:val="left"/>
      <w:lvlText w:val="(%1)"/>
      <w:numFmt w:val="decimal"/>
      <w:start w:val="1"/>
    </w:lvl>
  </w:abstractNum>
  <w:abstractNum w:abstractNumId="94">
    <w:nsid w:val="1A9A9E69"/>
    <w:multiLevelType w:val="hybridMultilevel"/>
    <w:lvl w:ilvl="0">
      <w:lvlJc w:val="left"/>
      <w:lvlText w:val="(%1)"/>
      <w:numFmt w:val="decimal"/>
      <w:start w:val="1"/>
    </w:lvl>
  </w:abstractNum>
  <w:abstractNum w:abstractNumId="95">
    <w:nsid w:val="475E256A"/>
    <w:multiLevelType w:val="hybridMultilevel"/>
    <w:lvl w:ilvl="0">
      <w:lvlJc w:val="left"/>
      <w:lvlText w:val="(%1)"/>
      <w:numFmt w:val="decimal"/>
      <w:start w:val="1"/>
    </w:lvl>
  </w:abstractNum>
  <w:abstractNum w:abstractNumId="96">
    <w:nsid w:val="368DB37E"/>
    <w:multiLevelType w:val="hybridMultilevel"/>
    <w:lvl w:ilvl="0">
      <w:lvlJc w:val="left"/>
      <w:lvlText w:val="(%1)"/>
      <w:numFmt w:val="decimal"/>
      <w:start w:val="1"/>
    </w:lvl>
  </w:abstractNum>
  <w:abstractNum w:abstractNumId="97">
    <w:nsid w:val="6A3B714C"/>
    <w:multiLevelType w:val="hybridMultilevel"/>
    <w:lvl w:ilvl="0">
      <w:lvlJc w:val="left"/>
      <w:lvlText w:val="(%1)"/>
      <w:numFmt w:val="decimal"/>
      <w:start w:val="1"/>
    </w:lvl>
  </w:abstractNum>
  <w:abstractNum w:abstractNumId="98">
    <w:nsid w:val="327B517E"/>
    <w:multiLevelType w:val="hybridMultilevel"/>
    <w:lvl w:ilvl="0">
      <w:lvlJc w:val="left"/>
      <w:lvlText w:val="(%1)"/>
      <w:numFmt w:val="decimal"/>
      <w:start w:val="1"/>
    </w:lvl>
  </w:abstractNum>
  <w:abstractNum w:abstractNumId="99">
    <w:nsid w:val="1F461B51"/>
    <w:multiLevelType w:val="hybridMultilevel"/>
    <w:lvl w:ilvl="0">
      <w:lvlJc w:val="left"/>
      <w:lvlText w:val="(%1)"/>
      <w:numFmt w:val="decimal"/>
      <w:start w:val="1"/>
    </w:lvl>
  </w:abstractNum>
  <w:abstractNum w:abstractNumId="100">
    <w:nsid w:val="29BACF25"/>
    <w:multiLevelType w:val="hybridMultilevel"/>
    <w:lvl w:ilvl="0">
      <w:lvlJc w:val="left"/>
      <w:lvlText w:val="(%1)"/>
      <w:numFmt w:val="decimal"/>
      <w:start w:val="1"/>
    </w:lvl>
  </w:abstractNum>
  <w:abstractNum w:abstractNumId="101">
    <w:nsid w:val="5D5BABB3"/>
    <w:multiLevelType w:val="hybridMultilevel"/>
    <w:lvl w:ilvl="0">
      <w:lvlJc w:val="left"/>
      <w:lvlText w:val="(%1)"/>
      <w:numFmt w:val="decimal"/>
      <w:start w:val="1"/>
    </w:lvl>
  </w:abstractNum>
  <w:abstractNum w:abstractNumId="102">
    <w:nsid w:val="51BF6B48"/>
    <w:multiLevelType w:val="hybridMultilevel"/>
    <w:lvl w:ilvl="0">
      <w:lvlJc w:val="left"/>
      <w:lvlText w:val="(%1)"/>
      <w:numFmt w:val="decimal"/>
      <w:start w:val="1"/>
    </w:lvl>
  </w:abstractNum>
  <w:abstractNum w:abstractNumId="103">
    <w:nsid w:val="7E0F6384"/>
    <w:multiLevelType w:val="hybridMultilevel"/>
    <w:lvl w:ilvl="0">
      <w:lvlJc w:val="left"/>
      <w:lvlText w:val="(%1)"/>
      <w:numFmt w:val="decimal"/>
      <w:start w:val="1"/>
    </w:lvl>
  </w:abstractNum>
  <w:abstractNum w:abstractNumId="104">
    <w:nsid w:val="2B4B8B53"/>
    <w:multiLevelType w:val="hybridMultilevel"/>
    <w:lvl w:ilvl="0">
      <w:lvlJc w:val="left"/>
      <w:lvlText w:val="•"/>
      <w:numFmt w:val="bullet"/>
      <w:start w:val="1"/>
    </w:lvl>
  </w:abstractNum>
  <w:abstractNum w:abstractNumId="105">
    <w:nsid w:val="72E3413A"/>
    <w:multiLevelType w:val="hybridMultilevel"/>
    <w:lvl w:ilvl="0">
      <w:lvlJc w:val="left"/>
      <w:lvlText w:val="•"/>
      <w:numFmt w:val="bullet"/>
      <w:start w:val="1"/>
    </w:lvl>
  </w:abstractNum>
  <w:abstractNum w:abstractNumId="106">
    <w:nsid w:val="116AE494"/>
    <w:multiLevelType w:val="hybridMultilevel"/>
    <w:lvl w:ilvl="0">
      <w:lvlJc w:val="left"/>
      <w:lvlText w:val="•"/>
      <w:numFmt w:val="bullet"/>
      <w:start w:val="1"/>
    </w:lvl>
  </w:abstractNum>
  <w:abstractNum w:abstractNumId="107">
    <w:nsid w:val="3494B2FB"/>
    <w:multiLevelType w:val="hybridMultilevel"/>
    <w:lvl w:ilvl="0">
      <w:lvlJc w:val="left"/>
      <w:lvlText w:val="(%1)"/>
      <w:numFmt w:val="decimal"/>
      <w:start w:val="1"/>
    </w:lvl>
  </w:abstractNum>
  <w:abstractNum w:abstractNumId="108">
    <w:nsid w:val="B13A31"/>
    <w:multiLevelType w:val="hybridMultilevel"/>
    <w:lvl w:ilvl="0">
      <w:lvlJc w:val="left"/>
      <w:lvlText w:val="(%1)"/>
      <w:numFmt w:val="decimal"/>
      <w:start w:val="1"/>
    </w:lvl>
  </w:abstractNum>
  <w:abstractNum w:abstractNumId="109">
    <w:nsid w:val="64429599"/>
    <w:multiLevelType w:val="hybridMultilevel"/>
    <w:lvl w:ilvl="0">
      <w:lvlJc w:val="left"/>
      <w:lvlText w:val="(%1)"/>
      <w:numFmt w:val="decimal"/>
      <w:start w:val="1"/>
    </w:lvl>
  </w:abstractNum>
  <w:abstractNum w:abstractNumId="110">
    <w:nsid w:val="631F1690"/>
    <w:multiLevelType w:val="hybridMultilevel"/>
    <w:lvl w:ilvl="0">
      <w:lvlJc w:val="left"/>
      <w:lvlText w:val="(%1)"/>
      <w:numFmt w:val="decimal"/>
      <w:start w:val="1"/>
    </w:lvl>
  </w:abstractNum>
  <w:abstractNum w:abstractNumId="111">
    <w:nsid w:val="25973E32"/>
    <w:multiLevelType w:val="hybridMultilevel"/>
    <w:lvl w:ilvl="0">
      <w:lvlJc w:val="left"/>
      <w:lvlText w:val="+"/>
      <w:numFmt w:val="bullet"/>
      <w:start w:val="1"/>
    </w:lvl>
    <w:lvl w:ilvl="1">
      <w:lvlJc w:val="left"/>
      <w:lvlText w:val="%2"/>
      <w:numFmt w:val="decimal"/>
      <w:start w:val="104"/>
    </w:lvl>
  </w:abstractNum>
  <w:abstractNum w:abstractNumId="112">
    <w:nsid w:val="EAD6F57"/>
    <w:multiLevelType w:val="hybridMultilevel"/>
    <w:lvl w:ilvl="0">
      <w:lvlJc w:val="left"/>
      <w:lvlText w:val="*"/>
      <w:numFmt w:val="bullet"/>
      <w:start w:val="1"/>
    </w:lvl>
  </w:abstractNum>
  <w:abstractNum w:abstractNumId="113">
    <w:nsid w:val="6EC9D844"/>
    <w:multiLevelType w:val="hybridMultilevel"/>
    <w:lvl w:ilvl="0">
      <w:lvlJc w:val="left"/>
      <w:lvlText w:val="**"/>
      <w:numFmt w:val="bullet"/>
      <w:start w:val="1"/>
    </w:lvl>
  </w:abstractNum>
  <w:abstractNum w:abstractNumId="114">
    <w:nsid w:val="5C49EAEE"/>
    <w:multiLevelType w:val="hybridMultilevel"/>
    <w:lvl w:ilvl="0">
      <w:lvlJc w:val="left"/>
      <w:lvlText w:val="•"/>
      <w:numFmt w:val="bullet"/>
      <w:start w:val="1"/>
    </w:lvl>
  </w:abstractNum>
  <w:abstractNum w:abstractNumId="115">
    <w:nsid w:val="64AF49B"/>
    <w:multiLevelType w:val="hybridMultilevel"/>
    <w:lvl w:ilvl="0">
      <w:lvlJc w:val="left"/>
      <w:lvlText w:val="•"/>
      <w:numFmt w:val="bullet"/>
      <w:start w:val="1"/>
    </w:lvl>
  </w:abstractNum>
  <w:abstractNum w:abstractNumId="116">
    <w:nsid w:val="397C46BC"/>
    <w:multiLevelType w:val="hybridMultilevel"/>
    <w:lvl w:ilvl="0">
      <w:lvlJc w:val="left"/>
      <w:lvlText w:val="•"/>
      <w:numFmt w:val="bullet"/>
      <w:start w:val="1"/>
    </w:lvl>
  </w:abstractNum>
  <w:abstractNum w:abstractNumId="117">
    <w:nsid w:val="7E448DE9"/>
    <w:multiLevelType w:val="hybridMultilevel"/>
    <w:lvl w:ilvl="0">
      <w:lvlJc w:val="left"/>
      <w:lvlText w:val="•"/>
      <w:numFmt w:val="bullet"/>
      <w:start w:val="1"/>
    </w:lvl>
  </w:abstractNum>
  <w:abstractNum w:abstractNumId="118">
    <w:nsid w:val="5A9CC3E5"/>
    <w:multiLevelType w:val="hybridMultilevel"/>
    <w:lvl w:ilvl="0">
      <w:lvlJc w:val="left"/>
      <w:lvlText w:val="•"/>
      <w:numFmt w:val="bullet"/>
      <w:start w:val="1"/>
    </w:lvl>
  </w:abstractNum>
  <w:abstractNum w:abstractNumId="119">
    <w:nsid w:val="1AFE3625"/>
    <w:multiLevelType w:val="hybridMultilevel"/>
    <w:lvl w:ilvl="0">
      <w:lvlJc w:val="left"/>
      <w:lvlText w:val="•"/>
      <w:numFmt w:val="bullet"/>
      <w:start w:val="1"/>
    </w:lvl>
  </w:abstractNum>
  <w:abstractNum w:abstractNumId="120">
    <w:nsid w:val="3CA88ECF"/>
    <w:multiLevelType w:val="hybridMultilevel"/>
    <w:lvl w:ilvl="0">
      <w:lvlJc w:val="left"/>
      <w:lvlText w:val="%1)"/>
      <w:numFmt w:val="lowerLetter"/>
      <w:start w:val="1"/>
    </w:lvl>
  </w:abstractNum>
  <w:abstractNum w:abstractNumId="121">
    <w:nsid w:val="6EBE4208"/>
    <w:multiLevelType w:val="hybridMultilevel"/>
    <w:lvl w:ilvl="0">
      <w:lvlJc w:val="left"/>
      <w:lvlText w:val="•"/>
      <w:numFmt w:val="bullet"/>
      <w:start w:val="1"/>
    </w:lvl>
  </w:abstractNum>
  <w:abstractNum w:abstractNumId="122">
    <w:nsid w:val="C058DF5"/>
    <w:multiLevelType w:val="hybridMultilevel"/>
    <w:lvl w:ilvl="0">
      <w:lvlJc w:val="left"/>
      <w:lvlText w:val="•"/>
      <w:numFmt w:val="bullet"/>
      <w:start w:val="1"/>
    </w:lvl>
  </w:abstractNum>
  <w:abstractNum w:abstractNumId="123">
    <w:nsid w:val="CBE5BE9"/>
    <w:multiLevelType w:val="hybridMultilevel"/>
    <w:lvl w:ilvl="0">
      <w:lvlJc w:val="left"/>
      <w:lvlText w:val="•"/>
      <w:numFmt w:val="bullet"/>
      <w:start w:val="1"/>
    </w:lvl>
  </w:abstractNum>
  <w:abstractNum w:abstractNumId="124">
    <w:nsid w:val="3102BBE2"/>
    <w:multiLevelType w:val="hybridMultilevel"/>
    <w:lvl w:ilvl="0">
      <w:lvlJc w:val="left"/>
      <w:lvlText w:val="•"/>
      <w:numFmt w:val="bullet"/>
      <w:start w:val="1"/>
    </w:lvl>
  </w:abstractNum>
  <w:abstractNum w:abstractNumId="125">
    <w:nsid w:val="26A02C5E"/>
    <w:multiLevelType w:val="hybridMultilevel"/>
    <w:lvl w:ilvl="0">
      <w:lvlJc w:val="left"/>
      <w:lvlText w:val="•"/>
      <w:numFmt w:val="bullet"/>
      <w:start w:val="1"/>
    </w:lvl>
  </w:abstractNum>
  <w:abstractNum w:abstractNumId="126">
    <w:nsid w:val="541C8153"/>
    <w:multiLevelType w:val="hybridMultilevel"/>
    <w:lvl w:ilvl="0">
      <w:lvlJc w:val="left"/>
      <w:lvlText w:val="(%1)"/>
      <w:numFmt w:val="decimal"/>
      <w:start w:val="1"/>
    </w:lvl>
  </w:abstractNum>
  <w:abstractNum w:abstractNumId="127">
    <w:nsid w:val="67906F60"/>
    <w:multiLevelType w:val="hybridMultilevel"/>
    <w:lvl w:ilvl="0">
      <w:lvlJc w:val="left"/>
      <w:lvlText w:val="•"/>
      <w:numFmt w:val="bullet"/>
      <w:start w:val="1"/>
    </w:lvl>
  </w:abstractNum>
  <w:abstractNum w:abstractNumId="128">
    <w:nsid w:val="10DB9DAA"/>
    <w:multiLevelType w:val="hybridMultilevel"/>
    <w:lvl w:ilvl="0">
      <w:lvlJc w:val="left"/>
      <w:lvlText w:val="•"/>
      <w:numFmt w:val="bullet"/>
      <w:start w:val="1"/>
    </w:lvl>
  </w:abstractNum>
  <w:abstractNum w:abstractNumId="129">
    <w:nsid w:val="697D2D2"/>
    <w:multiLevelType w:val="hybridMultilevel"/>
    <w:lvl w:ilvl="0">
      <w:lvlJc w:val="left"/>
      <w:lvlText w:val="•"/>
      <w:numFmt w:val="bullet"/>
      <w:start w:val="1"/>
    </w:lvl>
  </w:abstractNum>
  <w:abstractNum w:abstractNumId="130">
    <w:nsid w:val="6D68AB2"/>
    <w:multiLevelType w:val="hybridMultilevel"/>
    <w:lvl w:ilvl="0">
      <w:lvlJc w:val="left"/>
      <w:lvlText w:val="•"/>
      <w:numFmt w:val="bullet"/>
      <w:start w:val="1"/>
    </w:lvl>
  </w:abstractNum>
  <w:abstractNum w:abstractNumId="131">
    <w:nsid w:val="3A966CD0"/>
    <w:multiLevelType w:val="hybridMultilevel"/>
    <w:lvl w:ilvl="0">
      <w:lvlJc w:val="left"/>
      <w:lvlText w:val="•"/>
      <w:numFmt w:val="bullet"/>
      <w:start w:val="1"/>
    </w:lvl>
  </w:abstractNum>
  <w:abstractNum w:abstractNumId="132">
    <w:nsid w:val="63F37E85"/>
    <w:multiLevelType w:val="hybridMultilevel"/>
    <w:lvl w:ilvl="0">
      <w:lvlJc w:val="left"/>
      <w:lvlText w:val="•"/>
      <w:numFmt w:val="bullet"/>
      <w:start w:val="1"/>
    </w:lvl>
  </w:abstractNum>
  <w:abstractNum w:abstractNumId="133">
    <w:nsid w:val="5895F5FA"/>
    <w:multiLevelType w:val="hybridMultilevel"/>
    <w:lvl w:ilvl="0">
      <w:lvlJc w:val="left"/>
      <w:lvlText w:val="%1."/>
      <w:numFmt w:val="decimal"/>
      <w:start w:val="1"/>
    </w:lvl>
    <w:lvl w:ilvl="1">
      <w:lvlJc w:val="left"/>
      <w:lvlText w:val="%2"/>
      <w:numFmt w:val="lowerLetter"/>
      <w:start w:val="1"/>
    </w:lvl>
  </w:abstractNum>
  <w:abstractNum w:abstractNumId="134">
    <w:nsid w:val="38A5D054"/>
    <w:multiLevelType w:val="hybridMultilevel"/>
    <w:lvl w:ilvl="0">
      <w:lvlJc w:val="left"/>
      <w:lvlText w:val="%1."/>
      <w:numFmt w:val="lowerLetter"/>
      <w:start w:val="2"/>
    </w:lvl>
    <w:lvl w:ilvl="1">
      <w:lvlJc w:val="left"/>
      <w:lvlText w:val="%2."/>
      <w:numFmt w:val="lowerRoman"/>
      <w:start w:val="1"/>
    </w:lvl>
  </w:abstractNum>
  <w:abstractNum w:abstractNumId="135">
    <w:nsid w:val="F3F09D8"/>
    <w:multiLevelType w:val="hybridMultilevel"/>
    <w:lvl w:ilvl="0">
      <w:lvlJc w:val="left"/>
      <w:lvlText w:val="%1"/>
      <w:numFmt w:val="lowerLetter"/>
      <w:start w:val="1"/>
    </w:lvl>
    <w:lvl w:ilvl="1">
      <w:lvlJc w:val="left"/>
      <w:lvlText w:val="%2."/>
      <w:numFmt w:val="lowerLetter"/>
      <w:start w:val="61"/>
    </w:lvl>
  </w:abstractNum>
  <w:abstractNum w:abstractNumId="136">
    <w:nsid w:val="4B793735"/>
    <w:multiLevelType w:val="hybridMultilevel"/>
    <w:lvl w:ilvl="0">
      <w:lvlJc w:val="left"/>
      <w:lvlText w:val="%1."/>
      <w:numFmt w:val="lowerLetter"/>
      <w:start w:val="3"/>
    </w:lvl>
    <w:lvl w:ilvl="1">
      <w:lvlJc w:val="left"/>
      <w:lvlText w:val="%2."/>
      <w:numFmt w:val="lowerLetter"/>
      <w:start w:val="9"/>
    </w:lvl>
  </w:abstractNum>
  <w:abstractNum w:abstractNumId="137">
    <w:nsid w:val="4A10B4E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38">
    <w:nsid w:val="43D3BCD4"/>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139">
    <w:nsid w:val="4C2A7166"/>
    <w:multiLevelType w:val="hybridMultilevel"/>
    <w:lvl w:ilvl="0">
      <w:lvlJc w:val="left"/>
      <w:lvlText w:val="(%1)"/>
      <w:numFmt w:val="lowerRoman"/>
      <w:start w:val="1"/>
    </w:lvl>
    <w:lvl w:ilvl="1">
      <w:lvlJc w:val="left"/>
      <w:lvlText w:val="%2."/>
      <w:numFmt w:val="lowerLetter"/>
      <w:start w:val="5"/>
    </w:lvl>
    <w:lvl w:ilvl="2">
      <w:lvlJc w:val="left"/>
      <w:lvlText w:val="%3."/>
      <w:numFmt w:val="lowerLetter"/>
      <w:start w:val="9"/>
    </w:lvl>
  </w:abstractNum>
  <w:abstractNum w:abstractNumId="140">
    <w:nsid w:val="2E534A82"/>
    <w:multiLevelType w:val="hybridMultilevel"/>
    <w:lvl w:ilvl="0">
      <w:lvlJc w:val="left"/>
      <w:lvlText w:val="%1."/>
      <w:numFmt w:val="lowerRoman"/>
      <w:start w:val="2"/>
    </w:lvl>
  </w:abstractNum>
  <w:abstractNum w:abstractNumId="141">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42">
    <w:nsid w:val="71C1AF9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3">
    <w:nsid w:val="3D00B9D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4">
    <w:nsid w:val="15BCABA8"/>
    <w:multiLevelType w:val="hybridMultilevel"/>
    <w:lvl w:ilvl="0">
      <w:lvlJc w:val="left"/>
      <w:lvlText w:val="%1."/>
      <w:numFmt w:val="lowerRoman"/>
      <w:start w:val="2"/>
    </w:lvl>
  </w:abstractNum>
  <w:abstractNum w:abstractNumId="145">
    <w:nsid w:val="4E0B9A87"/>
    <w:multiLevelType w:val="hybridMultilevel"/>
    <w:lvl w:ilvl="0">
      <w:lvlJc w:val="left"/>
      <w:lvlText w:val="%1"/>
      <w:numFmt w:val="decimal"/>
      <w:start w:val="1"/>
    </w:lvl>
    <w:lvl w:ilvl="1">
      <w:lvlJc w:val="left"/>
      <w:lvlText w:val="%2."/>
      <w:numFmt w:val="lowerLetter"/>
      <w:start w:val="2"/>
    </w:lvl>
  </w:abstractNum>
  <w:abstractNum w:abstractNumId="146">
    <w:nsid w:val="434BAE75"/>
    <w:multiLevelType w:val="hybridMultilevel"/>
    <w:lvl w:ilvl="0">
      <w:lvlJc w:val="left"/>
      <w:lvlText w:val="%1."/>
      <w:numFmt w:val="decimal"/>
      <w:start w:val="13"/>
    </w:lvl>
    <w:lvl w:ilvl="1">
      <w:lvlJc w:val="left"/>
      <w:lvlText w:val="%2."/>
      <w:numFmt w:val="lowerLetter"/>
      <w:start w:val="1"/>
    </w:lvl>
  </w:abstractNum>
  <w:abstractNum w:abstractNumId="147">
    <w:nsid w:val="4F38F265"/>
    <w:multiLevelType w:val="hybridMultilevel"/>
    <w:lvl w:ilvl="0">
      <w:lvlJc w:val="left"/>
      <w:lvlText w:val="%1."/>
      <w:numFmt w:val="lowerLetter"/>
      <w:start w:val="5"/>
    </w:lvl>
  </w:abstractNum>
  <w:abstractNum w:abstractNumId="148">
    <w:nsid w:val="4C502870"/>
    <w:multiLevelType w:val="hybridMultilevel"/>
    <w:lvl w:ilvl="0">
      <w:lvlJc w:val="left"/>
      <w:lvlText w:val="•"/>
      <w:numFmt w:val="bullet"/>
      <w:start w:val="1"/>
    </w:lvl>
  </w:abstractNum>
  <w:abstractNum w:abstractNumId="149">
    <w:nsid w:val="1DE8725A"/>
    <w:multiLevelType w:val="hybridMultilevel"/>
    <w:lvl w:ilvl="0">
      <w:lvlJc w:val="left"/>
      <w:lvlText w:val="%1."/>
      <w:numFmt w:val="decimal"/>
      <w:start w:val="1"/>
    </w:lvl>
    <w:lvl w:ilvl="1">
      <w:lvlJc w:val="left"/>
      <w:lvlText w:val="%2"/>
      <w:numFmt w:val="lowerLetter"/>
      <w:start w:val="1"/>
    </w:lvl>
  </w:abstractNum>
  <w:abstractNum w:abstractNumId="150">
    <w:nsid w:val="6A37288A"/>
    <w:multiLevelType w:val="hybridMultilevel"/>
    <w:lvl w:ilvl="0">
      <w:lvlJc w:val="left"/>
      <w:lvlText w:val="%1."/>
      <w:numFmt w:val="lowerLetter"/>
      <w:start w:val="2"/>
    </w:lvl>
    <w:lvl w:ilvl="1">
      <w:lvlJc w:val="left"/>
      <w:lvlText w:val="%2."/>
      <w:numFmt w:val="lowerRoman"/>
      <w:start w:val="1"/>
    </w:lvl>
  </w:abstractNum>
  <w:abstractNum w:abstractNumId="151">
    <w:nsid w:val="8F8B73F"/>
    <w:multiLevelType w:val="hybridMultilevel"/>
    <w:lvl w:ilvl="0">
      <w:lvlJc w:val="left"/>
      <w:lvlText w:val="%1."/>
      <w:numFmt w:val="lowerLetter"/>
      <w:start w:val="4"/>
    </w:lvl>
    <w:lvl w:ilvl="1">
      <w:lvlJc w:val="left"/>
      <w:lvlText w:val="%2."/>
      <w:numFmt w:val="lowerRoman"/>
      <w:start w:val="1"/>
    </w:lvl>
  </w:abstractNum>
  <w:abstractNum w:abstractNumId="152">
    <w:nsid w:val="CA6B462"/>
    <w:multiLevelType w:val="hybridMultilevel"/>
    <w:lvl w:ilvl="0">
      <w:lvlJc w:val="left"/>
      <w:lvlText w:val="%1"/>
      <w:numFmt w:val="decimal"/>
      <w:start w:val="1"/>
    </w:lvl>
    <w:lvl w:ilvl="1">
      <w:lvlJc w:val="left"/>
      <w:lvlText w:val="(%2)"/>
      <w:numFmt w:val="decimal"/>
      <w:start w:val="4"/>
    </w:lvl>
    <w:lvl w:ilvl="2">
      <w:lvlJc w:val="left"/>
      <w:lvlText w:val="%3."/>
      <w:numFmt w:val="lowerRoman"/>
      <w:start w:val="3"/>
    </w:lvl>
  </w:abstractNum>
  <w:abstractNum w:abstractNumId="153">
    <w:nsid w:val="763CB680"/>
    <w:multiLevelType w:val="hybridMultilevel"/>
    <w:lvl w:ilvl="0">
      <w:lvlJc w:val="left"/>
      <w:lvlText w:val="%1."/>
      <w:numFmt w:val="decimal"/>
      <w:start w:val="3"/>
    </w:lvl>
    <w:lvl w:ilvl="1">
      <w:lvlJc w:val="left"/>
      <w:lvlText w:val="%2"/>
      <w:numFmt w:val="decimal"/>
      <w:start w:val="1"/>
    </w:lvl>
    <w:lvl w:ilvl="2">
      <w:lvlJc w:val="left"/>
      <w:lvlText w:val="%3"/>
      <w:numFmt w:val="lowerRoman"/>
      <w:start w:val="1"/>
    </w:lvl>
  </w:abstractNum>
  <w:abstractNum w:abstractNumId="154">
    <w:nsid w:val="15B713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5">
    <w:nsid w:val="3DA9704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6">
    <w:nsid w:val="1CDCE2DE"/>
    <w:multiLevelType w:val="hybridMultilevel"/>
    <w:lvl w:ilvl="0">
      <w:lvlJc w:val="left"/>
      <w:lvlText w:val="%1."/>
      <w:numFmt w:val="lowerRoman"/>
      <w:start w:val="3"/>
    </w:lvl>
  </w:abstractNum>
  <w:abstractNum w:abstractNumId="157">
    <w:nsid w:val="69D3947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8">
    <w:nsid w:val="2539DFA5"/>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59">
    <w:nsid w:val="2DB88089"/>
    <w:multiLevelType w:val="hybridMultilevel"/>
    <w:lvl w:ilvl="0">
      <w:lvlJc w:val="left"/>
      <w:lvlText w:val="%1."/>
      <w:numFmt w:val="decimal"/>
      <w:start w:val="17"/>
    </w:lvl>
    <w:lvl w:ilvl="1">
      <w:lvlJc w:val="left"/>
      <w:lvlText w:val="%2."/>
      <w:numFmt w:val="lowerLetter"/>
      <w:start w:val="1"/>
    </w:lvl>
  </w:abstractNum>
  <w:abstractNum w:abstractNumId="160">
    <w:nsid w:val="706B674E"/>
    <w:multiLevelType w:val="hybridMultilevel"/>
    <w:lvl w:ilvl="0">
      <w:lvlJc w:val="left"/>
      <w:lvlText w:val="%1."/>
      <w:numFmt w:val="lowerLetter"/>
      <w:start w:val="1"/>
    </w:lvl>
    <w:lvl w:ilvl="1">
      <w:lvlJc w:val="left"/>
      <w:lvlText w:val="%2."/>
      <w:numFmt w:val="lowerRoman"/>
      <w:start w:val="1"/>
    </w:lvl>
  </w:abstractNum>
  <w:abstractNum w:abstractNumId="161">
    <w:nsid w:val="2C106A57"/>
    <w:multiLevelType w:val="hybridMultilevel"/>
    <w:lvl w:ilvl="0">
      <w:lvlJc w:val="left"/>
      <w:lvlText w:val="%1."/>
      <w:numFmt w:val="lowerLetter"/>
      <w:start w:val="2"/>
    </w:lvl>
    <w:lvl w:ilvl="1">
      <w:lvlJc w:val="left"/>
      <w:lvlText w:val="%2."/>
      <w:numFmt w:val="lowerRoman"/>
      <w:start w:val="1"/>
    </w:lvl>
  </w:abstractNum>
  <w:abstractNum w:abstractNumId="162">
    <w:nsid w:val="684EED59"/>
    <w:multiLevelType w:val="hybridMultilevel"/>
    <w:lvl w:ilvl="0">
      <w:lvlJc w:val="left"/>
      <w:lvlText w:val="%1."/>
      <w:numFmt w:val="lowerRoman"/>
      <w:start w:val="2"/>
    </w:lvl>
  </w:abstractNum>
  <w:abstractNum w:abstractNumId="163">
    <w:nsid w:val="545EE5D3"/>
    <w:multiLevelType w:val="hybridMultilevel"/>
    <w:lvl w:ilvl="0">
      <w:lvlJc w:val="left"/>
      <w:lvlText w:val="%1."/>
      <w:numFmt w:val="lowerLetter"/>
      <w:start w:val="1"/>
    </w:lvl>
  </w:abstractNum>
  <w:abstractNum w:abstractNumId="164">
    <w:nsid w:val="4A66051"/>
    <w:multiLevelType w:val="hybridMultilevel"/>
    <w:lvl w:ilvl="0">
      <w:lvlJc w:val="left"/>
      <w:lvlText w:val="%1."/>
      <w:numFmt w:val="decimal"/>
      <w:start w:val="1"/>
    </w:lvl>
    <w:lvl w:ilvl="1">
      <w:lvlJc w:val="left"/>
      <w:lvlText w:val="%2"/>
      <w:numFmt w:val="lowerLetter"/>
      <w:start w:val="1"/>
    </w:lvl>
  </w:abstractNum>
  <w:abstractNum w:abstractNumId="165">
    <w:nsid w:val="20F4BDAD"/>
    <w:multiLevelType w:val="hybridMultilevel"/>
    <w:lvl w:ilvl="0">
      <w:lvlJc w:val="left"/>
      <w:lvlText w:val="%1."/>
      <w:numFmt w:val="lowerLetter"/>
      <w:start w:val="2"/>
    </w:lvl>
    <w:lvl w:ilvl="1">
      <w:lvlJc w:val="left"/>
      <w:lvlText w:val="%2."/>
      <w:numFmt w:val="lowerRoman"/>
      <w:start w:val="1"/>
    </w:lvl>
  </w:abstractNum>
  <w:abstractNum w:abstractNumId="166">
    <w:nsid w:val="639DEFAC"/>
    <w:multiLevelType w:val="hybridMultilevel"/>
    <w:lvl w:ilvl="0">
      <w:lvlJc w:val="left"/>
      <w:lvlText w:val="%1."/>
      <w:numFmt w:val="lowerLetter"/>
      <w:start w:val="4"/>
    </w:lvl>
    <w:lvl w:ilvl="1">
      <w:lvlJc w:val="left"/>
      <w:lvlText w:val="%2."/>
      <w:numFmt w:val="lowerRoman"/>
      <w:start w:val="1"/>
    </w:lvl>
  </w:abstractNum>
  <w:abstractNum w:abstractNumId="167">
    <w:nsid w:val="501F9786"/>
    <w:multiLevelType w:val="hybridMultilevel"/>
    <w:lvl w:ilvl="0">
      <w:lvlJc w:val="left"/>
      <w:lvlText w:val="%1"/>
      <w:numFmt w:val="decimal"/>
      <w:start w:val="1"/>
    </w:lvl>
    <w:lvl w:ilvl="1">
      <w:lvlJc w:val="left"/>
      <w:lvlText w:val="%2."/>
      <w:numFmt w:val="lowerRoman"/>
      <w:start w:val="3"/>
    </w:lvl>
  </w:abstractNum>
  <w:abstractNum w:abstractNumId="168">
    <w:nsid w:val="6B057295"/>
    <w:multiLevelType w:val="hybridMultilevel"/>
    <w:lvl w:ilvl="0">
      <w:lvlJc w:val="left"/>
      <w:lvlText w:val="%1."/>
      <w:numFmt w:val="decimal"/>
      <w:start w:val="3"/>
    </w:lvl>
    <w:lvl w:ilvl="1">
      <w:lvlJc w:val="left"/>
      <w:lvlText w:val="%2"/>
      <w:numFmt w:val="lowerRoman"/>
      <w:start w:val="1"/>
    </w:lvl>
  </w:abstractNum>
  <w:abstractNum w:abstractNumId="169">
    <w:nsid w:val="2771AC80"/>
    <w:multiLevelType w:val="hybridMultilevel"/>
    <w:lvl w:ilvl="0">
      <w:lvlJc w:val="left"/>
      <w:lvlText w:val="%1"/>
      <w:numFmt w:val="decimal"/>
      <w:start w:val="1"/>
    </w:lvl>
    <w:lvl w:ilvl="1">
      <w:lvlJc w:val="left"/>
      <w:lvlText w:val="%2."/>
      <w:numFmt w:val="lowerLetter"/>
      <w:start w:val="1"/>
    </w:lvl>
  </w:abstractNum>
  <w:abstractNum w:abstractNumId="170">
    <w:nsid w:val="1C4A08EC"/>
    <w:multiLevelType w:val="hybridMultilevel"/>
    <w:lvl w:ilvl="0">
      <w:lvlJc w:val="left"/>
      <w:lvlText w:val="%1."/>
      <w:numFmt w:val="decimal"/>
      <w:start w:val="6"/>
    </w:lvl>
    <w:lvl w:ilvl="1">
      <w:lvlJc w:val="left"/>
      <w:lvlText w:val="%2."/>
      <w:numFmt w:val="lowerLetter"/>
      <w:start w:val="1"/>
    </w:lvl>
  </w:abstractNum>
  <w:abstractNum w:abstractNumId="171">
    <w:nsid w:val="1958BD1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72">
    <w:nsid w:val="4E647FE4"/>
    <w:multiLevelType w:val="hybridMultilevel"/>
    <w:lvl w:ilvl="0">
      <w:lvlJc w:val="left"/>
      <w:lvlText w:val="%1."/>
      <w:numFmt w:val="lowerLetter"/>
      <w:start w:val="3"/>
    </w:lvl>
  </w:abstractNum>
  <w:abstractNum w:abstractNumId="173">
    <w:nsid w:val="E0BB885"/>
    <w:multiLevelType w:val="hybridMultilevel"/>
    <w:lvl w:ilvl="0">
      <w:lvlJc w:val="left"/>
      <w:lvlText w:val="%1."/>
      <w:numFmt w:val="lowerRoman"/>
      <w:start w:val="1"/>
    </w:lvl>
  </w:abstractNum>
  <w:abstractNum w:abstractNumId="174">
    <w:nsid w:val="565976F1"/>
    <w:multiLevelType w:val="hybridMultilevel"/>
    <w:lvl w:ilvl="0">
      <w:lvlJc w:val="left"/>
      <w:lvlText w:val="%1."/>
      <w:numFmt w:val="decimal"/>
      <w:start w:val="1"/>
    </w:lvl>
    <w:lvl w:ilvl="1">
      <w:lvlJc w:val="left"/>
      <w:lvlText w:val="%2"/>
      <w:numFmt w:val="lowerLetter"/>
      <w:start w:val="1"/>
    </w:lvl>
  </w:abstractNum>
  <w:abstractNum w:abstractNumId="175">
    <w:nsid w:val="64212B8C"/>
    <w:multiLevelType w:val="hybridMultilevel"/>
    <w:lvl w:ilvl="0">
      <w:lvlJc w:val="left"/>
      <w:lvlText w:val="%1."/>
      <w:numFmt w:val="lowerLetter"/>
      <w:start w:val="2"/>
    </w:lvl>
    <w:lvl w:ilvl="1">
      <w:lvlJc w:val="left"/>
      <w:lvlText w:val="%2"/>
      <w:numFmt w:val="lowerLetter"/>
      <w:start w:val="1"/>
    </w:lvl>
  </w:abstractNum>
  <w:abstractNum w:abstractNumId="176">
    <w:nsid w:val="5C17530C"/>
    <w:multiLevelType w:val="hybridMultilevel"/>
    <w:lvl w:ilvl="0">
      <w:lvlJc w:val="left"/>
      <w:lvlText w:val="%1"/>
      <w:numFmt w:val="lowerLetter"/>
      <w:start w:val="1"/>
    </w:lvl>
    <w:lvl w:ilvl="1">
      <w:lvlJc w:val="left"/>
      <w:lvlText w:val="%2."/>
      <w:numFmt w:val="lowerRoman"/>
      <w:start w:val="2"/>
    </w:lvl>
  </w:abstractNum>
  <w:abstractNum w:abstractNumId="177">
    <w:nsid w:val="19A52566"/>
    <w:multiLevelType w:val="hybridMultilevel"/>
    <w:lvl w:ilvl="0">
      <w:lvlJc w:val="left"/>
      <w:lvlText w:val="%1."/>
      <w:numFmt w:val="lowerLetter"/>
      <w:start w:val="3"/>
    </w:lvl>
    <w:lvl w:ilvl="1">
      <w:lvlJc w:val="left"/>
      <w:lvlText w:val="%2."/>
      <w:numFmt w:val="lowerRoman"/>
      <w:start w:val="1"/>
    </w:lvl>
  </w:abstractNum>
  <w:abstractNum w:abstractNumId="178">
    <w:nsid w:val="335A1DF1"/>
    <w:multiLevelType w:val="hybridMultilevel"/>
    <w:lvl w:ilvl="0">
      <w:lvlJc w:val="left"/>
      <w:lvlText w:val="%1"/>
      <w:numFmt w:val="lowerLetter"/>
      <w:start w:val="1"/>
    </w:lvl>
    <w:lvl w:ilvl="1">
      <w:lvlJc w:val="left"/>
      <w:lvlText w:val="%2."/>
      <w:numFmt w:val="lowerLetter"/>
      <w:start w:val="35"/>
    </w:lvl>
  </w:abstractNum>
  <w:abstractNum w:abstractNumId="179">
    <w:nsid w:val="28677B7C"/>
    <w:multiLevelType w:val="hybridMultilevel"/>
    <w:lvl w:ilvl="0">
      <w:lvlJc w:val="left"/>
      <w:lvlText w:val="%1."/>
      <w:numFmt w:val="lowerLetter"/>
      <w:start w:val="4"/>
    </w:lvl>
    <w:lvl w:ilvl="1">
      <w:lvlJc w:val="left"/>
      <w:lvlText w:val="%2."/>
      <w:numFmt w:val="lowerLetter"/>
      <w:start w:val="9"/>
    </w:lvl>
  </w:abstractNum>
  <w:abstractNum w:abstractNumId="180">
    <w:nsid w:val="378D97C0"/>
    <w:multiLevelType w:val="hybridMultilevel"/>
    <w:lvl w:ilvl="0">
      <w:lvlJc w:val="left"/>
      <w:lvlText w:val="%1"/>
      <w:numFmt w:val="decimal"/>
      <w:start w:val="1"/>
    </w:lvl>
    <w:lvl w:ilvl="1">
      <w:lvlJc w:val="left"/>
      <w:lvlText w:val="%2."/>
      <w:numFmt w:val="lowerRoman"/>
      <w:start w:val="2"/>
    </w:lvl>
  </w:abstractNum>
  <w:abstractNum w:abstractNumId="181">
    <w:nsid w:val="1D91467C"/>
    <w:multiLevelType w:val="hybridMultilevel"/>
    <w:lvl w:ilvl="0">
      <w:lvlJc w:val="left"/>
      <w:lvlText w:val="%1."/>
      <w:numFmt w:val="decimal"/>
      <w:start w:val="3"/>
    </w:lvl>
    <w:lvl w:ilvl="1">
      <w:lvlJc w:val="left"/>
      <w:lvlText w:val="%2"/>
      <w:numFmt w:val="lowerRoman"/>
      <w:start w:val="1"/>
    </w:lvl>
  </w:abstractNum>
  <w:abstractNum w:abstractNumId="182">
    <w:nsid w:val="316032BB"/>
    <w:multiLevelType w:val="hybridMultilevel"/>
    <w:lvl w:ilvl="0">
      <w:lvlJc w:val="left"/>
      <w:lvlText w:val="%1."/>
      <w:numFmt w:val="decimal"/>
      <w:start w:val="4"/>
    </w:lvl>
    <w:lvl w:ilvl="1">
      <w:lvlJc w:val="left"/>
      <w:lvlText w:val="%2."/>
      <w:numFmt w:val="lowerLetter"/>
      <w:start w:val="1"/>
    </w:lvl>
  </w:abstractNum>
  <w:abstractNum w:abstractNumId="183">
    <w:nsid w:val="44344C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84">
    <w:nsid w:val="13CDFCFC"/>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85">
    <w:nsid w:val="471745E4"/>
    <w:multiLevelType w:val="hybridMultilevel"/>
    <w:lvl w:ilvl="0">
      <w:lvlJc w:val="left"/>
      <w:lvlText w:val="%1."/>
      <w:numFmt w:val="lowerRoman"/>
      <w:start w:val="2"/>
    </w:lvl>
  </w:abstractNum>
  <w:abstractNum w:abstractNumId="186">
    <w:nsid w:val="1DDBC66"/>
    <w:multiLevelType w:val="hybridMultilevel"/>
    <w:lvl w:ilvl="0">
      <w:lvlJc w:val="left"/>
      <w:lvlText w:val="%1"/>
      <w:numFmt w:val="decimal"/>
      <w:start w:val="1"/>
    </w:lvl>
    <w:lvl w:ilvl="1">
      <w:lvlJc w:val="left"/>
      <w:lvlText w:val="%2."/>
      <w:numFmt w:val="lowerLetter"/>
      <w:start w:val="2"/>
    </w:lvl>
  </w:abstractNum>
  <w:abstractNum w:abstractNumId="187">
    <w:nsid w:val="30AADFDA"/>
    <w:multiLevelType w:val="hybridMultilevel"/>
    <w:lvl w:ilvl="0">
      <w:lvlJc w:val="left"/>
      <w:lvlText w:val="%1."/>
      <w:numFmt w:val="decimal"/>
      <w:start w:val="14"/>
    </w:lvl>
    <w:lvl w:ilvl="1">
      <w:lvlJc w:val="left"/>
      <w:lvlText w:val="%2."/>
      <w:numFmt w:val="lowerLetter"/>
      <w:start w:val="1"/>
    </w:lvl>
  </w:abstractNum>
  <w:abstractNum w:abstractNumId="188">
    <w:nsid w:val="30EADA61"/>
    <w:multiLevelType w:val="hybridMultilevel"/>
    <w:lvl w:ilvl="0">
      <w:lvlJc w:val="left"/>
      <w:lvlText w:val="%1."/>
      <w:numFmt w:val="lowerLetter"/>
      <w:start w:val="2"/>
    </w:lvl>
  </w:abstractNum>
  <w:abstractNum w:abstractNumId="189">
    <w:nsid w:val="27179C0B"/>
    <w:multiLevelType w:val="hybridMultilevel"/>
    <w:lvl w:ilvl="0">
      <w:lvlJc w:val="left"/>
      <w:lvlText w:val="•"/>
      <w:numFmt w:val="bullet"/>
      <w:start w:val="1"/>
    </w:lvl>
  </w:abstractNum>
  <w:abstractNum w:abstractNumId="190">
    <w:nsid w:val="5E636063"/>
    <w:multiLevelType w:val="hybridMultilevel"/>
    <w:lvl w:ilvl="0">
      <w:lvlJc w:val="left"/>
      <w:lvlText w:val="%1."/>
      <w:numFmt w:val="decimal"/>
      <w:start w:val="1"/>
    </w:lvl>
    <w:lvl w:ilvl="1">
      <w:lvlJc w:val="left"/>
      <w:lvlText w:val="%2"/>
      <w:numFmt w:val="lowerLetter"/>
      <w:start w:val="1"/>
    </w:lvl>
  </w:abstractNum>
  <w:abstractNum w:abstractNumId="191">
    <w:nsid w:val="215641AF"/>
    <w:multiLevelType w:val="hybridMultilevel"/>
    <w:lvl w:ilvl="0">
      <w:lvlJc w:val="left"/>
      <w:lvlText w:val="%1."/>
      <w:numFmt w:val="lowerLetter"/>
      <w:start w:val="2"/>
    </w:lvl>
    <w:lvl w:ilvl="1">
      <w:lvlJc w:val="left"/>
      <w:lvlText w:val="%2."/>
      <w:numFmt w:val="lowerRoman"/>
      <w:start w:val="1"/>
    </w:lvl>
  </w:abstractNum>
  <w:abstractNum w:abstractNumId="192">
    <w:nsid w:val="53280662"/>
    <w:multiLevelType w:val="hybridMultilevel"/>
    <w:lvl w:ilvl="0">
      <w:lvlJc w:val="left"/>
      <w:lvlText w:val="%1."/>
      <w:numFmt w:val="lowerLetter"/>
      <w:start w:val="3"/>
    </w:lvl>
  </w:abstractNum>
  <w:abstractNum w:abstractNumId="193">
    <w:nsid w:val="46B24DBC"/>
    <w:multiLevelType w:val="hybridMultilevel"/>
    <w:lvl w:ilvl="0">
      <w:lvlJc w:val="left"/>
      <w:lvlText w:val="%1."/>
      <w:numFmt w:val="lowerLetter"/>
      <w:start w:val="4"/>
    </w:lvl>
    <w:lvl w:ilvl="1">
      <w:lvlJc w:val="left"/>
      <w:lvlText w:val="%2"/>
      <w:numFmt w:val="lowerLetter"/>
      <w:start w:val="1"/>
    </w:lvl>
  </w:abstractNum>
  <w:abstractNum w:abstractNumId="194">
    <w:nsid w:val="75B52783"/>
    <w:multiLevelType w:val="hybridMultilevel"/>
    <w:lvl w:ilvl="0">
      <w:lvlJc w:val="left"/>
      <w:lvlText w:val="%1."/>
      <w:numFmt w:val="lowerRoman"/>
      <w:start w:val="2"/>
    </w:lvl>
  </w:abstractNum>
  <w:abstractNum w:abstractNumId="195">
    <w:nsid w:val="57CE66B4"/>
    <w:multiLevelType w:val="hybridMultilevel"/>
    <w:lvl w:ilvl="0">
      <w:lvlJc w:val="left"/>
      <w:lvlText w:val="%1."/>
      <w:numFmt w:val="decimal"/>
      <w:start w:val="3"/>
    </w:lvl>
    <w:lvl w:ilvl="1">
      <w:lvlJc w:val="left"/>
      <w:lvlText w:val="%2."/>
      <w:numFmt w:val="lowerLetter"/>
      <w:start w:val="1"/>
    </w:lvl>
  </w:abstractNum>
  <w:abstractNum w:abstractNumId="196">
    <w:nsid w:val="67A70B69"/>
    <w:multiLevelType w:val="hybridMultilevel"/>
    <w:lvl w:ilvl="0">
      <w:lvlJc w:val="left"/>
      <w:lvlText w:val="%1."/>
      <w:numFmt w:val="decimal"/>
      <w:start w:val="9"/>
    </w:lvl>
  </w:abstractNum>
  <w:abstractNum w:abstractNumId="197">
    <w:nsid w:val="5953172F"/>
    <w:multiLevelType w:val="hybridMultilevel"/>
    <w:lvl w:ilvl="0">
      <w:lvlJc w:val="left"/>
      <w:lvlText w:val="%1."/>
      <w:numFmt w:val="lowerLetter"/>
      <w:start w:val="1"/>
    </w:lvl>
  </w:abstractNum>
  <w:abstractNum w:abstractNumId="198">
    <w:nsid w:val="27EDFE3A"/>
    <w:multiLevelType w:val="hybridMultilevel"/>
    <w:lvl w:ilvl="0">
      <w:lvlJc w:val="left"/>
      <w:lvlText w:val="%1."/>
      <w:numFmt w:val="lowerRoman"/>
      <w:start w:val="1"/>
    </w:lvl>
  </w:abstractNum>
  <w:abstractNum w:abstractNumId="199">
    <w:nsid w:val="52AC7D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00">
    <w:nsid w:val="C4C3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1">
    <w:nsid w:val="4438072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02">
    <w:nsid w:val="6C053B1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03">
    <w:nsid w:val="4F294393"/>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04">
    <w:nsid w:val="5243BFAC"/>
    <w:multiLevelType w:val="hybridMultilevel"/>
    <w:lvl w:ilvl="0">
      <w:lvlJc w:val="left"/>
      <w:lvlText w:val="%1."/>
      <w:numFmt w:val="lowerLetter"/>
      <w:start w:val="6"/>
    </w:lvl>
  </w:abstractNum>
  <w:abstractNum w:abstractNumId="205">
    <w:nsid w:val="425EB207"/>
    <w:multiLevelType w:val="hybridMultilevel"/>
    <w:lvl w:ilvl="0">
      <w:lvlJc w:val="left"/>
      <w:lvlText w:val="%1."/>
      <w:numFmt w:val="lowerLetter"/>
      <w:start w:val="1"/>
    </w:lvl>
    <w:lvl w:ilvl="1">
      <w:lvlJc w:val="left"/>
      <w:lvlText w:val="%2."/>
      <w:numFmt w:val="lowerRoman"/>
      <w:start w:val="1"/>
    </w:lvl>
  </w:abstractNum>
  <w:abstractNum w:abstractNumId="206">
    <w:nsid w:val="334A6F1F"/>
    <w:multiLevelType w:val="hybridMultilevel"/>
    <w:lvl w:ilvl="0">
      <w:lvlJc w:val="left"/>
      <w:lvlText w:val="%1."/>
      <w:numFmt w:val="lowerLetter"/>
      <w:start w:val="2"/>
    </w:lvl>
    <w:lvl w:ilvl="1">
      <w:lvlJc w:val="left"/>
      <w:lvlText w:val="%2."/>
      <w:numFmt w:val="lowerRoman"/>
      <w:start w:val="1"/>
    </w:lvl>
  </w:abstractNum>
  <w:abstractNum w:abstractNumId="207">
    <w:nsid w:val="2E5B12B8"/>
    <w:multiLevelType w:val="hybridMultilevel"/>
    <w:lvl w:ilvl="0">
      <w:lvlJc w:val="left"/>
      <w:lvlText w:val="%1."/>
      <w:numFmt w:val="lowerRoman"/>
      <w:start w:val="3"/>
    </w:lvl>
  </w:abstractNum>
  <w:abstractNum w:abstractNumId="208">
    <w:nsid w:val="5C03D76D"/>
    <w:multiLevelType w:val="hybridMultilevel"/>
    <w:lvl w:ilvl="0">
      <w:lvlJc w:val="left"/>
      <w:lvlText w:val="%1."/>
      <w:numFmt w:val="lowerLetter"/>
      <w:start w:val="1"/>
    </w:lvl>
  </w:abstractNum>
  <w:abstractNum w:abstractNumId="209">
    <w:nsid w:val="66A48D11"/>
    <w:multiLevelType w:val="hybridMultilevel"/>
    <w:lvl w:ilvl="0">
      <w:lvlJc w:val="left"/>
      <w:lvlText w:val="%1."/>
      <w:numFmt w:val="decimal"/>
      <w:start w:val="1"/>
    </w:lvl>
    <w:lvl w:ilvl="1">
      <w:lvlJc w:val="left"/>
      <w:lvlText w:val="(%2)"/>
      <w:numFmt w:val="lowerLetter"/>
      <w:start w:val="1"/>
    </w:lvl>
  </w:abstractNum>
  <w:abstractNum w:abstractNumId="210">
    <w:nsid w:val="56C28E34"/>
    <w:multiLevelType w:val="hybridMultilevel"/>
    <w:lvl w:ilvl="0">
      <w:lvlJc w:val="left"/>
      <w:lvlText w:val="(%1)"/>
      <w:numFmt w:val="lowerLetter"/>
      <w:start w:val="2"/>
    </w:lvl>
    <w:lvl w:ilvl="1">
      <w:lvlJc w:val="left"/>
      <w:lvlText w:val="(%2)"/>
      <w:numFmt w:val="lowerLetter"/>
      <w:start w:val="9"/>
    </w:lvl>
  </w:abstractNum>
  <w:abstractNum w:abstractNumId="211">
    <w:nsid w:val="13916F2D"/>
    <w:multiLevelType w:val="hybridMultilevel"/>
    <w:lvl w:ilvl="0">
      <w:lvlJc w:val="left"/>
      <w:lvlText w:val="(%1)"/>
      <w:numFmt w:val="lowerRoman"/>
      <w:start w:val="2"/>
    </w:lvl>
  </w:abstractNum>
  <w:abstractNum w:abstractNumId="212">
    <w:nsid w:val="435D38D"/>
    <w:multiLevelType w:val="hybridMultilevel"/>
    <w:lvl w:ilvl="0">
      <w:lvlJc w:val="left"/>
      <w:lvlText w:val="(%1)"/>
      <w:numFmt w:val="lowerLetter"/>
      <w:start w:val="3"/>
    </w:lvl>
    <w:lvl w:ilvl="1">
      <w:lvlJc w:val="left"/>
      <w:lvlText w:val="(%2)"/>
      <w:numFmt w:val="lowerRoman"/>
      <w:start w:val="1"/>
    </w:lvl>
  </w:abstractNum>
  <w:abstractNum w:abstractNumId="213">
    <w:nsid w:val="822C0EF"/>
    <w:multiLevelType w:val="hybridMultilevel"/>
    <w:lvl w:ilvl="0">
      <w:lvlJc w:val="left"/>
      <w:lvlText w:val="%1"/>
      <w:numFmt w:val="decimal"/>
      <w:start w:val="1"/>
    </w:lvl>
    <w:lvl w:ilvl="1">
      <w:lvlJc w:val="left"/>
      <w:lvlText w:val="(%2)"/>
      <w:numFmt w:val="lowerRoman"/>
      <w:start w:val="3"/>
    </w:lvl>
  </w:abstractNum>
  <w:abstractNum w:abstractNumId="214">
    <w:nsid w:val="57C5BB4F"/>
    <w:multiLevelType w:val="hybridMultilevel"/>
    <w:lvl w:ilvl="0">
      <w:lvlJc w:val="left"/>
      <w:lvlText w:val="%1."/>
      <w:numFmt w:val="decimal"/>
      <w:start w:val="3"/>
    </w:lvl>
    <w:lvl w:ilvl="1">
      <w:lvlJc w:val="left"/>
      <w:lvlText w:val="%2"/>
      <w:numFmt w:val="lowerRoman"/>
      <w:start w:val="1"/>
    </w:lvl>
  </w:abstractNum>
  <w:abstractNum w:abstractNumId="215">
    <w:nsid w:val="1803D089"/>
    <w:multiLevelType w:val="hybridMultilevel"/>
    <w:lvl w:ilvl="0">
      <w:lvlJc w:val="left"/>
      <w:lvlText w:val="(%1)"/>
      <w:numFmt w:val="lowerLetter"/>
      <w:start w:val="1"/>
    </w:lvl>
  </w:abstractNum>
  <w:abstractNum w:abstractNumId="216">
    <w:nsid w:val="4F3A06D4"/>
    <w:multiLevelType w:val="hybridMultilevel"/>
    <w:lvl w:ilvl="0">
      <w:lvlJc w:val="left"/>
      <w:lvlText w:val="%1."/>
      <w:numFmt w:val="decimal"/>
      <w:start w:val="6"/>
    </w:lvl>
  </w:abstractNum>
  <w:abstractNum w:abstractNumId="217">
    <w:nsid w:val="59A377B6"/>
    <w:multiLevelType w:val="hybridMultilevel"/>
    <w:lvl w:ilvl="0">
      <w:lvlJc w:val="left"/>
      <w:lvlText w:val="%1."/>
      <w:numFmt w:val="decimal"/>
      <w:start w:val="14"/>
    </w:lvl>
    <w:lvl w:ilvl="1">
      <w:lvlJc w:val="left"/>
      <w:lvlText w:val="(%2)"/>
      <w:numFmt w:val="lowerLetter"/>
      <w:start w:val="1"/>
    </w:lvl>
  </w:abstractNum>
  <w:abstractNum w:abstractNumId="218">
    <w:nsid w:val="48AEB063"/>
    <w:multiLevelType w:val="hybridMultilevel"/>
    <w:lvl w:ilvl="0">
      <w:lvlJc w:val="left"/>
      <w:lvlText w:val="(%1)"/>
      <w:numFmt w:val="lowerLetter"/>
      <w:start w:val="7"/>
    </w:lvl>
  </w:abstractNum>
  <w:abstractNum w:abstractNumId="219">
    <w:nsid w:val="24E135"/>
    <w:multiLevelType w:val="hybridMultilevel"/>
    <w:lvl w:ilvl="0">
      <w:lvlJc w:val="left"/>
      <w:lvlText w:val="%1."/>
      <w:numFmt w:val="decimal"/>
      <w:start w:val="1"/>
    </w:lvl>
    <w:lvl w:ilvl="1">
      <w:lvlJc w:val="left"/>
      <w:lvlText w:val="(%2)"/>
      <w:numFmt w:val="lowerLetter"/>
      <w:start w:val="1"/>
    </w:lvl>
  </w:abstractNum>
  <w:abstractNum w:abstractNumId="220">
    <w:nsid w:val="BB13C1"/>
    <w:multiLevelType w:val="hybridMultilevel"/>
    <w:lvl w:ilvl="0">
      <w:lvlJc w:val="left"/>
      <w:lvlText w:val="(%1)"/>
      <w:numFmt w:val="lowerLetter"/>
      <w:start w:val="2"/>
    </w:lvl>
    <w:lvl w:ilvl="1">
      <w:lvlJc w:val="left"/>
      <w:lvlText w:val="(%2)"/>
      <w:numFmt w:val="lowerLetter"/>
      <w:start w:val="9"/>
    </w:lvl>
  </w:abstractNum>
  <w:abstractNum w:abstractNumId="221">
    <w:nsid w:val="271210C7"/>
    <w:multiLevelType w:val="hybridMultilevel"/>
    <w:lvl w:ilvl="0">
      <w:lvlJc w:val="left"/>
      <w:lvlText w:val="(%1)"/>
      <w:numFmt w:val="lowerLetter"/>
      <w:start w:val="3"/>
    </w:lvl>
    <w:lvl w:ilvl="1">
      <w:lvlJc w:val="left"/>
      <w:lvlText w:val="(%2)"/>
      <w:numFmt w:val="lowerRoman"/>
      <w:start w:val="1"/>
    </w:lvl>
  </w:abstractNum>
  <w:abstractNum w:abstractNumId="222">
    <w:nsid w:val="217B22E4"/>
    <w:multiLevelType w:val="hybridMultilevel"/>
    <w:lvl w:ilvl="0">
      <w:lvlJc w:val="left"/>
      <w:lvlText w:val="%1"/>
      <w:numFmt w:val="decimal"/>
      <w:start w:val="1"/>
    </w:lvl>
    <w:lvl w:ilvl="1">
      <w:lvlJc w:val="left"/>
      <w:lvlText w:val="(%2)"/>
      <w:numFmt w:val="lowerRoman"/>
      <w:start w:val="3"/>
    </w:lvl>
  </w:abstractNum>
  <w:abstractNum w:abstractNumId="223">
    <w:nsid w:val="53E31A24"/>
    <w:multiLevelType w:val="hybridMultilevel"/>
    <w:lvl w:ilvl="0">
      <w:lvlJc w:val="left"/>
      <w:lvlText w:val="%1."/>
      <w:numFmt w:val="decimal"/>
      <w:start w:val="3"/>
    </w:lvl>
    <w:lvl w:ilvl="1">
      <w:lvlJc w:val="left"/>
      <w:lvlText w:val="%2"/>
      <w:numFmt w:val="lowerRoman"/>
      <w:start w:val="1"/>
    </w:lvl>
  </w:abstractNum>
  <w:abstractNum w:abstractNumId="224">
    <w:nsid w:val="6DC45E83"/>
    <w:multiLevelType w:val="hybridMultilevel"/>
    <w:lvl w:ilvl="0">
      <w:lvlJc w:val="left"/>
      <w:lvlText w:val="%1."/>
      <w:numFmt w:val="decimal"/>
      <w:start w:val="5"/>
    </w:lvl>
    <w:lvl w:ilvl="1">
      <w:lvlJc w:val="left"/>
      <w:lvlText w:val="(%2)"/>
      <w:numFmt w:val="lowerLetter"/>
      <w:start w:val="1"/>
    </w:lvl>
  </w:abstractNum>
  <w:abstractNum w:abstractNumId="225">
    <w:nsid w:val="17304A67"/>
    <w:multiLevelType w:val="hybridMultilevel"/>
    <w:lvl w:ilvl="0">
      <w:lvlJc w:val="left"/>
      <w:lvlText w:val="%1."/>
      <w:numFmt w:val="decimal"/>
      <w:start w:val="6"/>
    </w:lvl>
  </w:abstractNum>
  <w:abstractNum w:abstractNumId="226">
    <w:nsid w:val="2BB180D8"/>
    <w:multiLevelType w:val="hybridMultilevel"/>
    <w:lvl w:ilvl="0">
      <w:lvlJc w:val="left"/>
      <w:lvlText w:val="%1."/>
      <w:numFmt w:val="decimal"/>
      <w:start w:val="13"/>
    </w:lvl>
    <w:lvl w:ilvl="1">
      <w:lvlJc w:val="left"/>
      <w:lvlText w:val="(%2)"/>
      <w:numFmt w:val="lowerLetter"/>
      <w:start w:val="1"/>
    </w:lvl>
  </w:abstractNum>
  <w:abstractNum w:abstractNumId="227">
    <w:nsid w:val="556B69ED"/>
    <w:multiLevelType w:val="hybridMultilevel"/>
    <w:lvl w:ilvl="0">
      <w:lvlJc w:val="left"/>
      <w:lvlText w:val="(%1)"/>
      <w:numFmt w:val="lowerLetter"/>
      <w:start w:val="6"/>
    </w:lvl>
  </w:abstractNum>
  <w:abstractNum w:abstractNumId="228">
    <w:nsid w:val="70836196"/>
    <w:multiLevelType w:val="hybridMultilevel"/>
    <w:lvl w:ilvl="0">
      <w:lvlJc w:val="left"/>
      <w:lvlText w:val="%1."/>
      <w:numFmt w:val="decimal"/>
      <w:start w:val="1"/>
    </w:lvl>
    <w:lvl w:ilvl="1">
      <w:lvlJc w:val="left"/>
      <w:lvlText w:val="(%2)"/>
      <w:numFmt w:val="lowerLetter"/>
      <w:start w:val="1"/>
    </w:lvl>
  </w:abstractNum>
  <w:abstractNum w:abstractNumId="229">
    <w:nsid w:val="539F7F12"/>
    <w:multiLevelType w:val="hybridMultilevel"/>
    <w:lvl w:ilvl="0">
      <w:lvlJc w:val="left"/>
      <w:lvlText w:val="(%1)"/>
      <w:numFmt w:val="lowerLetter"/>
      <w:start w:val="2"/>
    </w:lvl>
    <w:lvl w:ilvl="1">
      <w:lvlJc w:val="left"/>
      <w:lvlText w:val="(%2)"/>
      <w:numFmt w:val="lowerLetter"/>
      <w:start w:val="9"/>
    </w:lvl>
  </w:abstractNum>
  <w:abstractNum w:abstractNumId="230">
    <w:nsid w:val="2817E7EC"/>
    <w:multiLevelType w:val="hybridMultilevel"/>
    <w:lvl w:ilvl="0">
      <w:lvlJc w:val="left"/>
      <w:lvlText w:val="(%1)"/>
      <w:numFmt w:val="lowerRoman"/>
      <w:start w:val="2"/>
    </w:lvl>
  </w:abstractNum>
  <w:abstractNum w:abstractNumId="231">
    <w:nsid w:val="71482545"/>
    <w:multiLevelType w:val="hybridMultilevel"/>
    <w:lvl w:ilvl="0">
      <w:lvlJc w:val="left"/>
      <w:lvlText w:val="(%1)"/>
      <w:numFmt w:val="lowerLetter"/>
      <w:start w:val="3"/>
    </w:lvl>
    <w:lvl w:ilvl="1">
      <w:lvlJc w:val="left"/>
      <w:lvlText w:val="(%2)"/>
      <w:numFmt w:val="lowerRoman"/>
      <w:start w:val="1"/>
    </w:lvl>
  </w:abstractNum>
  <w:abstractNum w:abstractNumId="232">
    <w:nsid w:val="17D78639"/>
    <w:multiLevelType w:val="hybridMultilevel"/>
    <w:lvl w:ilvl="0">
      <w:lvlJc w:val="left"/>
      <w:lvlText w:val="%1"/>
      <w:numFmt w:val="decimal"/>
      <w:start w:val="1"/>
    </w:lvl>
    <w:lvl w:ilvl="1">
      <w:lvlJc w:val="left"/>
      <w:lvlText w:val="(%2)"/>
      <w:numFmt w:val="lowerRoman"/>
      <w:start w:val="3"/>
    </w:lvl>
  </w:abstractNum>
  <w:abstractNum w:abstractNumId="233">
    <w:nsid w:val="141D2302"/>
    <w:multiLevelType w:val="hybridMultilevel"/>
    <w:lvl w:ilvl="0">
      <w:lvlJc w:val="left"/>
      <w:lvlText w:val="%1."/>
      <w:numFmt w:val="decimal"/>
      <w:start w:val="3"/>
    </w:lvl>
    <w:lvl w:ilvl="1">
      <w:lvlJc w:val="left"/>
      <w:lvlText w:val="%2"/>
      <w:numFmt w:val="lowerRoman"/>
      <w:start w:val="1"/>
    </w:lvl>
  </w:abstractNum>
  <w:abstractNum w:abstractNumId="234">
    <w:nsid w:val="407168D8"/>
    <w:multiLevelType w:val="hybridMultilevel"/>
    <w:lvl w:ilvl="0">
      <w:lvlJc w:val="left"/>
      <w:lvlText w:val="(%1)"/>
      <w:numFmt w:val="lowerLetter"/>
      <w:start w:val="1"/>
    </w:lvl>
  </w:abstractNum>
  <w:abstractNum w:abstractNumId="235">
    <w:nsid w:val="6A1B45E5"/>
    <w:multiLevelType w:val="hybridMultilevel"/>
    <w:lvl w:ilvl="0">
      <w:lvlJc w:val="left"/>
      <w:lvlText w:val="%1."/>
      <w:numFmt w:val="decimal"/>
      <w:start w:val="6"/>
    </w:lvl>
  </w:abstractNum>
  <w:abstractNum w:abstractNumId="236">
    <w:nsid w:val="567BD50A"/>
    <w:multiLevelType w:val="hybridMultilevel"/>
    <w:lvl w:ilvl="0">
      <w:lvlJc w:val="left"/>
      <w:lvlText w:val="%1."/>
      <w:numFmt w:val="decimal"/>
      <w:start w:val="14"/>
    </w:lvl>
    <w:lvl w:ilvl="1">
      <w:lvlJc w:val="left"/>
      <w:lvlText w:val="(%2)"/>
      <w:numFmt w:val="lowerLetter"/>
      <w:start w:val="1"/>
    </w:lvl>
  </w:abstractNum>
  <w:abstractNum w:abstractNumId="237">
    <w:nsid w:val="73BBD7F8"/>
    <w:multiLevelType w:val="hybridMultilevel"/>
    <w:lvl w:ilvl="0">
      <w:lvlJc w:val="left"/>
      <w:lvlText w:val="(%1)"/>
      <w:numFmt w:val="lowerLetter"/>
      <w:start w:val="7"/>
    </w:lvl>
  </w:abstractNum>
  <w:abstractNum w:abstractNumId="238">
    <w:nsid w:val="1876589D"/>
    <w:multiLevelType w:val="hybridMultilevel"/>
    <w:lvl w:ilvl="0">
      <w:lvlJc w:val="left"/>
      <w:lvlText w:val="%1."/>
      <w:numFmt w:val="decimal"/>
      <w:start w:val="1"/>
    </w:lvl>
    <w:lvl w:ilvl="1">
      <w:lvlJc w:val="left"/>
      <w:lvlText w:val="%2."/>
      <w:numFmt w:val="lowerLetter"/>
      <w:start w:val="1"/>
    </w:lvl>
  </w:abstractNum>
  <w:abstractNum w:abstractNumId="239">
    <w:nsid w:val="327FAC77"/>
    <w:multiLevelType w:val="hybridMultilevel"/>
    <w:lvl w:ilvl="0">
      <w:lvlJc w:val="left"/>
      <w:lvlText w:val="%1"/>
      <w:numFmt w:val="upperLetter"/>
      <w:start w:val="1"/>
    </w:lvl>
    <w:lvl w:ilvl="1">
      <w:lvlJc w:val="left"/>
      <w:lvlText w:val="%2."/>
      <w:numFmt w:val="decimal"/>
      <w:start w:val="4"/>
    </w:lvl>
  </w:abstractNum>
  <w:abstractNum w:abstractNumId="240">
    <w:nsid w:val="5A606509"/>
    <w:multiLevelType w:val="hybridMultilevel"/>
    <w:lvl w:ilvl="0">
      <w:lvlJc w:val="left"/>
      <w:lvlText w:val="%1."/>
      <w:numFmt w:val="decimal"/>
      <w:start w:val="1"/>
    </w:lvl>
  </w:abstractNum>
  <w:abstractNum w:abstractNumId="241">
    <w:nsid w:val="6F38E6D1"/>
    <w:multiLevelType w:val="hybridMultilevel"/>
    <w:lvl w:ilvl="0">
      <w:lvlJc w:val="left"/>
      <w:lvlText w:val="%1."/>
      <w:numFmt w:val="decimal"/>
      <w:start w:val="1"/>
    </w:lvl>
  </w:abstractNum>
  <w:abstractNum w:abstractNumId="242">
    <w:nsid w:val="46111BA5"/>
    <w:multiLevelType w:val="hybridMultilevel"/>
    <w:lvl w:ilvl="0">
      <w:lvlJc w:val="left"/>
      <w:lvlText w:val="%1."/>
      <w:numFmt w:val="decimal"/>
      <w:start w:val="2"/>
    </w:lvl>
  </w:abstractNum>
  <w:abstractNum w:abstractNumId="243">
    <w:nsid w:val="5E963896"/>
    <w:multiLevelType w:val="hybridMultilevel"/>
    <w:lvl w:ilvl="0">
      <w:lvlJc w:val="left"/>
      <w:lvlText w:val="%1."/>
      <w:numFmt w:val="decimal"/>
      <w:start w:val="3"/>
    </w:lvl>
  </w:abstractNum>
  <w:abstractNum w:abstractNumId="244">
    <w:nsid w:val="775BA7C1"/>
    <w:multiLevelType w:val="hybridMultilevel"/>
    <w:lvl w:ilvl="0">
      <w:lvlJc w:val="left"/>
      <w:lvlText w:val="%1."/>
      <w:numFmt w:val="decimal"/>
      <w:start w:val="4"/>
    </w:lvl>
  </w:abstractNum>
  <w:abstractNum w:abstractNumId="245">
    <w:nsid w:val="1DD6D6F4"/>
    <w:multiLevelType w:val="hybridMultilevel"/>
    <w:lvl w:ilvl="0">
      <w:lvlJc w:val="left"/>
      <w:lvlText w:val="%1."/>
      <w:numFmt w:val="decimal"/>
      <w:start w:val="1"/>
    </w:lvl>
  </w:abstractNum>
  <w:abstractNum w:abstractNumId="246">
    <w:nsid w:val="769A091F"/>
    <w:multiLevelType w:val="hybridMultilevel"/>
    <w:lvl w:ilvl="0">
      <w:lvlJc w:val="left"/>
      <w:lvlText w:val="%1."/>
      <w:numFmt w:val="decimal"/>
      <w:start w:val="2"/>
    </w:lvl>
  </w:abstractNum>
  <w:abstractNum w:abstractNumId="247">
    <w:nsid w:val="4695AE95"/>
    <w:multiLevelType w:val="hybridMultilevel"/>
    <w:lvl w:ilvl="0">
      <w:lvlJc w:val="left"/>
      <w:lvlText w:val="%1."/>
      <w:numFmt w:val="decimal"/>
      <w:start w:val="3"/>
    </w:lvl>
  </w:abstractNum>
  <w:abstractNum w:abstractNumId="248">
    <w:nsid w:val="777A4EAA"/>
    <w:multiLevelType w:val="hybridMultilevel"/>
    <w:lvl w:ilvl="0">
      <w:lvlJc w:val="left"/>
      <w:lvlText w:val="%1."/>
      <w:numFmt w:val="upperLetter"/>
      <w:start w:val="4"/>
    </w:lvl>
  </w:abstractNum>
  <w:abstractNum w:abstractNumId="249">
    <w:nsid w:val="3F48B982"/>
    <w:multiLevelType w:val="hybridMultilevel"/>
    <w:lvl w:ilvl="0">
      <w:lvlJc w:val="left"/>
      <w:lvlText w:val="%1."/>
      <w:numFmt w:val="upperLetter"/>
      <w:start w:val="8"/>
    </w:lvl>
  </w:abstractNum>
  <w:abstractNum w:abstractNumId="250">
    <w:nsid w:val="46BA8FCA"/>
    <w:multiLevelType w:val="hybridMultilevel"/>
    <w:lvl w:ilvl="0">
      <w:lvlJc w:val="left"/>
      <w:lvlText w:val="•"/>
      <w:numFmt w:val="bullet"/>
      <w:start w:val="1"/>
    </w:lvl>
  </w:abstractNum>
  <w:abstractNum w:abstractNumId="251">
    <w:nsid w:val="7835626C"/>
    <w:multiLevelType w:val="hybridMultilevel"/>
    <w:lvl w:ilvl="0">
      <w:lvlJc w:val="left"/>
      <w:lvlText w:val="∗"/>
      <w:numFmt w:val="bullet"/>
      <w:start w:val="1"/>
    </w:lvl>
  </w:abstractNum>
  <w:abstractNum w:abstractNumId="252">
    <w:nsid w:val="665ACA49"/>
    <w:multiLevelType w:val="hybridMultilevel"/>
    <w:lvl w:ilvl="0">
      <w:lvlJc w:val="left"/>
      <w:lvlText w:val="%1."/>
      <w:numFmt w:val="decimal"/>
      <w:start w:val="1"/>
    </w:lvl>
    <w:lvl w:ilvl="1">
      <w:lvlJc w:val="left"/>
      <w:lvlText w:val="%2."/>
      <w:numFmt w:val="decimal"/>
      <w:start w:val="1"/>
    </w:lvl>
  </w:abstractNum>
  <w:abstractNum w:abstractNumId="253">
    <w:nsid w:val="6835B2AE"/>
    <w:multiLevelType w:val="hybridMultilevel"/>
    <w:lvl w:ilvl="0">
      <w:lvlJc w:val="left"/>
      <w:lvlText w:val="%1."/>
      <w:numFmt w:val="decimal"/>
      <w:start w:val="5"/>
    </w:lvl>
  </w:abstractNum>
  <w:abstractNum w:abstractNumId="254">
    <w:nsid w:val="4C187C9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5">
    <w:nsid w:val="541F28CD"/>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2"/>
    </w:lvl>
  </w:abstractNum>
  <w:abstractNum w:abstractNumId="256">
    <w:nsid w:val="7F65FD16"/>
    <w:multiLevelType w:val="hybridMultilevel"/>
    <w:lvl w:ilvl="0">
      <w:lvlJc w:val="left"/>
      <w:lvlText w:val="%1"/>
      <w:numFmt w:val="decimal"/>
      <w:start w:val="1"/>
    </w:lvl>
    <w:lvl w:ilvl="1">
      <w:lvlJc w:val="left"/>
      <w:lvlText w:val="%2."/>
      <w:numFmt w:val="lowerLetter"/>
      <w:start w:val="3"/>
    </w:lvl>
  </w:abstractNum>
  <w:abstractNum w:abstractNumId="257">
    <w:nsid w:val="77C9FD68"/>
    <w:multiLevelType w:val="hybridMultilevel"/>
    <w:lvl w:ilvl="0">
      <w:lvlJc w:val="left"/>
      <w:lvlText w:val="%1."/>
      <w:numFmt w:val="decimal"/>
      <w:start w:val="3"/>
    </w:lvl>
    <w:lvl w:ilvl="1">
      <w:lvlJc w:val="left"/>
      <w:lvlText w:val="%2"/>
      <w:numFmt w:val="lowerLetter"/>
      <w:start w:val="1"/>
    </w:lvl>
  </w:abstractNum>
  <w:abstractNum w:abstractNumId="258">
    <w:nsid w:val="298A92BA"/>
    <w:multiLevelType w:val="hybridMultilevel"/>
    <w:lvl w:ilvl="0">
      <w:lvlJc w:val="left"/>
      <w:lvlText w:val="%1."/>
      <w:numFmt w:val="decimal"/>
      <w:start w:val="5"/>
    </w:lvl>
  </w:abstractNum>
  <w:abstractNum w:abstractNumId="259">
    <w:nsid w:val="6FE95EAC"/>
    <w:multiLevelType w:val="hybridMultilevel"/>
    <w:lvl w:ilvl="0">
      <w:lvlJc w:val="left"/>
      <w:lvlText w:val="%1."/>
      <w:numFmt w:val="decimal"/>
      <w:start w:val="9"/>
    </w:lvl>
  </w:abstractNum>
  <w:abstractNum w:abstractNumId="260">
    <w:nsid w:val="4B697C7A"/>
    <w:multiLevelType w:val="hybridMultilevel"/>
    <w:lvl w:ilvl="0">
      <w:lvlJc w:val="left"/>
      <w:lvlText w:val="*"/>
      <w:numFmt w:val="bullet"/>
      <w:start w:val="1"/>
    </w:lvl>
  </w:abstractNum>
  <w:abstractNum w:abstractNumId="261">
    <w:nsid w:val="51A27AA6"/>
    <w:multiLevelType w:val="hybridMultilevel"/>
    <w:lvl w:ilvl="0">
      <w:lvlJc w:val="left"/>
      <w:lvlText w:val="%1."/>
      <w:numFmt w:val="decimal"/>
      <w:start w:val="1"/>
    </w:lvl>
    <w:lvl w:ilvl="1">
      <w:lvlJc w:val="left"/>
      <w:lvlText w:val="(%2)"/>
      <w:numFmt w:val="lowerLetter"/>
      <w:start w:val="1"/>
    </w:lvl>
  </w:abstractNum>
  <w:abstractNum w:abstractNumId="262">
    <w:nsid w:val="613183F2"/>
    <w:multiLevelType w:val="hybridMultilevel"/>
    <w:lvl w:ilvl="0">
      <w:lvlJc w:val="left"/>
      <w:lvlText w:val="%1."/>
      <w:numFmt w:val="decimal"/>
      <w:start w:val="1"/>
    </w:lvl>
    <w:lvl w:ilvl="1">
      <w:lvlJc w:val="left"/>
      <w:lvlText w:val="(%2)"/>
      <w:numFmt w:val="lowerLetter"/>
      <w:start w:val="1"/>
    </w:lvl>
  </w:abstractNum>
  <w:abstractNum w:abstractNumId="263">
    <w:nsid w:val="634102B4"/>
    <w:multiLevelType w:val="hybridMultilevel"/>
    <w:lvl w:ilvl="0">
      <w:lvlJc w:val="left"/>
      <w:lvlText w:val="%1."/>
      <w:numFmt w:val="decimal"/>
      <w:start w:val="1"/>
    </w:lvl>
  </w:abstractNum>
  <w:abstractNum w:abstractNumId="264">
    <w:nsid w:val="65BF9D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22" Type="http://schemas.openxmlformats.org/officeDocument/2006/relationships/image" Target="media/image373.png"/><Relationship Id="rId423" Type="http://schemas.openxmlformats.org/officeDocument/2006/relationships/image" Target="media/image374.png"/><Relationship Id="rId424" Type="http://schemas.openxmlformats.org/officeDocument/2006/relationships/image" Target="media/image375.png"/><Relationship Id="rId425" Type="http://schemas.openxmlformats.org/officeDocument/2006/relationships/image" Target="media/image376.png"/><Relationship Id="rId426" Type="http://schemas.openxmlformats.org/officeDocument/2006/relationships/image" Target="media/image377.png"/><Relationship Id="rId427" Type="http://schemas.openxmlformats.org/officeDocument/2006/relationships/image" Target="media/image378.png"/><Relationship Id="rId428" Type="http://schemas.openxmlformats.org/officeDocument/2006/relationships/image" Target="media/image379.png"/><Relationship Id="rId429" Type="http://schemas.openxmlformats.org/officeDocument/2006/relationships/image" Target="media/image380.png"/><Relationship Id="rId430" Type="http://schemas.openxmlformats.org/officeDocument/2006/relationships/image" Target="media/image381.png"/><Relationship Id="rId431" Type="http://schemas.openxmlformats.org/officeDocument/2006/relationships/image" Target="media/image382.png"/><Relationship Id="rId432" Type="http://schemas.openxmlformats.org/officeDocument/2006/relationships/image" Target="media/image383.png"/><Relationship Id="rId433" Type="http://schemas.openxmlformats.org/officeDocument/2006/relationships/image" Target="media/image384.png"/><Relationship Id="rId434" Type="http://schemas.openxmlformats.org/officeDocument/2006/relationships/image" Target="media/image385.png"/><Relationship Id="rId435" Type="http://schemas.openxmlformats.org/officeDocument/2006/relationships/image" Target="media/image386.png"/><Relationship Id="rId436" Type="http://schemas.openxmlformats.org/officeDocument/2006/relationships/image" Target="media/image387.png"/><Relationship Id="rId437" Type="http://schemas.openxmlformats.org/officeDocument/2006/relationships/image" Target="media/image388.png"/><Relationship Id="rId438" Type="http://schemas.openxmlformats.org/officeDocument/2006/relationships/image" Target="media/image389.png"/><Relationship Id="rId439" Type="http://schemas.openxmlformats.org/officeDocument/2006/relationships/image" Target="media/image390.png"/><Relationship Id="rId440" Type="http://schemas.openxmlformats.org/officeDocument/2006/relationships/image" Target="media/image391.png"/><Relationship Id="rId441" Type="http://schemas.openxmlformats.org/officeDocument/2006/relationships/image" Target="media/image392.png"/><Relationship Id="rId442" Type="http://schemas.openxmlformats.org/officeDocument/2006/relationships/image" Target="media/image393.png"/><Relationship Id="rId443" Type="http://schemas.openxmlformats.org/officeDocument/2006/relationships/image" Target="media/image394.png"/><Relationship Id="rId444" Type="http://schemas.openxmlformats.org/officeDocument/2006/relationships/image" Target="media/image395.png"/><Relationship Id="rId376" Type="http://schemas.openxmlformats.org/officeDocument/2006/relationships/hyperlink" Target="https://www.sec.gov/Archives/edgar/data/927628/000092762820000189/exhibit32restatedcerti.htm" TargetMode="External"/><Relationship Id="rId377" Type="http://schemas.openxmlformats.org/officeDocument/2006/relationships/hyperlink" Target="https://www.sec.gov/Archives/edgar/data/0000927628/000092762821000285/exhibit31amendedandrestate.htm" TargetMode="External"/><Relationship Id="rId378" Type="http://schemas.openxmlformats.org/officeDocument/2006/relationships/hyperlink" Target="https://www.sec.gov/Archives/edgar/data/927628/000119312519243010/d766839dex31.htm" TargetMode="External"/><Relationship Id="rId379" Type="http://schemas.openxmlformats.org/officeDocument/2006/relationships/hyperlink" Target="https://www.sec.gov/Archives/edgar/data/927628/000119312520021345/d863354dex31.htm" TargetMode="External"/><Relationship Id="rId380" Type="http://schemas.openxmlformats.org/officeDocument/2006/relationships/hyperlink" Target="https://www.sec.gov/Archives/edgar/data/927628/000119312520248074/d72664dex31.htm" TargetMode="External"/><Relationship Id="rId381" Type="http://schemas.openxmlformats.org/officeDocument/2006/relationships/hyperlink" Target="https://www.sec.gov/Archives/edgar/data/0000927628/000095010321006687/dp150414_ex0301.htm" TargetMode="External"/><Relationship Id="rId382" Type="http://schemas.openxmlformats.org/officeDocument/2006/relationships/hyperlink" Target="https://www.sec.gov/Archives/edgar/data/0000927628/000095010321008647/dp152438_ex0301.htm" TargetMode="External"/><Relationship Id="rId383" Type="http://schemas.openxmlformats.org/officeDocument/2006/relationships/hyperlink" Target="https://www.sec.gov/Archives/edgar/data/0000927628/000119312521229186/d205654dex31.htm" TargetMode="External"/><Relationship Id="rId384" Type="http://schemas.openxmlformats.org/officeDocument/2006/relationships/hyperlink" Target="https://www.sec.gov/Archives/edgar/data/927628/000119312504035097/dex41.htm" TargetMode="External"/><Relationship Id="rId385" Type="http://schemas.openxmlformats.org/officeDocument/2006/relationships/hyperlink" Target="https://www.sec.gov/Archives/edgar/data/927628/000119312509247098/dex41.htm" TargetMode="External"/><Relationship Id="rId386" Type="http://schemas.openxmlformats.org/officeDocument/2006/relationships/hyperlink" Target="https://www.sec.gov/Archives/edgar/data/927628/000119312519243010/d766839dex41.htm" TargetMode="External"/><Relationship Id="rId387" Type="http://schemas.openxmlformats.org/officeDocument/2006/relationships/hyperlink" Target="https://www.sec.gov/Archives/edgar/data/927628/000119312520021345/d863354dex41.htm" TargetMode="External"/><Relationship Id="rId388" Type="http://schemas.openxmlformats.org/officeDocument/2006/relationships/hyperlink" Target="https://www.sec.gov/Archives/edgar/data/927628/000119312520248074/d72664dex41.htm" TargetMode="External"/><Relationship Id="rId389" Type="http://schemas.openxmlformats.org/officeDocument/2006/relationships/hyperlink" Target="https://www.sec.gov/Archives/edgar/data/927628/000095010321006687/dp150414_ex0401.htm" TargetMode="External"/><Relationship Id="rId390" Type="http://schemas.openxmlformats.org/officeDocument/2006/relationships/hyperlink" Target="https://www.sec.gov/Archives/edgar/data/927628/000119312521229186/d205654dex41.htm" TargetMode="External"/><Relationship Id="rId393" Type="http://schemas.openxmlformats.org/officeDocument/2006/relationships/hyperlink" Target="https://www.sec.gov/Archives/edgar/data/0000927628/000092762821000177/exhibit101-sixthamendedand.htm" TargetMode="External"/><Relationship Id="rId394" Type="http://schemas.openxmlformats.org/officeDocument/2006/relationships/hyperlink" Target="https://www.sec.gov/Archives/edgar/data/927628/000119312514073467/d637300dex10215.htm" TargetMode="External"/><Relationship Id="rId395" Type="http://schemas.openxmlformats.org/officeDocument/2006/relationships/hyperlink" Target="https://www.sec.gov/Archives/edgar/data/927628/000092762815000026/cof-12312014x10xkxex10214.htm" TargetMode="External"/><Relationship Id="rId396" Type="http://schemas.openxmlformats.org/officeDocument/2006/relationships/hyperlink" Target="https://www.sec.gov/Archives/edgar/data/927628/000092762816000140/cof-12312015x10xkxex10217.htm" TargetMode="External"/><Relationship Id="rId397" Type="http://schemas.openxmlformats.org/officeDocument/2006/relationships/hyperlink" Target="https://www.sec.gov/Archives/edgar/data/927628/000092762817000115/cof-12312016x10kxex10219.htm" TargetMode="External"/><Relationship Id="rId398" Type="http://schemas.openxmlformats.org/officeDocument/2006/relationships/hyperlink" Target="https://www.sec.gov/Archives/edgar/data/927628/000092762820000102/cof-12312019x10kxex10223.htm" TargetMode="External"/><Relationship Id="rId399" Type="http://schemas.openxmlformats.org/officeDocument/2006/relationships/hyperlink" Target="https://www.sec.gov/Archives/edgar/data/927628/000092762820000102/cof-12312019x10kxex10224.htm" TargetMode="External"/><Relationship Id="rId400" Type="http://schemas.openxmlformats.org/officeDocument/2006/relationships/hyperlink" Target="https://www.sec.gov/Archives/edgar/data/0000927628/000092762821000094/cof-12312020x10kxex10225.htm" TargetMode="External"/><Relationship Id="rId401" Type="http://schemas.openxmlformats.org/officeDocument/2006/relationships/hyperlink" Target="https://www.sec.gov/Archives/edgar/data/0000927628/000092762821000094/cof-12312020x10kxex10226.htm" TargetMode="External"/><Relationship Id="rId402" Type="http://schemas.openxmlformats.org/officeDocument/2006/relationships/hyperlink" Target="https://www.sec.gov/Archives/edgar/data/0000927628/000092762821000094/cof-12312020x10kxex10227.htm" TargetMode="External"/><Relationship Id="rId403" Type="http://schemas.openxmlformats.org/officeDocument/2006/relationships/hyperlink" Target="https://www.sec.gov/Archives/edgar/data/927628/000092762822000106/cof-12312021x10kxex10213.htm" TargetMode="External"/><Relationship Id="rId404" Type="http://schemas.openxmlformats.org/officeDocument/2006/relationships/hyperlink" Target="https://www.sec.gov/Archives/edgar/data/927628/000092762822000106/cof-12312021x10kxex10214.htm" TargetMode="External"/><Relationship Id="rId405" Type="http://schemas.openxmlformats.org/officeDocument/2006/relationships/hyperlink" Target="https://www.sec.gov/Archives/edgar/data/927628/000092762822000106/cof-12312021x10kxex10215.htm" TargetMode="External"/><Relationship Id="rId408" Type="http://schemas.openxmlformats.org/officeDocument/2006/relationships/hyperlink" Target="https://www.sec.gov/Archives/edgar/data/927628/000095013303000793/w83110exv10w4.txt" TargetMode="External"/><Relationship Id="rId409" Type="http://schemas.openxmlformats.org/officeDocument/2006/relationships/hyperlink" Target="https://www.sec.gov/Archives/edgar/data/927628/000119312504182855/dex103.htm" TargetMode="External"/><Relationship Id="rId410" Type="http://schemas.openxmlformats.org/officeDocument/2006/relationships/hyperlink" Target="https://www.sec.gov/Archives/edgar/data/927628/000119312512086138/d258810dex1034.htm" TargetMode="External"/><Relationship Id="rId411" Type="http://schemas.openxmlformats.org/officeDocument/2006/relationships/hyperlink" Target="https://www.sec.gov/Archives/edgar/data/927628/000092762818000281/cof-06302018x10qxex101.htm" TargetMode="External"/><Relationship Id="rId412" Type="http://schemas.openxmlformats.org/officeDocument/2006/relationships/hyperlink" Target="https://www.sec.gov/Archives/edgar/data/927628/000092762819000274/cof-06302019x10qxex102.htm" TargetMode="External"/><Relationship Id="rId413" Type="http://schemas.openxmlformats.org/officeDocument/2006/relationships/hyperlink" Target="https://www.sec.gov/Archives/edgar/data/927628/000092762822000246/cof-06302022x10qxex101.htm" TargetMode="External"/><Relationship Id="rId414" Type="http://schemas.openxmlformats.org/officeDocument/2006/relationships/hyperlink" Target="https://www.sec.gov/Archives/edgar/data/927628/000092762815000106/cof-09302015x10qxex101.htm" TargetMode="External"/><Relationship Id="rId415" Type="http://schemas.openxmlformats.org/officeDocument/2006/relationships/hyperlink" Target="https://www.sec.gov/Archives/edgar/data/927628/000119312512086138/d258810dex105.htm" TargetMode="External"/><Relationship Id="rId416" Type="http://schemas.openxmlformats.org/officeDocument/2006/relationships/hyperlink" Target="https://www.sec.gov/Archives/edgar/data/927628/000119312512086138/d258810dex106.htm" TargetMode="External"/><Relationship Id="rId417" Type="http://schemas.openxmlformats.org/officeDocument/2006/relationships/hyperlink" Target="https://www.sec.gov/Archives/edgar/data/927628/000119312513084249/d447949dex1062.htm" TargetMode="External"/><Relationship Id="rId418" Type="http://schemas.openxmlformats.org/officeDocument/2006/relationships/hyperlink" Target="https://www.sec.gov/Archives/edgar/data/927628/000119312512086138/d258810dex1082.htm" TargetMode="External"/><Relationship Id="rId419" Type="http://schemas.openxmlformats.org/officeDocument/2006/relationships/hyperlink" Target="https://www.sec.gov/Archives/edgar/data/927628/000119312513084249/d447949dex1083.htm" TargetMode="External"/><Relationship Id="rId420" Type="http://schemas.openxmlformats.org/officeDocument/2006/relationships/hyperlink" Target="https://www.sec.gov/Archives/edgar/data/927628/000119312514073467/d637300dex1073.htm" TargetMode="External"/><Relationship Id="rId421" Type="http://schemas.openxmlformats.org/officeDocument/2006/relationships/hyperlink" Target="https://www.sec.gov/Archives/edgar/data/927628/000119312513084249/d447949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2023-02-24T16:27:26Z</dcterms:created>
  <dcterms:modified xsi:type="dcterms:W3CDTF">2023-02-24T16:27:26Z</dcterms:modified>
</cp:coreProperties>
</file>