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791845</wp:posOffset>
            </wp:positionV>
            <wp:extent cx="7089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31"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15,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CAPITAL ONE FINANCIAL CORPORATION</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7"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96" w:lineRule="exact"/>
        <w:rPr>
          <w:sz w:val="24"/>
          <w:szCs w:val="24"/>
          <w:color w:val="auto"/>
        </w:rPr>
      </w:pPr>
    </w:p>
    <w:tbl>
      <w:tblPr>
        <w:tblLayout w:type="fixed"/>
        <w:tblInd w:w="620" w:type="dxa"/>
        <w:tblCellMar>
          <w:top w:w="0" w:type="dxa"/>
          <w:left w:w="0" w:type="dxa"/>
          <w:bottom w:w="0" w:type="dxa"/>
          <w:right w:w="0" w:type="dxa"/>
        </w:tblCellMar>
      </w:tblPr>
      <w:tr>
        <w:trPr>
          <w:trHeight w:val="186"/>
        </w:trPr>
        <w:tc>
          <w:tcPr>
            <w:tcW w:w="284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Delaware</w:t>
            </w:r>
          </w:p>
        </w:tc>
        <w:tc>
          <w:tcPr>
            <w:tcW w:w="4500" w:type="dxa"/>
            <w:vAlign w:val="bottom"/>
          </w:tcPr>
          <w:p>
            <w:pPr>
              <w:jc w:val="center"/>
              <w:ind w:right="131"/>
              <w:spacing w:after="0"/>
              <w:rPr>
                <w:sz w:val="20"/>
                <w:szCs w:val="20"/>
                <w:color w:val="auto"/>
              </w:rPr>
            </w:pPr>
            <w:r>
              <w:rPr>
                <w:rFonts w:ascii="Arial" w:cs="Arial" w:eastAsia="Arial" w:hAnsi="Arial"/>
                <w:sz w:val="14"/>
                <w:szCs w:val="14"/>
                <w:b w:val="1"/>
                <w:bCs w:val="1"/>
                <w:color w:val="auto"/>
                <w:w w:val="92"/>
              </w:rPr>
              <w:t>001-13300</w:t>
            </w:r>
          </w:p>
        </w:tc>
        <w:tc>
          <w:tcPr>
            <w:tcW w:w="2340" w:type="dxa"/>
            <w:vAlign w:val="bottom"/>
          </w:tcPr>
          <w:p>
            <w:pPr>
              <w:jc w:val="right"/>
              <w:ind w:right="628"/>
              <w:spacing w:after="0"/>
              <w:rPr>
                <w:sz w:val="20"/>
                <w:szCs w:val="20"/>
                <w:color w:val="auto"/>
              </w:rPr>
            </w:pPr>
            <w:r>
              <w:rPr>
                <w:rFonts w:ascii="Arial" w:cs="Arial" w:eastAsia="Arial" w:hAnsi="Arial"/>
                <w:sz w:val="14"/>
                <w:szCs w:val="14"/>
                <w:b w:val="1"/>
                <w:bCs w:val="1"/>
                <w:color w:val="auto"/>
              </w:rPr>
              <w:t>54-1719854</w:t>
            </w:r>
          </w:p>
        </w:tc>
      </w:tr>
      <w:tr>
        <w:trPr>
          <w:trHeight w:val="189"/>
        </w:trPr>
        <w:tc>
          <w:tcPr>
            <w:tcW w:w="28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(State or other jurisdiction of incorporation)</w:t>
            </w:r>
          </w:p>
        </w:tc>
        <w:tc>
          <w:tcPr>
            <w:tcW w:w="4500" w:type="dxa"/>
            <w:vAlign w:val="bottom"/>
          </w:tcPr>
          <w:p>
            <w:pPr>
              <w:jc w:val="center"/>
              <w:ind w:right="131"/>
              <w:spacing w:after="0"/>
              <w:rPr>
                <w:sz w:val="20"/>
                <w:szCs w:val="20"/>
                <w:color w:val="auto"/>
              </w:rPr>
            </w:pPr>
            <w:r>
              <w:rPr>
                <w:rFonts w:ascii="Arial" w:cs="Arial" w:eastAsia="Arial" w:hAnsi="Arial"/>
                <w:sz w:val="14"/>
                <w:szCs w:val="14"/>
                <w:b w:val="1"/>
                <w:bCs w:val="1"/>
                <w:color w:val="auto"/>
                <w:w w:val="93"/>
              </w:rPr>
              <w:t>(Commission File Number)</w:t>
            </w:r>
          </w:p>
        </w:tc>
        <w:tc>
          <w:tcPr>
            <w:tcW w:w="2340" w:type="dxa"/>
            <w:vAlign w:val="bottom"/>
          </w:tcPr>
          <w:p>
            <w:pPr>
              <w:jc w:val="center"/>
              <w:ind w:left="168"/>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189"/>
        </w:trPr>
        <w:tc>
          <w:tcPr>
            <w:tcW w:w="284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1680 Capital One Drive,</w:t>
            </w:r>
          </w:p>
        </w:tc>
        <w:tc>
          <w:tcPr>
            <w:tcW w:w="45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9"/>
        </w:trPr>
        <w:tc>
          <w:tcPr>
            <w:tcW w:w="2840" w:type="dxa"/>
            <w:vAlign w:val="bottom"/>
          </w:tcPr>
          <w:p>
            <w:pPr>
              <w:ind w:left="780"/>
              <w:spacing w:after="0"/>
              <w:rPr>
                <w:sz w:val="20"/>
                <w:szCs w:val="20"/>
                <w:color w:val="auto"/>
              </w:rPr>
            </w:pPr>
            <w:r>
              <w:rPr>
                <w:rFonts w:ascii="Arial" w:cs="Arial" w:eastAsia="Arial" w:hAnsi="Arial"/>
                <w:sz w:val="14"/>
                <w:szCs w:val="14"/>
                <w:b w:val="1"/>
                <w:bCs w:val="1"/>
                <w:color w:val="auto"/>
              </w:rPr>
              <w:t>McLean, Virginia</w:t>
            </w:r>
          </w:p>
        </w:tc>
        <w:tc>
          <w:tcPr>
            <w:tcW w:w="4500" w:type="dxa"/>
            <w:vAlign w:val="bottom"/>
          </w:tcPr>
          <w:p>
            <w:pPr>
              <w:spacing w:after="0"/>
              <w:rPr>
                <w:sz w:val="16"/>
                <w:szCs w:val="16"/>
                <w:color w:val="auto"/>
              </w:rPr>
            </w:pPr>
          </w:p>
        </w:tc>
        <w:tc>
          <w:tcPr>
            <w:tcW w:w="2340" w:type="dxa"/>
            <w:vAlign w:val="bottom"/>
          </w:tcPr>
          <w:p>
            <w:pPr>
              <w:jc w:val="right"/>
              <w:ind w:right="788"/>
              <w:spacing w:after="0"/>
              <w:rPr>
                <w:sz w:val="20"/>
                <w:szCs w:val="20"/>
                <w:color w:val="auto"/>
              </w:rPr>
            </w:pPr>
            <w:r>
              <w:rPr>
                <w:rFonts w:ascii="Arial" w:cs="Arial" w:eastAsia="Arial" w:hAnsi="Arial"/>
                <w:sz w:val="14"/>
                <w:szCs w:val="14"/>
                <w:b w:val="1"/>
                <w:bCs w:val="1"/>
                <w:color w:val="auto"/>
              </w:rPr>
              <w:t>22102</w:t>
            </w:r>
          </w:p>
        </w:tc>
      </w:tr>
      <w:tr>
        <w:trPr>
          <w:trHeight w:val="189"/>
        </w:trPr>
        <w:tc>
          <w:tcPr>
            <w:tcW w:w="284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spacing w:after="0"/>
              <w:rPr>
                <w:sz w:val="16"/>
                <w:szCs w:val="16"/>
                <w:color w:val="auto"/>
              </w:rPr>
            </w:pPr>
          </w:p>
        </w:tc>
        <w:tc>
          <w:tcPr>
            <w:tcW w:w="2340" w:type="dxa"/>
            <w:vAlign w:val="bottom"/>
          </w:tcPr>
          <w:p>
            <w:pPr>
              <w:jc w:val="center"/>
              <w:ind w:left="168"/>
              <w:spacing w:after="0"/>
              <w:rPr>
                <w:sz w:val="20"/>
                <w:szCs w:val="20"/>
                <w:color w:val="auto"/>
              </w:rPr>
            </w:pPr>
            <w:r>
              <w:rPr>
                <w:rFonts w:ascii="Arial" w:cs="Arial" w:eastAsia="Arial" w:hAnsi="Arial"/>
                <w:sz w:val="14"/>
                <w:szCs w:val="14"/>
                <w:b w:val="1"/>
                <w:bCs w:val="1"/>
                <w:color w:val="auto"/>
                <w:w w:val="95"/>
              </w:rPr>
              <w:t>(Zip Code)</w:t>
            </w:r>
          </w:p>
        </w:tc>
      </w:tr>
      <w:tr>
        <w:trPr>
          <w:trHeight w:val="270"/>
        </w:trPr>
        <w:tc>
          <w:tcPr>
            <w:tcW w:w="2840" w:type="dxa"/>
            <w:vAlign w:val="bottom"/>
          </w:tcPr>
          <w:p>
            <w:pPr>
              <w:spacing w:after="0"/>
              <w:rPr>
                <w:sz w:val="23"/>
                <w:szCs w:val="23"/>
                <w:color w:val="auto"/>
              </w:rPr>
            </w:pPr>
          </w:p>
        </w:tc>
        <w:tc>
          <w:tcPr>
            <w:tcW w:w="4500" w:type="dxa"/>
            <w:vAlign w:val="bottom"/>
          </w:tcPr>
          <w:p>
            <w:pPr>
              <w:jc w:val="center"/>
              <w:ind w:right="91"/>
              <w:spacing w:after="0"/>
              <w:rPr>
                <w:sz w:val="20"/>
                <w:szCs w:val="20"/>
                <w:color w:val="auto"/>
              </w:rPr>
            </w:pPr>
            <w:r>
              <w:rPr>
                <w:rFonts w:ascii="Arial" w:cs="Arial" w:eastAsia="Arial" w:hAnsi="Arial"/>
                <w:sz w:val="14"/>
                <w:szCs w:val="14"/>
                <w:b w:val="1"/>
                <w:bCs w:val="1"/>
                <w:color w:val="auto"/>
                <w:w w:val="92"/>
              </w:rPr>
              <w:t>Registrant’s telephone number, including area code: (703) 720-1000</w:t>
            </w:r>
          </w:p>
        </w:tc>
        <w:tc>
          <w:tcPr>
            <w:tcW w:w="2340" w:type="dxa"/>
            <w:vAlign w:val="bottom"/>
          </w:tcPr>
          <w:p>
            <w:pPr>
              <w:spacing w:after="0"/>
              <w:rPr>
                <w:sz w:val="23"/>
                <w:szCs w:val="23"/>
                <w:color w:val="auto"/>
              </w:rPr>
            </w:pPr>
          </w:p>
        </w:tc>
      </w:tr>
      <w:tr>
        <w:trPr>
          <w:trHeight w:val="192"/>
        </w:trPr>
        <w:tc>
          <w:tcPr>
            <w:tcW w:w="2840" w:type="dxa"/>
            <w:vAlign w:val="bottom"/>
          </w:tcPr>
          <w:p>
            <w:pPr>
              <w:spacing w:after="0"/>
              <w:rPr>
                <w:sz w:val="16"/>
                <w:szCs w:val="16"/>
                <w:color w:val="auto"/>
              </w:rPr>
            </w:pPr>
          </w:p>
        </w:tc>
        <w:tc>
          <w:tcPr>
            <w:tcW w:w="4500" w:type="dxa"/>
            <w:vAlign w:val="bottom"/>
          </w:tcPr>
          <w:p>
            <w:pPr>
              <w:jc w:val="center"/>
              <w:ind w:right="91"/>
              <w:spacing w:after="0"/>
              <w:rPr>
                <w:sz w:val="20"/>
                <w:szCs w:val="20"/>
                <w:color w:val="auto"/>
              </w:rPr>
            </w:pPr>
            <w:r>
              <w:rPr>
                <w:rFonts w:ascii="Arial" w:cs="Arial" w:eastAsia="Arial" w:hAnsi="Arial"/>
                <w:sz w:val="14"/>
                <w:szCs w:val="14"/>
                <w:b w:val="1"/>
                <w:bCs w:val="1"/>
                <w:color w:val="auto"/>
                <w:w w:val="93"/>
              </w:rPr>
              <w:t>(Not applicable)</w:t>
            </w:r>
          </w:p>
        </w:tc>
        <w:tc>
          <w:tcPr>
            <w:tcW w:w="2340" w:type="dxa"/>
            <w:vAlign w:val="bottom"/>
          </w:tcPr>
          <w:p>
            <w:pPr>
              <w:spacing w:after="0"/>
              <w:rPr>
                <w:sz w:val="16"/>
                <w:szCs w:val="16"/>
                <w:color w:val="auto"/>
              </w:rPr>
            </w:pPr>
          </w:p>
        </w:tc>
      </w:tr>
      <w:tr>
        <w:trPr>
          <w:trHeight w:val="175"/>
        </w:trPr>
        <w:tc>
          <w:tcPr>
            <w:tcW w:w="2840" w:type="dxa"/>
            <w:vAlign w:val="bottom"/>
          </w:tcPr>
          <w:p>
            <w:pPr>
              <w:spacing w:after="0"/>
              <w:rPr>
                <w:sz w:val="15"/>
                <w:szCs w:val="15"/>
                <w:color w:val="auto"/>
              </w:rPr>
            </w:pPr>
          </w:p>
        </w:tc>
        <w:tc>
          <w:tcPr>
            <w:tcW w:w="4500" w:type="dxa"/>
            <w:vAlign w:val="bottom"/>
          </w:tcPr>
          <w:p>
            <w:pPr>
              <w:jc w:val="center"/>
              <w:ind w:right="111"/>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340" w:type="dxa"/>
            <w:vAlign w:val="bottom"/>
          </w:tcPr>
          <w:p>
            <w:pPr>
              <w:spacing w:after="0"/>
              <w:rPr>
                <w:sz w:val="15"/>
                <w:szCs w:val="15"/>
                <w:color w:val="auto"/>
              </w:rPr>
            </w:pPr>
          </w:p>
        </w:tc>
      </w:tr>
      <w:tr>
        <w:trPr>
          <w:trHeight w:val="136"/>
        </w:trPr>
        <w:tc>
          <w:tcPr>
            <w:tcW w:w="2840" w:type="dxa"/>
            <w:vAlign w:val="bottom"/>
          </w:tcPr>
          <w:p>
            <w:pPr>
              <w:spacing w:after="0"/>
              <w:rPr>
                <w:sz w:val="11"/>
                <w:szCs w:val="11"/>
                <w:color w:val="auto"/>
              </w:rPr>
            </w:pPr>
          </w:p>
        </w:tc>
        <w:tc>
          <w:tcPr>
            <w:tcW w:w="4500" w:type="dxa"/>
            <w:vAlign w:val="bottom"/>
          </w:tcPr>
          <w:p>
            <w:pPr>
              <w:jc w:val="center"/>
              <w:ind w:right="91"/>
              <w:spacing w:after="0"/>
              <w:rPr>
                <w:sz w:val="20"/>
                <w:szCs w:val="20"/>
                <w:color w:val="auto"/>
              </w:rPr>
            </w:pPr>
            <w:r>
              <w:rPr>
                <w:rFonts w:ascii="Arial" w:cs="Arial" w:eastAsia="Arial" w:hAnsi="Arial"/>
                <w:sz w:val="11"/>
                <w:szCs w:val="11"/>
                <w:color w:val="auto"/>
                <w:w w:val="88"/>
              </w:rPr>
              <w:t>____________________________________</w:t>
            </w:r>
          </w:p>
        </w:tc>
        <w:tc>
          <w:tcPr>
            <w:tcW w:w="2340" w:type="dxa"/>
            <w:vAlign w:val="bottom"/>
          </w:tcPr>
          <w:p>
            <w:pPr>
              <w:spacing w:after="0"/>
              <w:rPr>
                <w:sz w:val="11"/>
                <w:szCs w:val="11"/>
                <w:color w:val="auto"/>
              </w:rPr>
            </w:pPr>
          </w:p>
        </w:tc>
      </w:tr>
    </w:tbl>
    <w:p>
      <w:pPr>
        <w:spacing w:after="0" w:line="84"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79" w:lineRule="exact"/>
        <w:rPr>
          <w:sz w:val="24"/>
          <w:szCs w:val="2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6"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4"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4" w:lineRule="exact"/>
        <w:rPr>
          <w:rFonts w:ascii="MS PGothic" w:cs="MS PGothic" w:eastAsia="MS PGothic" w:hAnsi="MS PGothic"/>
          <w:sz w:val="14"/>
          <w:szCs w:val="14"/>
          <w:color w:val="auto"/>
        </w:rPr>
      </w:pPr>
    </w:p>
    <w:p>
      <w:pPr>
        <w:ind w:left="320" w:hanging="272"/>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86"/>
        </w:trPr>
        <w:tc>
          <w:tcPr>
            <w:tcW w:w="7820" w:type="dxa"/>
            <w:vAlign w:val="bottom"/>
          </w:tcPr>
          <w:p>
            <w:pPr>
              <w:ind w:left="37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9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8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Title of Each Class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230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Name of Each Exchange on Which</w:t>
            </w:r>
          </w:p>
        </w:tc>
        <w:tc>
          <w:tcPr>
            <w:tcW w:w="0" w:type="dxa"/>
            <w:vAlign w:val="bottom"/>
          </w:tcPr>
          <w:p>
            <w:pPr>
              <w:spacing w:after="0"/>
              <w:rPr>
                <w:sz w:val="1"/>
                <w:szCs w:val="1"/>
                <w:color w:val="auto"/>
              </w:rPr>
            </w:pPr>
          </w:p>
        </w:tc>
      </w:tr>
      <w:tr>
        <w:trPr>
          <w:trHeight w:val="184"/>
        </w:trPr>
        <w:tc>
          <w:tcPr>
            <w:tcW w:w="7820" w:type="dxa"/>
            <w:vAlign w:val="bottom"/>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30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182"/>
        </w:trPr>
        <w:tc>
          <w:tcPr>
            <w:tcW w:w="7820" w:type="dxa"/>
            <w:vAlign w:val="bottom"/>
          </w:tcPr>
          <w:p>
            <w:pPr>
              <w:jc w:val="center"/>
              <w:ind w:right="68"/>
              <w:spacing w:after="0"/>
              <w:rPr>
                <w:sz w:val="20"/>
                <w:szCs w:val="20"/>
                <w:color w:val="auto"/>
              </w:rPr>
            </w:pPr>
            <w:r>
              <w:rPr>
                <w:rFonts w:ascii="Arial" w:cs="Arial" w:eastAsia="Arial" w:hAnsi="Arial"/>
                <w:sz w:val="14"/>
                <w:szCs w:val="14"/>
                <w:color w:val="auto"/>
                <w:w w:val="92"/>
              </w:rPr>
              <w:t>Common Stock (par value $.01 per share)</w:t>
            </w: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COF</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820" w:type="dxa"/>
            <w:vAlign w:val="bottom"/>
          </w:tcPr>
          <w:p>
            <w:pPr>
              <w:jc w:val="center"/>
              <w:ind w:right="68"/>
              <w:spacing w:after="0"/>
              <w:rPr>
                <w:sz w:val="20"/>
                <w:szCs w:val="20"/>
                <w:color w:val="auto"/>
              </w:rPr>
            </w:pPr>
            <w:r>
              <w:rPr>
                <w:rFonts w:ascii="Arial" w:cs="Arial" w:eastAsia="Arial" w:hAnsi="Arial"/>
                <w:sz w:val="14"/>
                <w:szCs w:val="14"/>
                <w:color w:val="auto"/>
                <w:w w:val="92"/>
              </w:rPr>
              <w:t>Depositary Shares, Each Representing a 1/40th Interest in a Share of Fixed Rate Non-Cumulative Perpetual Preferred Stock, Series I</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COF PRI</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820" w:type="dxa"/>
            <w:vAlign w:val="bottom"/>
          </w:tcPr>
          <w:p>
            <w:pPr>
              <w:jc w:val="center"/>
              <w:ind w:right="68"/>
              <w:spacing w:after="0"/>
              <w:rPr>
                <w:sz w:val="20"/>
                <w:szCs w:val="20"/>
                <w:color w:val="auto"/>
              </w:rPr>
            </w:pPr>
            <w:r>
              <w:rPr>
                <w:rFonts w:ascii="Arial" w:cs="Arial" w:eastAsia="Arial" w:hAnsi="Arial"/>
                <w:sz w:val="14"/>
                <w:szCs w:val="14"/>
                <w:color w:val="auto"/>
                <w:w w:val="92"/>
              </w:rPr>
              <w:t>Depositary Shares, Each Representing a 1/40th Interest in a Share of Fixed Rate Non-Cumulative Perpetual Preferred Stock, Series J</w:t>
            </w: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COF PRJ</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820" w:type="dxa"/>
            <w:vAlign w:val="bottom"/>
          </w:tcPr>
          <w:p>
            <w:pPr>
              <w:jc w:val="center"/>
              <w:ind w:right="68"/>
              <w:spacing w:after="0"/>
              <w:rPr>
                <w:sz w:val="20"/>
                <w:szCs w:val="20"/>
                <w:color w:val="auto"/>
              </w:rPr>
            </w:pPr>
            <w:r>
              <w:rPr>
                <w:rFonts w:ascii="Arial" w:cs="Arial" w:eastAsia="Arial" w:hAnsi="Arial"/>
                <w:sz w:val="14"/>
                <w:szCs w:val="14"/>
                <w:color w:val="auto"/>
                <w:w w:val="92"/>
              </w:rPr>
              <w:t>Depositary Shares, Each Representing a 1/40th Interest in a Share of Fixed Rate Non-Cumulative Perpetual Preferred Stock, Series K</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COF PRK</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820" w:type="dxa"/>
            <w:vAlign w:val="bottom"/>
          </w:tcPr>
          <w:p>
            <w:pPr>
              <w:jc w:val="center"/>
              <w:ind w:right="68"/>
              <w:spacing w:after="0"/>
              <w:rPr>
                <w:sz w:val="20"/>
                <w:szCs w:val="20"/>
                <w:color w:val="auto"/>
              </w:rPr>
            </w:pPr>
            <w:r>
              <w:rPr>
                <w:rFonts w:ascii="Arial" w:cs="Arial" w:eastAsia="Arial" w:hAnsi="Arial"/>
                <w:sz w:val="14"/>
                <w:szCs w:val="14"/>
                <w:color w:val="auto"/>
                <w:w w:val="92"/>
              </w:rPr>
              <w:t>Depositary Shares, Each Representing a 1/40th Interest in a Share of Fixed Rate Non-Cumulative Perpetual Preferred Stock, Series L</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COF PRL</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820" w:type="dxa"/>
            <w:vAlign w:val="bottom"/>
          </w:tcPr>
          <w:p>
            <w:pPr>
              <w:jc w:val="center"/>
              <w:ind w:right="68"/>
              <w:spacing w:after="0"/>
              <w:rPr>
                <w:sz w:val="20"/>
                <w:szCs w:val="20"/>
                <w:color w:val="auto"/>
              </w:rPr>
            </w:pPr>
            <w:r>
              <w:rPr>
                <w:rFonts w:ascii="Arial" w:cs="Arial" w:eastAsia="Arial" w:hAnsi="Arial"/>
                <w:sz w:val="14"/>
                <w:szCs w:val="14"/>
                <w:color w:val="auto"/>
                <w:w w:val="92"/>
              </w:rPr>
              <w:t>Depositary Shares, Each Representing a 1/40th Interest in a Share of Fixed Rate Non-Cumulative Perpetual Preferred Stock, Series N</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COF PRN</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820" w:type="dxa"/>
            <w:vAlign w:val="bottom"/>
          </w:tcPr>
          <w:p>
            <w:pPr>
              <w:jc w:val="center"/>
              <w:ind w:right="48"/>
              <w:spacing w:after="0"/>
              <w:rPr>
                <w:sz w:val="20"/>
                <w:szCs w:val="20"/>
                <w:color w:val="auto"/>
              </w:rPr>
            </w:pPr>
            <w:r>
              <w:rPr>
                <w:rFonts w:ascii="Arial" w:cs="Arial" w:eastAsia="Arial" w:hAnsi="Arial"/>
                <w:sz w:val="14"/>
                <w:szCs w:val="14"/>
                <w:color w:val="auto"/>
                <w:w w:val="92"/>
              </w:rPr>
              <w:t>0.800% Senior Notes Due 2024</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COF24</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820" w:type="dxa"/>
            <w:vAlign w:val="bottom"/>
          </w:tcPr>
          <w:p>
            <w:pPr>
              <w:jc w:val="center"/>
              <w:ind w:right="48"/>
              <w:spacing w:after="0"/>
              <w:rPr>
                <w:sz w:val="20"/>
                <w:szCs w:val="20"/>
                <w:color w:val="auto"/>
              </w:rPr>
            </w:pPr>
            <w:r>
              <w:rPr>
                <w:rFonts w:ascii="Arial" w:cs="Arial" w:eastAsia="Arial" w:hAnsi="Arial"/>
                <w:sz w:val="14"/>
                <w:szCs w:val="14"/>
                <w:color w:val="auto"/>
                <w:w w:val="92"/>
              </w:rPr>
              <w:t>1.650% Senior Notes Due 2029</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COF29</w:t>
            </w:r>
          </w:p>
        </w:tc>
        <w:tc>
          <w:tcPr>
            <w:tcW w:w="2300" w:type="dxa"/>
            <w:vAlign w:val="bottom"/>
          </w:tcPr>
          <w:p>
            <w:pPr>
              <w:jc w:val="center"/>
              <w:ind w:left="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right="20"/>
        <w:spacing w:after="0" w:line="27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tabs>
          <w:tab w:leader="none" w:pos="174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82"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40640</wp:posOffset>
            </wp:positionV>
            <wp:extent cx="7089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One Financial Corporation (the “Company”) hereby furnishes the information in Exhibit 99.1 hereto, Monthly Charge-Off and Delinquency Metrics - As of and for the month ended February 28, 2022.</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Note: </w:t>
      </w:r>
      <w:r>
        <w:rPr>
          <w:rFonts w:ascii="Arial" w:cs="Arial" w:eastAsia="Arial" w:hAnsi="Arial"/>
          <w:sz w:val="17"/>
          <w:szCs w:val="17"/>
          <w:color w:val="auto"/>
        </w:rPr>
        <w:t>Information in this report (including the exhibit) furnished pursuant to Item 7.01 shall not be deemed to be “filed” for the purposes of Section 18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Exchange Act of 1934 or otherwise subject to the liabilities of that Section. This report will not be deemed an admission as to the materiality of any information in the report that is required to be disclosed solely by Regulation FD. Furthermore, the information provided in Exhibit 99.1 shall not be deemed incorporated by reference into any filing under the Securities Act of 1933 or the Securities Exchange Act of 1934.</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45" w:lineRule="exact"/>
        <w:rPr>
          <w:sz w:val="20"/>
          <w:szCs w:val="20"/>
          <w:color w:val="auto"/>
        </w:rPr>
      </w:pPr>
    </w:p>
    <w:p>
      <w:pPr>
        <w:ind w:left="160"/>
        <w:spacing w:after="0"/>
        <w:tabs>
          <w:tab w:leader="none" w:pos="128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ind w:left="40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Monthly Charge-Off and Delinquency Metrics - As of and for the month ended February 28, 2022</w:t>
        </w:r>
      </w:hyperlink>
    </w:p>
    <w:p>
      <w:pPr>
        <w:spacing w:after="0" w:line="23" w:lineRule="exact"/>
        <w:rPr>
          <w:sz w:val="20"/>
          <w:szCs w:val="20"/>
          <w:color w:val="auto"/>
        </w:rPr>
      </w:pPr>
    </w:p>
    <w:p>
      <w:pPr>
        <w:ind w:left="1300" w:hanging="87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in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9"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Current Report on Form 8-K to be signed on its behalf by the undersigned 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880" w:type="dxa"/>
            <w:vAlign w:val="bottom"/>
            <w:gridSpan w:val="2"/>
          </w:tcPr>
          <w:p>
            <w:pPr>
              <w:ind w:left="1760"/>
              <w:spacing w:after="0"/>
              <w:rPr>
                <w:sz w:val="20"/>
                <w:szCs w:val="20"/>
                <w:color w:val="auto"/>
              </w:rPr>
            </w:pPr>
            <w:r>
              <w:rPr>
                <w:rFonts w:ascii="Arial" w:cs="Arial" w:eastAsia="Arial" w:hAnsi="Arial"/>
                <w:sz w:val="18"/>
                <w:szCs w:val="18"/>
                <w:b w:val="1"/>
                <w:bCs w:val="1"/>
                <w:color w:val="auto"/>
              </w:rPr>
              <w:t>CAPITAL ONE FINANCIAL CORPORATION</w:t>
            </w:r>
          </w:p>
        </w:tc>
      </w:tr>
      <w:tr>
        <w:trPr>
          <w:trHeight w:val="446"/>
        </w:trPr>
        <w:tc>
          <w:tcPr>
            <w:tcW w:w="3340" w:type="dxa"/>
            <w:vAlign w:val="bottom"/>
          </w:tcPr>
          <w:p>
            <w:pPr>
              <w:spacing w:after="0"/>
              <w:rPr>
                <w:sz w:val="20"/>
                <w:szCs w:val="20"/>
                <w:color w:val="auto"/>
              </w:rPr>
            </w:pPr>
            <w:r>
              <w:rPr>
                <w:rFonts w:ascii="Arial" w:cs="Arial" w:eastAsia="Arial" w:hAnsi="Arial"/>
                <w:sz w:val="18"/>
                <w:szCs w:val="18"/>
                <w:color w:val="auto"/>
              </w:rPr>
              <w:t>Date: March 15, 2022</w:t>
            </w:r>
          </w:p>
        </w:tc>
        <w:tc>
          <w:tcPr>
            <w:tcW w:w="7880" w:type="dxa"/>
            <w:vAlign w:val="bottom"/>
            <w:gridSpan w:val="2"/>
          </w:tcPr>
          <w:p>
            <w:pPr>
              <w:ind w:left="1760"/>
              <w:spacing w:after="0"/>
              <w:rPr>
                <w:sz w:val="20"/>
                <w:szCs w:val="20"/>
                <w:color w:val="auto"/>
              </w:rPr>
            </w:pPr>
            <w:r>
              <w:rPr>
                <w:rFonts w:ascii="Arial" w:cs="Arial" w:eastAsia="Arial" w:hAnsi="Arial"/>
                <w:sz w:val="18"/>
                <w:szCs w:val="18"/>
                <w:color w:val="auto"/>
              </w:rPr>
              <w:t>By:   /s/ TIMOTHY P. GOLDEN</w:t>
            </w:r>
          </w:p>
        </w:tc>
      </w:tr>
      <w:tr>
        <w:trPr>
          <w:trHeight w:val="222"/>
        </w:trPr>
        <w:tc>
          <w:tcPr>
            <w:tcW w:w="3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Timothy P. Golden</w:t>
            </w:r>
          </w:p>
        </w:tc>
      </w:tr>
      <w:tr>
        <w:trPr>
          <w:trHeight w:val="230"/>
        </w:trPr>
        <w:tc>
          <w:tcPr>
            <w:tcW w:w="3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Controller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One Financial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Charge-Off and Delinquency Metrics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month ended February 28, 2022</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2"/>
              </w:rPr>
              <w:t>Loans Held for</w:t>
            </w:r>
          </w:p>
        </w:tc>
        <w:tc>
          <w:tcPr>
            <w:tcW w:w="120" w:type="dxa"/>
            <w:vAlign w:val="bottom"/>
          </w:tcPr>
          <w:p>
            <w:pPr>
              <w:spacing w:after="0"/>
              <w:rPr>
                <w:sz w:val="16"/>
                <w:szCs w:val="16"/>
                <w:color w:val="auto"/>
              </w:rPr>
            </w:pPr>
          </w:p>
        </w:tc>
        <w:tc>
          <w:tcPr>
            <w:tcW w:w="1820" w:type="dxa"/>
            <w:vAlign w:val="bottom"/>
            <w:gridSpan w:val="4"/>
            <w:vMerge w:val="restart"/>
          </w:tcPr>
          <w:p>
            <w:pPr>
              <w:ind w:left="240"/>
              <w:spacing w:after="0"/>
              <w:rPr>
                <w:sz w:val="20"/>
                <w:szCs w:val="20"/>
                <w:color w:val="auto"/>
              </w:rPr>
            </w:pPr>
            <w:r>
              <w:rPr>
                <w:rFonts w:ascii="Arial" w:cs="Arial" w:eastAsia="Arial" w:hAnsi="Arial"/>
                <w:sz w:val="16"/>
                <w:szCs w:val="16"/>
                <w:b w:val="1"/>
                <w:bCs w:val="1"/>
                <w:color w:val="auto"/>
              </w:rPr>
              <w:t>Net Charge-Offs</w:t>
            </w:r>
          </w:p>
        </w:tc>
        <w:tc>
          <w:tcPr>
            <w:tcW w:w="19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4"/>
              </w:rPr>
              <w:t>30+ Day Performing</w:t>
            </w:r>
          </w:p>
        </w:tc>
        <w:tc>
          <w:tcPr>
            <w:tcW w:w="120" w:type="dxa"/>
            <w:vAlign w:val="bottom"/>
          </w:tcPr>
          <w:p>
            <w:pPr>
              <w:spacing w:after="0"/>
              <w:rPr>
                <w:sz w:val="16"/>
                <w:szCs w:val="16"/>
                <w:color w:val="auto"/>
              </w:rPr>
            </w:pPr>
          </w:p>
        </w:tc>
        <w:tc>
          <w:tcPr>
            <w:tcW w:w="1760" w:type="dxa"/>
            <w:vAlign w:val="bottom"/>
            <w:gridSpan w:val="3"/>
            <w:vMerge w:val="restart"/>
          </w:tcPr>
          <w:p>
            <w:pPr>
              <w:jc w:val="right"/>
              <w:ind w:right="73"/>
              <w:spacing w:after="0"/>
              <w:rPr>
                <w:sz w:val="20"/>
                <w:szCs w:val="20"/>
                <w:color w:val="auto"/>
              </w:rPr>
            </w:pPr>
            <w:r>
              <w:rPr>
                <w:rFonts w:ascii="Arial" w:cs="Arial" w:eastAsia="Arial" w:hAnsi="Arial"/>
                <w:sz w:val="16"/>
                <w:szCs w:val="16"/>
                <w:b w:val="1"/>
                <w:bCs w:val="1"/>
                <w:color w:val="auto"/>
                <w:w w:val="94"/>
              </w:rPr>
              <w:t>Nonperforming Loans</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2"/>
              </w:rPr>
              <w:t>Investment</w:t>
            </w:r>
          </w:p>
        </w:tc>
        <w:tc>
          <w:tcPr>
            <w:tcW w:w="120" w:type="dxa"/>
            <w:vAlign w:val="bottom"/>
          </w:tcPr>
          <w:p>
            <w:pPr>
              <w:spacing w:after="0"/>
              <w:rPr>
                <w:sz w:val="18"/>
                <w:szCs w:val="18"/>
                <w:color w:val="auto"/>
              </w:rPr>
            </w:pPr>
          </w:p>
        </w:tc>
        <w:tc>
          <w:tcPr>
            <w:tcW w:w="1820" w:type="dxa"/>
            <w:vAlign w:val="bottom"/>
            <w:gridSpan w:val="4"/>
            <w:vMerge w:val="continue"/>
          </w:tcPr>
          <w:p>
            <w:pPr>
              <w:spacing w:after="0"/>
              <w:rPr>
                <w:sz w:val="18"/>
                <w:szCs w:val="18"/>
                <w:color w:val="auto"/>
              </w:rPr>
            </w:pPr>
          </w:p>
        </w:tc>
        <w:tc>
          <w:tcPr>
            <w:tcW w:w="19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0"/>
              </w:rPr>
              <w:t>Delinquencies</w:t>
            </w:r>
          </w:p>
        </w:tc>
        <w:tc>
          <w:tcPr>
            <w:tcW w:w="120" w:type="dxa"/>
            <w:vAlign w:val="bottom"/>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 except as noted)</w:t>
            </w:r>
          </w:p>
        </w:tc>
        <w:tc>
          <w:tcPr>
            <w:tcW w:w="94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Average</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Period-End</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940" w:type="dxa"/>
            <w:vAlign w:val="bottom"/>
            <w:tcBorders>
              <w:top w:val="single" w:sz="8" w:color="auto"/>
            </w:tcBorders>
          </w:tcPr>
          <w:p>
            <w:pPr>
              <w:ind w:left="240"/>
              <w:spacing w:after="0" w:line="215" w:lineRule="exact"/>
              <w:rPr>
                <w:sz w:val="20"/>
                <w:szCs w:val="20"/>
                <w:color w:val="auto"/>
              </w:rPr>
            </w:pPr>
            <w:r>
              <w:rPr>
                <w:rFonts w:ascii="Arial" w:cs="Arial" w:eastAsia="Arial" w:hAnsi="Arial"/>
                <w:sz w:val="16"/>
                <w:szCs w:val="16"/>
                <w:b w:val="1"/>
                <w:bCs w:val="1"/>
                <w:color w:val="auto"/>
              </w:rPr>
              <w:t>Rate</w:t>
            </w:r>
            <w:r>
              <w:rPr>
                <w:rFonts w:ascii="Arial" w:cs="Arial" w:eastAsia="Arial" w:hAnsi="Arial"/>
                <w:sz w:val="21"/>
                <w:szCs w:val="21"/>
                <w:b w:val="1"/>
                <w:bCs w:val="1"/>
                <w:color w:val="auto"/>
                <w:vertAlign w:val="superscript"/>
              </w:rPr>
              <w:t>(1)</w:t>
            </w:r>
          </w:p>
        </w:tc>
        <w:tc>
          <w:tcPr>
            <w:tcW w:w="80" w:type="dxa"/>
            <w:vAlign w:val="bottom"/>
          </w:tcPr>
          <w:p>
            <w:pPr>
              <w:spacing w:after="0"/>
              <w:rPr>
                <w:sz w:val="18"/>
                <w:szCs w:val="18"/>
                <w:color w:val="auto"/>
              </w:rPr>
            </w:pPr>
          </w:p>
        </w:tc>
        <w:tc>
          <w:tcPr>
            <w:tcW w:w="9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960" w:type="dxa"/>
            <w:vAlign w:val="bottom"/>
            <w:tcBorders>
              <w:top w:val="single" w:sz="8" w:color="auto"/>
            </w:tcBorders>
          </w:tcPr>
          <w:p>
            <w:pPr>
              <w:ind w:left="260"/>
              <w:spacing w:after="0" w:line="215" w:lineRule="exact"/>
              <w:rPr>
                <w:sz w:val="20"/>
                <w:szCs w:val="20"/>
                <w:color w:val="auto"/>
              </w:rPr>
            </w:pPr>
            <w:r>
              <w:rPr>
                <w:rFonts w:ascii="Arial" w:cs="Arial" w:eastAsia="Arial" w:hAnsi="Arial"/>
                <w:sz w:val="16"/>
                <w:szCs w:val="16"/>
                <w:b w:val="1"/>
                <w:bCs w:val="1"/>
                <w:color w:val="auto"/>
              </w:rPr>
              <w:t>Rate</w:t>
            </w:r>
            <w:r>
              <w:rPr>
                <w:rFonts w:ascii="Arial" w:cs="Arial" w:eastAsia="Arial" w:hAnsi="Arial"/>
                <w:sz w:val="21"/>
                <w:szCs w:val="21"/>
                <w:b w:val="1"/>
                <w:bCs w:val="1"/>
                <w:color w:val="auto"/>
                <w:vertAlign w:val="superscript"/>
              </w:rPr>
              <w:t>(2)</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960" w:type="dxa"/>
            <w:vAlign w:val="bottom"/>
            <w:tcBorders>
              <w:top w:val="single" w:sz="8" w:color="auto"/>
            </w:tcBorders>
          </w:tcPr>
          <w:p>
            <w:pPr>
              <w:jc w:val="right"/>
              <w:ind w:right="173"/>
              <w:spacing w:after="0" w:line="215" w:lineRule="exact"/>
              <w:rPr>
                <w:sz w:val="20"/>
                <w:szCs w:val="20"/>
                <w:color w:val="auto"/>
              </w:rPr>
            </w:pPr>
            <w:r>
              <w:rPr>
                <w:rFonts w:ascii="Arial" w:cs="Arial" w:eastAsia="Arial" w:hAnsi="Arial"/>
                <w:sz w:val="16"/>
                <w:szCs w:val="16"/>
                <w:b w:val="1"/>
                <w:bCs w:val="1"/>
                <w:color w:val="auto"/>
              </w:rPr>
              <w:t>Rate</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Credit Card:</w:t>
            </w:r>
            <w:r>
              <w:rPr>
                <w:rFonts w:ascii="Arial" w:cs="Arial" w:eastAsia="Arial" w:hAnsi="Arial"/>
                <w:sz w:val="23"/>
                <w:szCs w:val="23"/>
                <w:b w:val="1"/>
                <w:bCs w:val="1"/>
                <w:color w:val="auto"/>
                <w:vertAlign w:val="superscript"/>
              </w:rPr>
              <w:t>(4)</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200"/>
              <w:spacing w:after="0"/>
              <w:rPr>
                <w:sz w:val="20"/>
                <w:szCs w:val="20"/>
                <w:color w:val="auto"/>
              </w:rPr>
            </w:pPr>
            <w:r>
              <w:rPr>
                <w:rFonts w:ascii="Arial" w:cs="Arial" w:eastAsia="Arial" w:hAnsi="Arial"/>
                <w:sz w:val="18"/>
                <w:szCs w:val="18"/>
                <w:color w:val="auto"/>
              </w:rPr>
              <w:t>Domestic</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$ 105,086</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$ 105,755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940" w:type="dxa"/>
            <w:vAlign w:val="bottom"/>
          </w:tcPr>
          <w:p>
            <w:pPr>
              <w:ind w:left="400"/>
              <w:spacing w:after="0"/>
              <w:rPr>
                <w:sz w:val="20"/>
                <w:szCs w:val="20"/>
                <w:color w:val="auto"/>
              </w:rPr>
            </w:pPr>
            <w:r>
              <w:rPr>
                <w:rFonts w:ascii="Arial" w:cs="Arial" w:eastAsia="Arial" w:hAnsi="Arial"/>
                <w:sz w:val="18"/>
                <w:szCs w:val="18"/>
                <w:color w:val="auto"/>
                <w:w w:val="92"/>
              </w:rPr>
              <w:t>2.19 %</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2,659</w:t>
            </w:r>
          </w:p>
        </w:tc>
        <w:tc>
          <w:tcPr>
            <w:tcW w:w="80" w:type="dxa"/>
            <w:vAlign w:val="bottom"/>
          </w:tcPr>
          <w:p>
            <w:pPr>
              <w:spacing w:after="0"/>
              <w:rPr>
                <w:sz w:val="19"/>
                <w:szCs w:val="19"/>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w w:val="92"/>
              </w:rPr>
              <w:t>2.51 %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Consumer Banking:</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200"/>
              <w:spacing w:after="0"/>
              <w:rPr>
                <w:sz w:val="20"/>
                <w:szCs w:val="20"/>
                <w:color w:val="auto"/>
              </w:rPr>
            </w:pPr>
            <w:r>
              <w:rPr>
                <w:rFonts w:ascii="Arial" w:cs="Arial" w:eastAsia="Arial" w:hAnsi="Arial"/>
                <w:sz w:val="18"/>
                <w:szCs w:val="18"/>
                <w:color w:val="auto"/>
              </w:rPr>
              <w:t>Auto</w:t>
            </w:r>
          </w:p>
        </w:tc>
        <w:tc>
          <w:tcPr>
            <w:tcW w:w="860" w:type="dxa"/>
            <w:vAlign w:val="bottom"/>
          </w:tcPr>
          <w:p>
            <w:pPr>
              <w:jc w:val="right"/>
              <w:spacing w:after="0"/>
              <w:rPr>
                <w:sz w:val="20"/>
                <w:szCs w:val="20"/>
                <w:color w:val="auto"/>
              </w:rPr>
            </w:pPr>
            <w:r>
              <w:rPr>
                <w:rFonts w:ascii="Arial" w:cs="Arial" w:eastAsia="Arial" w:hAnsi="Arial"/>
                <w:sz w:val="18"/>
                <w:szCs w:val="18"/>
                <w:color w:val="auto"/>
              </w:rPr>
              <w:t>76,874</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77,185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940" w:type="dxa"/>
            <w:vAlign w:val="bottom"/>
          </w:tcPr>
          <w:p>
            <w:pPr>
              <w:ind w:left="400"/>
              <w:spacing w:after="0"/>
              <w:rPr>
                <w:sz w:val="20"/>
                <w:szCs w:val="20"/>
                <w:color w:val="auto"/>
              </w:rPr>
            </w:pPr>
            <w:r>
              <w:rPr>
                <w:rFonts w:ascii="Arial" w:cs="Arial" w:eastAsia="Arial" w:hAnsi="Arial"/>
                <w:sz w:val="18"/>
                <w:szCs w:val="18"/>
                <w:color w:val="auto"/>
              </w:rPr>
              <w:t>0.57</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3,094</w:t>
            </w:r>
          </w:p>
        </w:tc>
        <w:tc>
          <w:tcPr>
            <w:tcW w:w="8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0.47 %</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59" w:lineRule="exact"/>
        <w:rPr>
          <w:sz w:val="20"/>
          <w:szCs w:val="20"/>
          <w:color w:val="auto"/>
        </w:rPr>
      </w:pPr>
    </w:p>
    <w:p>
      <w:pPr>
        <w:ind w:left="340" w:hanging="332"/>
        <w:spacing w:after="0" w:line="223" w:lineRule="auto"/>
        <w:tabs>
          <w:tab w:leader="none" w:pos="32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Net charge-off rate is calculated by dividing annualized net charge-offs for the period by average loans held for investment during the period for the specified loan category. Net charge-offs and the net charge-off rate are impacted periodically by fluctuations in recoveries, including impacts of debt sales.</w:t>
      </w:r>
    </w:p>
    <w:p>
      <w:pPr>
        <w:spacing w:after="0" w:line="36" w:lineRule="exact"/>
        <w:rPr>
          <w:rFonts w:ascii="Arial" w:cs="Arial" w:eastAsia="Arial" w:hAnsi="Arial"/>
          <w:sz w:val="21"/>
          <w:szCs w:val="21"/>
          <w:color w:val="auto"/>
          <w:vertAlign w:val="superscript"/>
        </w:rPr>
      </w:pPr>
    </w:p>
    <w:p>
      <w:pPr>
        <w:ind w:left="340" w:hanging="332"/>
        <w:spacing w:after="0" w:line="223" w:lineRule="auto"/>
        <w:tabs>
          <w:tab w:leader="none" w:pos="32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30+ day performing delinquency rate is calculated by dividing 30+ day performing delinquent loans as of the end of the period by period-end loans held for investment for the specified loan category.</w:t>
      </w:r>
    </w:p>
    <w:p>
      <w:pPr>
        <w:spacing w:after="0" w:line="36" w:lineRule="exact"/>
        <w:rPr>
          <w:rFonts w:ascii="Arial" w:cs="Arial" w:eastAsia="Arial" w:hAnsi="Arial"/>
          <w:sz w:val="21"/>
          <w:szCs w:val="21"/>
          <w:color w:val="auto"/>
          <w:vertAlign w:val="superscript"/>
        </w:rPr>
      </w:pPr>
    </w:p>
    <w:p>
      <w:pPr>
        <w:ind w:left="340" w:hanging="332"/>
        <w:spacing w:after="0" w:line="223" w:lineRule="auto"/>
        <w:tabs>
          <w:tab w:leader="none" w:pos="32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Nonperforming loan rate is calculated by dividing nonperforming loans as of the end of the period by period-end loans held for investment for the specified loan category.</w:t>
      </w:r>
    </w:p>
    <w:p>
      <w:pPr>
        <w:spacing w:after="0" w:line="36" w:lineRule="exact"/>
        <w:rPr>
          <w:rFonts w:ascii="Arial" w:cs="Arial" w:eastAsia="Arial" w:hAnsi="Arial"/>
          <w:sz w:val="21"/>
          <w:szCs w:val="21"/>
          <w:color w:val="auto"/>
          <w:vertAlign w:val="superscript"/>
        </w:rPr>
      </w:pPr>
    </w:p>
    <w:p>
      <w:pPr>
        <w:jc w:val="both"/>
        <w:ind w:left="340" w:hanging="332"/>
        <w:spacing w:after="0" w:line="245" w:lineRule="auto"/>
        <w:tabs>
          <w:tab w:leader="none" w:pos="328"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Period-end loans held for investment and average loans held for investment include billed finance charges and fees. We recognize billed finance charges and fee income on open-ended loans in accordance with the contractual provisions of the credit arrangements and estimate the uncollectible amount on a quarterly basis. Billed finance charges and fees that are ultimately uncollectible are reflected as a reduction in revenue and not included in our net charge-offs.</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2022-03-15T05:27:09Z</dcterms:created>
  <dcterms:modified xsi:type="dcterms:W3CDTF">2022-03-15T05:27:09Z</dcterms:modified>
</cp:coreProperties>
</file>