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156d424b5.htm"/>
        <w:bookmarkStart w:id="1" w:name="ksd28156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333-277813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6"/>
        </w:rPr>
      </w:pPr>
      <w:r>
        <w:rPr>
          <w:rFonts w:ascii="Times New Roman" w:hAnsi="Times New Roman"/>
          <w:b/>
          <w:color w:val="FF4338"/>
          <w:sz w:val="16"/>
        </w:rPr>
        <w:t xml:space="preserve">Subject to completion, dated September 8, 2026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PRELIMINARY PROSPECTUS SUPPLEMENT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March 11, 2024)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543175" cy="913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3175" cy="913130"/>
                    </a:xfrm>
                    <a:prstGeom prst="rect">
                      <a:avLst/>
                    </a:prstGeom>
                  </pic:spPr>
                </pic:pic>
              </a:graphicData>
            </a:graphic>
          </wp:inline>
        </w:drawing>
      </w:r>
      <w:r>
        <w:rPr/>
        <w:t xml:space="preserve"> </w:t>
      </w:r>
    </w:p>
    <w:p>
      <w:pPr>
        <w:pStyle w:val="TextBody"/>
        <w:bidi w:val="0"/>
        <w:spacing w:before="60" w:after="0"/>
        <w:ind w:left="960" w:right="960" w:hanging="0"/>
        <w:jc w:val="center"/>
        <w:rPr>
          <w:rFonts w:ascii="Times New Roman" w:hAnsi="Times New Roman"/>
          <w:b/>
          <w:sz w:val="36"/>
        </w:rPr>
      </w:pPr>
      <w:r>
        <w:rPr>
          <w:rFonts w:ascii="Times New Roman" w:hAnsi="Times New Roman"/>
          <w:b/>
          <w:sz w:val="36"/>
        </w:rPr>
        <w:t xml:space="preserve">Capital One Financial Corporation </w:t>
      </w:r>
    </w:p>
    <w:p>
      <w:pPr>
        <w:pStyle w:val="TextBody"/>
        <w:bidi w:val="0"/>
        <w:spacing w:before="0" w:after="0"/>
        <w:ind w:left="960" w:right="960" w:hanging="0"/>
        <w:jc w:val="center"/>
        <w:rPr>
          <w:rFonts w:ascii="Times New Roman" w:hAnsi="Times New Roman"/>
          <w:b/>
          <w:sz w:val="22"/>
        </w:rPr>
      </w:pPr>
      <w:r>
        <w:rPr>
          <w:rFonts w:ascii="Times New Roman" w:hAnsi="Times New Roman"/>
          <w:b/>
          <w:sz w:val="22"/>
        </w:rPr>
        <w:t xml:space="preserve">         % Fixed-to-Floating Rate Senior Notes Due 2032 </w:t>
      </w:r>
    </w:p>
    <w:p>
      <w:pPr>
        <w:pStyle w:val="TextBody"/>
        <w:bidi w:val="0"/>
        <w:spacing w:before="0" w:after="0"/>
        <w:ind w:left="960" w:right="960" w:hanging="0"/>
        <w:jc w:val="center"/>
        <w:rPr>
          <w:rFonts w:ascii="Times New Roman" w:hAnsi="Times New Roman"/>
          <w:b/>
          <w:sz w:val="22"/>
        </w:rPr>
      </w:pPr>
      <w:r>
        <w:rPr>
          <w:rFonts w:ascii="Times New Roman" w:hAnsi="Times New Roman"/>
          <w:b/>
          <w:sz w:val="22"/>
        </w:rPr>
        <w:t xml:space="preserve">         % Fixed-to-Floating Rate Senior Notes Due 2037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will pay interest on the     % fixed-to-floating rate senior notes due 2032 (the “2032 notes”) annually during the fixed rate period from and including the original issue date to but excluding     , 2031 (the “2032 Notes Interest Reset Date”) (the “2032 Notes Fixed Rate Period”) in arrears on      of each year and quarterly during the floating rate period from and including the 2032 Notes Interest Reset Date to but excluding the     , 2032 maturity date (the “2032 Notes Floating Rate Period”) in arrears on each     ,     ,      and     . We will make the first interest payment on the 2032 notes on     , 2027. Interest will accrue (i) from and including the original issue date to but excluding the 2032 Notes Interest Reset Date at a fixed rate of     % per annum and (ii) from and including the 2032 Notes Interest Reset Date to but excluding the 2032 notes maturity date at a rate equal to three-month EURIBOR (as defined on page S-22 of this prospectus supplement) plus     %.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will pay interest on the     % fixed-to-floating rate senior notes due 2037 (the “2037 notes” and, together with the 2032 notes, the “notes”) annually during the fixed rate period from and including the original issue date to but excluding     , 2036 (the “2037 Notes Interest Reset Date”) (the “2037 Notes Fixed Rate Period”) in arrears on      of each year and quarterly during the floating rate period from and including the 2037 Notes Interest Reset Date to but excluding the     , 2037 maturity date (the “2037 Notes Floating Rate Period”) in arrears on each     ,     ,      and     . We will make the first interest payment on the 2037 notes on     , 2027. Interest will accrue (i) from and including the original issue date to but excluding the 2037 Notes Interest Reset Date at a fixed rate of     % per annum and (ii) from and including the 2037 Notes Interest Reset Date to but excluding the 2037 notes maturity date at a rate equal to three-month EURIBOR (as defined on page S-22 of this prospectus supplement) plus     %.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may redeem the 2032 notes at our option on     , 2031 (which is the date that is one year prior to the maturity date of the 2032 notes) or upon the occurrence of specified tax events as described herein, in each case in whole but not in part, at a redemption price equal to 100% of the principal amount of the 2032 notes to be redeemed, plus accrued and unpaid interest thereon to the redemption date. See “Description of the Notes—Optional Redemption” and “Description of the Notes—Redemption for Tax Reasons.”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may redeem the 2037 notes at our option on     , 2036 (which is the date that is one year prior to the maturity date of the 2037 notes) or upon the occurrence of specified tax events as described herein, in each case in whole but not in part, at a redemption price equal to 100% of the principal amount of the 2037 notes to be redeemed, plus accrued and unpaid interest thereon to the redemption date. See “Description of the Notes—Optional Redemption” and “Description of the Notes—Redemption for Tax Reasons.”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notes will be our unsecured obligations and will rank equally with all of our existing and future unsecured and unsubordinated indebtedness that may be outstanding from time to time. We will issue the notes in minimum denominations of 100,000 and integral multiples of 1,000 in excess thereof. There is no sinking fund for the notes. The notes are a new issue of securities with no established trading market. We intend to apply to list each series of notes on the New York Stock Exchange (the “NYSE”). We expect trading in the notes on the NYSE to begin within 30 days after the original issue date, but the listing application is subject to review by the NYSE.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0"/>
        </w:rPr>
        <w:t>Investing in the notes involves risks. Before buying any notes, you should read this prospectus supplement, the related prospectus and all information incorporated by reference herein, including the discussion of material risks of investing in our notes in the “</w:t>
      </w:r>
      <w:hyperlink w:anchor="supptx28156_6">
        <w:r>
          <w:rPr>
            <w:rStyle w:val="InternetLink"/>
            <w:rFonts w:ascii="Times New Roman" w:hAnsi="Times New Roman"/>
            <w:b/>
            <w:sz w:val="20"/>
          </w:rPr>
          <w:t>Risk Factors</w:t>
        </w:r>
      </w:hyperlink>
      <w:r>
        <w:rPr>
          <w:rFonts w:ascii="Times New Roman" w:hAnsi="Times New Roman"/>
          <w:b/>
          <w:sz w:val="20"/>
        </w:rPr>
        <w:t xml:space="preserve">” section beginning on page S-9 of this prospectus supplement.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The notes are not savings accounts, deposits or other obligations of a bank and are not insured or guaranteed by the Federal Deposit Insurance Corporation (the “FDIC”) or any other governmental agency or instrumentality.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1033"/>
        <w:gridCol w:w="243"/>
        <w:gridCol w:w="137"/>
        <w:gridCol w:w="1731"/>
        <w:gridCol w:w="671"/>
        <w:gridCol w:w="160"/>
        <w:gridCol w:w="134"/>
        <w:gridCol w:w="1679"/>
        <w:gridCol w:w="339"/>
        <w:gridCol w:w="160"/>
        <w:gridCol w:w="132"/>
        <w:gridCol w:w="2074"/>
        <w:gridCol w:w="79"/>
      </w:tblGrid>
      <w:tr>
        <w:trPr/>
        <w:tc>
          <w:tcPr>
            <w:tcW w:w="1033"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0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Public</w:t>
            </w:r>
          </w:p>
        </w:tc>
        <w:tc>
          <w:tcPr>
            <w:tcW w:w="6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 and</w:t>
              <w:br/>
              <w:t>Commissions</w:t>
            </w:r>
          </w:p>
        </w:tc>
        <w:tc>
          <w:tcPr>
            <w:tcW w:w="33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w:t>
              <w:br/>
              <w:t>Capital One</w:t>
              <w:br/>
              <w:t>(Before Expenses)</w:t>
            </w:r>
          </w:p>
        </w:tc>
        <w:tc>
          <w:tcPr>
            <w:tcW w:w="79" w:type="dxa"/>
            <w:tcBorders/>
            <w:vAlign w:val="bottom"/>
          </w:tcPr>
          <w:p>
            <w:pPr>
              <w:pStyle w:val="TableContents"/>
              <w:bidi w:val="0"/>
              <w:spacing w:before="0" w:after="283"/>
              <w:jc w:val="left"/>
              <w:rPr/>
            </w:pPr>
            <w:r>
              <w:rPr/>
              <w:t> </w:t>
            </w:r>
          </w:p>
        </w:tc>
      </w:tr>
      <w:tr>
        <w:trPr/>
        <w:tc>
          <w:tcPr>
            <w:tcW w:w="103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2032 Note</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   </w:t>
            </w:r>
          </w:p>
        </w:tc>
        <w:tc>
          <w:tcPr>
            <w:tcW w:w="671" w:type="dxa"/>
            <w:tcBorders/>
            <w:shd w:fill="CCEEFF" w:val="clear"/>
            <w:vAlign w:val="bottom"/>
          </w:tcPr>
          <w:p>
            <w:pPr>
              <w:pStyle w:val="TableContents"/>
              <w:bidi w:val="0"/>
              <w:spacing w:before="0" w:after="283"/>
              <w:jc w:val="left"/>
              <w:rPr/>
            </w:pPr>
            <w:r>
              <w:rPr/>
              <w:t>%(1) </w:t>
            </w:r>
          </w:p>
        </w:tc>
        <w:tc>
          <w:tcPr>
            <w:tcW w:w="1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074" w:type="dxa"/>
            <w:tcBorders/>
            <w:shd w:fill="CCEEFF" w:val="clear"/>
            <w:vAlign w:val="bottom"/>
          </w:tcPr>
          <w:p>
            <w:pPr>
              <w:pStyle w:val="TableContents"/>
              <w:bidi w:val="0"/>
              <w:spacing w:before="0" w:after="283"/>
              <w:jc w:val="right"/>
              <w:rPr/>
            </w:pPr>
            <w:r>
              <w:rPr/>
              <w:t>   </w:t>
            </w:r>
            <w:r>
              <w:rPr/>
              <w:t>%</w:t>
            </w:r>
          </w:p>
        </w:tc>
        <w:tc>
          <w:tcPr>
            <w:tcW w:w="79" w:type="dxa"/>
            <w:tcBorders/>
            <w:shd w:fill="CCEEFF" w:val="clear"/>
            <w:vAlign w:val="bottom"/>
          </w:tcPr>
          <w:p>
            <w:pPr>
              <w:pStyle w:val="TableContents"/>
              <w:bidi w:val="0"/>
              <w:spacing w:before="0" w:after="283"/>
              <w:jc w:val="left"/>
              <w:rPr/>
            </w:pPr>
            <w:r>
              <w:rPr/>
              <w:t> </w:t>
            </w:r>
          </w:p>
        </w:tc>
      </w:tr>
      <w:tr>
        <w:trPr/>
        <w:tc>
          <w:tcPr>
            <w:tcW w:w="1033" w:type="dxa"/>
            <w:tcBorders/>
          </w:tcPr>
          <w:p>
            <w:pPr>
              <w:pStyle w:val="TableContents"/>
              <w:bidi w:val="0"/>
              <w:spacing w:before="0" w:after="0"/>
              <w:jc w:val="left"/>
              <w:rPr>
                <w:rFonts w:ascii="Times New Roman" w:hAnsi="Times New Roman"/>
                <w:sz w:val="16"/>
              </w:rPr>
            </w:pPr>
            <w:r>
              <w:rPr>
                <w:rFonts w:ascii="Times New Roman" w:hAnsi="Times New Roman"/>
                <w:sz w:val="16"/>
              </w:rPr>
              <w:t>2032 Notes Total</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w:t>
            </w:r>
          </w:p>
        </w:tc>
        <w:tc>
          <w:tcPr>
            <w:tcW w:w="1731" w:type="dxa"/>
            <w:tcBorders/>
            <w:vAlign w:val="bottom"/>
          </w:tcPr>
          <w:p>
            <w:pPr>
              <w:pStyle w:val="TableContents"/>
              <w:bidi w:val="0"/>
              <w:spacing w:before="0" w:after="283"/>
              <w:jc w:val="right"/>
              <w:rPr/>
            </w:pPr>
            <w:r>
              <w:rPr/>
              <w:t>   </w:t>
            </w:r>
          </w:p>
        </w:tc>
        <w:tc>
          <w:tcPr>
            <w:tcW w:w="6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w:t>
            </w:r>
          </w:p>
        </w:tc>
        <w:tc>
          <w:tcPr>
            <w:tcW w:w="1679"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w:t>
            </w:r>
          </w:p>
        </w:tc>
        <w:tc>
          <w:tcPr>
            <w:tcW w:w="2074"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r>
      <w:tr>
        <w:trPr/>
        <w:tc>
          <w:tcPr>
            <w:tcW w:w="103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2037 Note</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   </w:t>
            </w:r>
          </w:p>
        </w:tc>
        <w:tc>
          <w:tcPr>
            <w:tcW w:w="671" w:type="dxa"/>
            <w:tcBorders/>
            <w:shd w:fill="CCEEFF" w:val="clear"/>
            <w:vAlign w:val="bottom"/>
          </w:tcPr>
          <w:p>
            <w:pPr>
              <w:pStyle w:val="TableContents"/>
              <w:bidi w:val="0"/>
              <w:spacing w:before="0" w:after="283"/>
              <w:jc w:val="left"/>
              <w:rPr/>
            </w:pPr>
            <w:r>
              <w:rPr/>
              <w:t>%(1) </w:t>
            </w:r>
          </w:p>
        </w:tc>
        <w:tc>
          <w:tcPr>
            <w:tcW w:w="1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074" w:type="dxa"/>
            <w:tcBorders/>
            <w:shd w:fill="CCEEFF" w:val="clear"/>
            <w:vAlign w:val="bottom"/>
          </w:tcPr>
          <w:p>
            <w:pPr>
              <w:pStyle w:val="TableContents"/>
              <w:bidi w:val="0"/>
              <w:spacing w:before="0" w:after="283"/>
              <w:jc w:val="right"/>
              <w:rPr/>
            </w:pPr>
            <w:r>
              <w:rPr/>
              <w:t>   </w:t>
            </w:r>
            <w:r>
              <w:rPr/>
              <w:t>%</w:t>
            </w:r>
          </w:p>
        </w:tc>
        <w:tc>
          <w:tcPr>
            <w:tcW w:w="79" w:type="dxa"/>
            <w:tcBorders/>
            <w:shd w:fill="CCEEFF" w:val="clear"/>
            <w:vAlign w:val="bottom"/>
          </w:tcPr>
          <w:p>
            <w:pPr>
              <w:pStyle w:val="TableContents"/>
              <w:bidi w:val="0"/>
              <w:spacing w:before="0" w:after="283"/>
              <w:jc w:val="left"/>
              <w:rPr/>
            </w:pPr>
            <w:r>
              <w:rPr/>
              <w:t> </w:t>
            </w:r>
          </w:p>
        </w:tc>
      </w:tr>
      <w:tr>
        <w:trPr/>
        <w:tc>
          <w:tcPr>
            <w:tcW w:w="1033" w:type="dxa"/>
            <w:tcBorders/>
          </w:tcPr>
          <w:p>
            <w:pPr>
              <w:pStyle w:val="TableContents"/>
              <w:bidi w:val="0"/>
              <w:spacing w:before="0" w:after="0"/>
              <w:jc w:val="left"/>
              <w:rPr>
                <w:rFonts w:ascii="Times New Roman" w:hAnsi="Times New Roman"/>
                <w:sz w:val="16"/>
              </w:rPr>
            </w:pPr>
            <w:r>
              <w:rPr>
                <w:rFonts w:ascii="Times New Roman" w:hAnsi="Times New Roman"/>
                <w:sz w:val="16"/>
              </w:rPr>
              <w:t>2037 Notes Total</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w:t>
            </w:r>
          </w:p>
        </w:tc>
        <w:tc>
          <w:tcPr>
            <w:tcW w:w="1731" w:type="dxa"/>
            <w:tcBorders/>
            <w:vAlign w:val="bottom"/>
          </w:tcPr>
          <w:p>
            <w:pPr>
              <w:pStyle w:val="TableContents"/>
              <w:bidi w:val="0"/>
              <w:spacing w:before="0" w:after="283"/>
              <w:jc w:val="right"/>
              <w:rPr/>
            </w:pPr>
            <w:r>
              <w:rPr/>
              <w:t>   </w:t>
            </w:r>
          </w:p>
        </w:tc>
        <w:tc>
          <w:tcPr>
            <w:tcW w:w="6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w:t>
            </w:r>
          </w:p>
        </w:tc>
        <w:tc>
          <w:tcPr>
            <w:tcW w:w="1679"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w:t>
            </w:r>
          </w:p>
        </w:tc>
        <w:tc>
          <w:tcPr>
            <w:tcW w:w="2074"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r>
      <w:tr>
        <w:trPr/>
        <w:tc>
          <w:tcPr>
            <w:tcW w:w="103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w:t>
            </w:r>
          </w:p>
        </w:tc>
        <w:tc>
          <w:tcPr>
            <w:tcW w:w="1731" w:type="dxa"/>
            <w:tcBorders/>
            <w:shd w:fill="CCEEFF" w:val="clear"/>
            <w:vAlign w:val="bottom"/>
          </w:tcPr>
          <w:p>
            <w:pPr>
              <w:pStyle w:val="TableContents"/>
              <w:bidi w:val="0"/>
              <w:spacing w:before="0" w:after="283"/>
              <w:jc w:val="left"/>
              <w:rPr>
                <w:sz w:val="4"/>
                <w:szCs w:val="4"/>
              </w:rPr>
            </w:pPr>
            <w:r>
              <w:rPr>
                <w:sz w:val="4"/>
                <w:szCs w:val="4"/>
              </w:rPr>
            </w:r>
          </w:p>
        </w:tc>
        <w:tc>
          <w:tcPr>
            <w:tcW w:w="6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w:t>
            </w:r>
          </w:p>
        </w:tc>
        <w:tc>
          <w:tcPr>
            <w:tcW w:w="1679"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w:t>
            </w:r>
          </w:p>
        </w:tc>
        <w:tc>
          <w:tcPr>
            <w:tcW w:w="2074"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 2026. </w:t>
            </w:r>
          </w:p>
        </w:tc>
      </w:tr>
    </w:tbl>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underwriters expect to deliver the notes in book-entry form only through a common depositary for Euroclear Bank SA/NV (“Euroclear Bank”), as operator of Euroclear System SA/NV (“Euroclear”) and Clearstream Banking, </w:t>
      </w:r>
      <w:r>
        <w:rPr>
          <w:rFonts w:ascii="Times New Roman" w:hAnsi="Times New Roman"/>
          <w:i/>
          <w:sz w:val="16"/>
        </w:rPr>
        <w:t>société</w:t>
      </w:r>
      <w:r>
        <w:rPr>
          <w:rFonts w:ascii="Times New Roman" w:hAnsi="Times New Roman"/>
          <w:sz w:val="16"/>
        </w:rPr>
        <w:t xml:space="preserve"> </w:t>
      </w:r>
      <w:r>
        <w:rPr>
          <w:rFonts w:ascii="Times New Roman" w:hAnsi="Times New Roman"/>
          <w:i/>
          <w:sz w:val="16"/>
        </w:rPr>
        <w:t xml:space="preserve">anonyme </w:t>
      </w:r>
      <w:r>
        <w:rPr>
          <w:rFonts w:ascii="Times New Roman" w:hAnsi="Times New Roman"/>
          <w:sz w:val="16"/>
        </w:rPr>
        <w:t xml:space="preserve">(“Clearstream”), on or about     , 2026, which will be the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one business day before delivery of the notes will be required by virtue of the fact that the notes initially will settle in      business days to specify alternative settlement arrangements to prevent a failed settlement.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Because our affiliate, Capital One Securities, Inc., is participating in the sale of the notes, the offering is being conducted in compliance with Financial Industry Regulatory Authority (“FINRA”) Rule 5121, as administered by FINRA.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ind w:left="960" w:right="960" w:hanging="0"/>
        <w:jc w:val="left"/>
        <w:rPr/>
      </w:pPr>
      <w:r>
        <w:rPr/>
        <w:t> </w:t>
      </w:r>
    </w:p>
    <w:tbl>
      <w:tblPr>
        <w:tblW w:w="9505" w:type="dxa"/>
        <w:jc w:val="left"/>
        <w:tblInd w:w="960" w:type="dxa"/>
        <w:tblLayout w:type="fixed"/>
        <w:tblCellMar>
          <w:top w:w="0" w:type="dxa"/>
          <w:left w:w="0" w:type="dxa"/>
          <w:bottom w:w="0" w:type="dxa"/>
          <w:right w:w="0" w:type="dxa"/>
        </w:tblCellMar>
      </w:tblPr>
      <w:tblGrid>
        <w:gridCol w:w="905"/>
        <w:gridCol w:w="60"/>
        <w:gridCol w:w="1565"/>
        <w:gridCol w:w="60"/>
        <w:gridCol w:w="2855"/>
        <w:gridCol w:w="60"/>
        <w:gridCol w:w="1655"/>
        <w:gridCol w:w="60"/>
        <w:gridCol w:w="2285"/>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center"/>
              <w:rPr>
                <w:b/>
              </w:rPr>
            </w:pPr>
            <w:r>
              <w:rPr>
                <w:b/>
              </w:rPr>
              <w:t>Barclays</w:t>
            </w:r>
          </w:p>
        </w:tc>
        <w:tc>
          <w:tcPr>
            <w:tcW w:w="60" w:type="dxa"/>
            <w:tcBorders/>
            <w:vAlign w:val="bottom"/>
          </w:tcPr>
          <w:p>
            <w:pPr>
              <w:pStyle w:val="TableContents"/>
              <w:bidi w:val="0"/>
              <w:spacing w:before="0" w:after="283"/>
              <w:jc w:val="left"/>
              <w:rPr/>
            </w:pPr>
            <w:r>
              <w:rPr/>
              <w:t> </w:t>
            </w:r>
          </w:p>
        </w:tc>
        <w:tc>
          <w:tcPr>
            <w:tcW w:w="1565" w:type="dxa"/>
            <w:tcBorders/>
          </w:tcPr>
          <w:p>
            <w:pPr>
              <w:pStyle w:val="TableContents"/>
              <w:bidi w:val="0"/>
              <w:spacing w:before="0" w:after="283"/>
              <w:jc w:val="center"/>
              <w:rPr>
                <w:b/>
              </w:rPr>
            </w:pPr>
            <w:r>
              <w:rPr>
                <w:b/>
              </w:rPr>
              <w:t>Deutsche Bank</w:t>
            </w:r>
          </w:p>
        </w:tc>
        <w:tc>
          <w:tcPr>
            <w:tcW w:w="60" w:type="dxa"/>
            <w:tcBorders/>
            <w:vAlign w:val="bottom"/>
          </w:tcPr>
          <w:p>
            <w:pPr>
              <w:pStyle w:val="TableContents"/>
              <w:bidi w:val="0"/>
              <w:spacing w:before="0" w:after="283"/>
              <w:jc w:val="left"/>
              <w:rPr/>
            </w:pPr>
            <w:r>
              <w:rPr/>
              <w:t> </w:t>
            </w:r>
          </w:p>
        </w:tc>
        <w:tc>
          <w:tcPr>
            <w:tcW w:w="2855" w:type="dxa"/>
            <w:tcBorders/>
            <w:vAlign w:val="bottom"/>
          </w:tcPr>
          <w:p>
            <w:pPr>
              <w:pStyle w:val="TableContents"/>
              <w:bidi w:val="0"/>
              <w:spacing w:before="0" w:after="283"/>
              <w:jc w:val="center"/>
              <w:rPr>
                <w:b/>
              </w:rPr>
            </w:pPr>
            <w:r>
              <w:rPr>
                <w:b/>
              </w:rPr>
              <w:t>Goldman Sachs &amp; Co. LLC</w:t>
            </w:r>
          </w:p>
        </w:tc>
        <w:tc>
          <w:tcPr>
            <w:tcW w:w="6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285" w:type="dxa"/>
            <w:tcBorders/>
            <w:vAlign w:val="bottom"/>
          </w:tcPr>
          <w:p>
            <w:pPr>
              <w:pStyle w:val="TableContents"/>
              <w:bidi w:val="0"/>
              <w:spacing w:before="0" w:after="283"/>
              <w:jc w:val="center"/>
              <w:rPr>
                <w:b/>
              </w:rPr>
            </w:pPr>
            <w:r>
              <w:rPr>
                <w:b/>
              </w:rPr>
              <w:t>Capital One Securities</w:t>
            </w:r>
          </w:p>
        </w:tc>
      </w:tr>
    </w:tbl>
    <w:p>
      <w:pPr>
        <w:pStyle w:val="TextBody"/>
        <w:bidi w:val="0"/>
        <w:spacing w:before="40" w:after="0"/>
        <w:ind w:left="960" w:right="960" w:hanging="0"/>
        <w:jc w:val="center"/>
        <w:rPr>
          <w:rFonts w:ascii="Times New Roman" w:hAnsi="Times New Roman"/>
          <w:b/>
          <w:sz w:val="16"/>
        </w:rPr>
      </w:pPr>
      <w:r>
        <w:rPr>
          <w:rFonts w:ascii="Times New Roman" w:hAnsi="Times New Roman"/>
          <w:b/>
          <w:sz w:val="16"/>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2">
              <w:r>
                <w:rPr>
                  <w:rStyle w:val="InternetLink"/>
                  <w:rFonts w:ascii="Times New Roman" w:hAnsi="Times New Roman"/>
                  <w:sz w:val="20"/>
                </w:rPr>
                <w:t>Stabilization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3">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4">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5">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8">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9">
              <w:r>
                <w:rPr>
                  <w:rStyle w:val="InternetLink"/>
                  <w:rFonts w:ascii="Times New Roman" w:hAnsi="Times New Roman"/>
                  <w:sz w:val="20"/>
                </w:rPr>
                <w:t>Material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0">
              <w:r>
                <w:rPr>
                  <w:rStyle w:val="InternetLink"/>
                  <w:rFonts w:ascii="Times New Roman" w:hAnsi="Times New Roman"/>
                  <w:sz w:val="20"/>
                </w:rPr>
                <w:t>Certain ERISA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1">
              <w:r>
                <w:rPr>
                  <w:rStyle w:val="InternetLink"/>
                  <w:rFonts w:ascii="Times New Roman" w:hAnsi="Times New Roman"/>
                  <w:sz w:val="20"/>
                </w:rPr>
                <w:t>Underwriting (Conflict of Interest)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2">
              <w:r>
                <w:rPr>
                  <w:rStyle w:val="InternetLink"/>
                  <w:rFonts w:ascii="Times New Roman" w:hAnsi="Times New Roman"/>
                  <w:sz w:val="20"/>
                </w:rPr>
                <w:t>Validity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4">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6">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7">
              <w:r>
                <w:rPr>
                  <w:rStyle w:val="InternetLink"/>
                  <w:rFonts w:ascii="Times New Roman" w:hAnsi="Times New Roman"/>
                  <w:sz w:val="20"/>
                </w:rPr>
                <w:t>Description of Preferred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8">
              <w:r>
                <w:rPr>
                  <w:rStyle w:val="InternetLink"/>
                  <w:rFonts w:ascii="Times New Roman" w:hAnsi="Times New Roman"/>
                  <w:sz w:val="20"/>
                </w:rPr>
                <w:t>Description of Common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9">
              <w:r>
                <w:rPr>
                  <w:rStyle w:val="InternetLink"/>
                  <w:rFonts w:ascii="Times New Roman" w:hAnsi="Times New Roman"/>
                  <w:sz w:val="20"/>
                </w:rPr>
                <w:t>Description of Other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0">
              <w:r>
                <w:rPr>
                  <w:rStyle w:val="InternetLink"/>
                  <w:rFonts w:ascii="Times New Roman" w:hAnsi="Times New Roman"/>
                  <w:sz w:val="20"/>
                </w:rPr>
                <w:t>Resale by Selling Securityholders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1">
              <w:r>
                <w:rPr>
                  <w:rStyle w:val="InternetLink"/>
                  <w:rFonts w:ascii="Times New Roman" w:hAnsi="Times New Roman"/>
                  <w:sz w:val="20"/>
                </w:rPr>
                <w:t>Book-Entry Procedures and Settlement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2">
              <w:r>
                <w:rPr>
                  <w:rStyle w:val="InternetLink"/>
                  <w:rFonts w:ascii="Times New Roman" w:hAnsi="Times New Roman"/>
                  <w:sz w:val="20"/>
                </w:rPr>
                <w:t>Certain Legal Matters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have not, and the underwriters have not, authorized any other person to provide you with information different from, or in addition to, that contained in or incorporated by reference in this prospectus supplement (including any related free writing prospectus prepared by us or on our behalf, if any) and the accompanying prospectus.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 notes in any jurisdiction where the offer or sale is not permitted. The distribution of this prospectus supplement and the accompanying prospectus and the offering or sale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(Conflict of Interest)”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(including any related free writing prospectus prepared by us or on our behalf, if any), the accompanying prospectus and the documents incorporated by reference herein and therein, is accurate only as of their respective dates.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2815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the notes in two separate documents: (1) this prospectus supplement (including any related free writing prospectus prepared by us or on our behalf, if any), which describes the specific terms of the notes and also adds to and updates information contained in the accompanying prospectus and the documents incorporated by reference in that prospectus, and (2) the accompanying prospectus, which provides general information about securities we may offer from time to time, including securities other than the notes that are being offered by this prospectus supplement. If information in this prospectus supplement or any related free writing prospectus, if any, is inconsistent with the accompanying prospectus, you should rely on this prospectus supplement and such related free writing prospectus, if any.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of the information contained in this prospectus supplement and any related free writing prospectus, if any, and the accompanying prospectus in making your investment decision. You also should read and consider the information in the documents we have referred you to in the section entitled “Where You Can Find More Information” beginning on page S-49 of this prospectus supplement and page 5 of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include cross-references in this prospectus supplement and the accompanying prospectus to captions in these materials where you can find additional related discussions. The table of contents in this prospectus supplement provides the pages on which these captions are located.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to “Capital One,” “issuer,” “we,” “our,” or “us” in this prospectus supplement refer to Capital One Financial Corporation,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All pro forma financial statements and other pro forma information incorporated by reference herein have been prepared on the basis of certain assumptions and estimates and are subject to other uncertainties and do not purport to reflect what our actual results of operations or financial condition or this other pro forma information would have been had the Discover acquisition (as defined below) been consummated on the dates assumed for purposes of such pro forma financial statements and information or to be indicative of our financial condition, results of operations or metrics as of or for any future date or period. </w:t>
      </w:r>
    </w:p>
    <w:p>
      <w:pPr>
        <w:pStyle w:val="TextBody"/>
        <w:bidi w:val="0"/>
        <w:spacing w:before="240" w:after="0"/>
        <w:jc w:val="left"/>
        <w:rPr>
          <w:rFonts w:ascii="Times New Roman" w:hAnsi="Times New Roman"/>
          <w:sz w:val="20"/>
        </w:rPr>
      </w:pPr>
      <w:r>
        <w:rPr>
          <w:rFonts w:ascii="Times New Roman" w:hAnsi="Times New Roman"/>
          <w:sz w:val="20"/>
        </w:rPr>
        <w:t xml:space="preserve">References to “$” and “U.S. dollars” are to the currency of the United States. References to “” and “euro” are to the currency of the member states of the European Monetary Union (the “European Monetary Union”) that have adopted or that adopt the single currency in accordance with the treaty establishing the European Community, as amended by the Treaty on European Union. No representation is made that any euro amounts converted into U.S. dollars as presented in this prospectus supplement could have been or could be converted into U.S. dollars at any such exchange rate or at all. The financial information presented in this prospectus supplement and the accompanying prospectus has been prepared in accordance with Generally Accepted Accounting Principles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euro / U.S. dollar rate of exchange used in this prospectus supplement is 1.00 = $1.1598, which is the noon buying rate in New York City for cable transfers as announced by the United States Board of Governors of the Federal Reserve System (the “Federal Reserve Board”) for the euro on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28156_2"/>
      <w:bookmarkEnd w:id="4"/>
      <w:r>
        <w:rPr>
          <w:rFonts w:ascii="Times New Roman" w:hAnsi="Times New Roman"/>
          <w:b/>
          <w:sz w:val="20"/>
        </w:rPr>
        <w:t xml:space="preserve">STABILIZATION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GOLDMAN SACHS &amp; CO. LLC, IN ITS ROLE AS STABILIZING MANAGER (IN SUCH CAPACITY, THE “STABILIZING MANAGER”) (OR PERSONS ACTING ON BEHALF OF THE STABILIZING MANAGER), MAY OVER-ALLOT NOTES OR EFFECT TRANSACTIONS WITH A VIEW TO SUPPORTING THE MARKET PRICE OF EACH SERIES OF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SEE “UNDERWRITING (CONFLICT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b/>
          <w:sz w:val="20"/>
        </w:rPr>
      </w:pPr>
      <w:r>
        <w:rPr>
          <w:rFonts w:ascii="Times New Roman" w:hAnsi="Times New Roman"/>
          <w:b/>
          <w:sz w:val="20"/>
        </w:rPr>
        <w:t xml:space="preserve">Prohibition of Sales to EEA Retail Investors: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been prepared on the basis that any offer of the notes in any member state of the EEA will be made pursuant to an exemption under Regulation (EU) 2017/1129 (as amended, the “Prospectus Regulation”) from the requirement to publish a prospectus for offers of any notes. </w:t>
      </w:r>
    </w:p>
    <w:p>
      <w:pPr>
        <w:pStyle w:val="TextBody"/>
        <w:bidi w:val="0"/>
        <w:spacing w:before="240" w:after="0"/>
        <w:jc w:val="left"/>
        <w:rPr>
          <w:rFonts w:ascii="Times New Roman" w:hAnsi="Times New Roman"/>
          <w:b/>
          <w:sz w:val="20"/>
        </w:rPr>
      </w:pPr>
      <w:r>
        <w:rPr>
          <w:rFonts w:ascii="Times New Roman" w:hAnsi="Times New Roman"/>
          <w:b/>
          <w:sz w:val="20"/>
        </w:rPr>
        <w:t xml:space="preserve">Accordingly, any person making or intending to make an offer in an EEA member state of notes which are the subject of this prospectus supplement and the accompanying prospectus may only do so in circumstances in which no obligation arises for the issuer or any of the underwriters to publish a prospectus pursuant to Article 3 of the Prospectus Regulation or supplement a prospectus pursuant to Article 23 of the Prospectus Regulation, in each case, in relation to such offer of the notes. Neither the issuer nor the underwriters have authorized, nor do they authorize, the making of any offer of the notes in circumstances in which an obligation arises for the issuer or the underwriters to publish or supplement a prospectus for any such offers of the notes. This prospectus supplement and the accompanying prospectus are not a prospectus for the purposes of the Prospectus Regulation. </w:t>
      </w:r>
    </w:p>
    <w:p>
      <w:pPr>
        <w:pStyle w:val="TextBody"/>
        <w:bidi w:val="0"/>
        <w:spacing w:before="240" w:after="0"/>
        <w:jc w:val="left"/>
        <w:rPr>
          <w:rFonts w:ascii="Times New Roman" w:hAnsi="Times New Roman"/>
          <w:b/>
          <w:sz w:val="20"/>
        </w:rPr>
      </w:pPr>
      <w:r>
        <w:rPr>
          <w:rFonts w:ascii="Times New Roman" w:hAnsi="Times New Roman"/>
          <w:b/>
          <w:sz w:val="20"/>
        </w:rPr>
        <w:t xml:space="preserve">MiFID II Product Governance / Target Market: 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b/>
          <w:sz w:val="20"/>
        </w:rPr>
      </w:pPr>
      <w:r>
        <w:rPr>
          <w:rFonts w:ascii="Times New Roman" w:hAnsi="Times New Roman"/>
          <w:b/>
          <w:sz w:val="20"/>
        </w:rPr>
        <w:t xml:space="preserve">Prohibition of Sales to UK Retail Investors: The notes are not intended to be offered, sold, distributed or otherwise made available to and should not be offered, sold, distributed or otherwise made available to any retail investor in the United Kingdom (the “UK”). For these purposes: (a) the expression retail investor means a person who is either one or both of the following: (i) not a professional client, as defined in point (8) of Article 2(1) of Regulation (EU) No 600/2014 as it forms part of domestic law by virtue of the European Union (Withdrawal) Act 2018 (as amended, the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been prepared on the basis that any offer of the notes in the UK falls within one of the exceptions specified in Part 1 of Schedule 1 of the POATRs. This prospectus supplement and the accompanying prospectus are only being distributed to, and are only directed at, persons who are outside the UK, or if in the UK, persons that are (1) investment professionals falling within Article 19(5) of the Financial Services and Markets Act 2000 (Financial Promotion) Order 2005, as amended (the “Order”) or (2) high net worth entities, and other persons to whom it may lawfully be communicated, falling within Article 49(2)(a) to (d) of the Order or (3) other persons to whom the prospectus supplement and the accompanying prospectus may otherwise lawfully be communicated (each such person being referred to as a “Relevant Person”). This prospectus supplement and the accompanying prospectus and their contents are confidential and should not be distributed, published or reproduced (in whole or in part) or disclosed by recipients to any other persons in the UK. The notes are only available to, and any invitation, offer or agreement to subscribe, purchase or otherwise acquire such notes will be engaged in only with, a Relevant Person. Any person in the UK that is not a Relevant Person should not act or rely on this prospectus supplement and/or the accompanying prospectus or any of their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not been approved for the purposes of Section 21 of the Financial Services and Markets Act 2000 (“FSMA”) by a person authorized under the FSMA. This prospectus supplement and the accompanying prospectus are being distributed and communicated to persons in the UK only in circumstances in which Section 21(1) of the FSMA does not apply to us. </w:t>
      </w:r>
    </w:p>
    <w:p>
      <w:pPr>
        <w:pStyle w:val="TextBody"/>
        <w:bidi w:val="0"/>
        <w:spacing w:before="240" w:after="0"/>
        <w:jc w:val="left"/>
        <w:rPr>
          <w:rFonts w:ascii="Times New Roman" w:hAnsi="Times New Roman"/>
          <w:b/>
          <w:sz w:val="20"/>
        </w:rPr>
      </w:pPr>
      <w:r>
        <w:rPr>
          <w:rFonts w:ascii="Times New Roman" w:hAnsi="Times New Roman"/>
          <w:b/>
          <w:sz w:val="20"/>
        </w:rPr>
        <w:t xml:space="preserve">UK MiFIR Product Governance / Professional Investors and ECPs Only Target Market: 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and professional clients, as defined in Regulation (EU) No 600/2014 as it forms part of domestic law by virtue of the EUWA (“UK MiFIR”); and (ii) all channels for distribution of the notes to eligible counterparties and professional clients are appropriate. A distributor should take into consideration the manufacturers’ target market assessment; however, a distributor subject to the FCA Handbook Product Intervention and Product Governance Sourcebook is responsible for undertaking its own target market assessment in respect of the notes (by either adopting or refining the manufacturers’ target market assessment) and determining appropriate distribution channels.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28156_3"/>
      <w:bookmarkEnd w:id="5"/>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any related free writing prospectus prepared by us or on our behalf, if any), the accompanying prospectus and the documents incorporated by reference herein and therein contain forward-looking statements. Statements that are not historical facts, including statements about our beliefs and expectations, are forward-looking statements within the meaning of Section 27A of the Securities Act of 1933, as amended (the “Securities Act”), and Section 21E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have made and will make forward-looking statements, including those that discuss, among other things: strategies, goals, outlook or other non-historical matters; projections, revenues, income, returns, expenses, assets, liabilities, capital and liquidity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 Forward-looking statements often use words such as “will,” “anticipate,” “target,” “expect,” “think,” “estimate,” “intend,” “plan,” “goal,” “believe,” “forecast,” “outlook” or other words of similar meaning. We have based these forward-looking statements on our current plans, estimates and projections, and you should not unduly rely on them. To the extent that any of the information in this prospectus supplement (including any related free writing prospectus prepared by us or on our behalf, if any), the accompanying prospectus and the documents incorporated by reference herein and therein is forward-looking, it is intended to fit within the safe harbor for forward-looking information provided by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Numerous factors could cause our actual results to differ materially from those described in such forward-looking statements,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integration of the Discover acquisition, including our ability to successfully integrate our businesses, incur substantial expenses related to the Discover acquisition and to the integration of Discover (as defined below), and the expenses may be greater than anticipated due to factors, some or all of which may be outside our control; our ability to realize all of the anticipated benefits of the Discover acquisition, or those benefits may take longer to realize than expected due to factors that may be outside our control; the integration of Discover may have an adverse effect on our business and results of operations due to the diversion of a substantial portion of the time and attention of our management team; potential employee attrition; and other factors that may affect our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instability in the macroeconomic environment, resulting from factors that include, but are not limited to, monetary, fiscal and trade policy actions such as tariffs, geopolitical conflicts or instability, such as the war in Ukraine, the ongoing conflict in the Middle East and the political instability in Venezuela, labor shortages, government shutdowns, inflation and deflation, changes in energy costs, potential recessions, technology-driven disruption of certain industries, adverse developments impacting the U.S. or global banking industry, including a deterioration in private credit markets and potential spread to other credit markets, changing immigration policies, lower demand for credit, changes in deposit practices and payment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sources of funding and liquidity to operate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credit losses and delinquencies and the impact of incorrectly estimated expected losses, which could result in inadequate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capital or liquidity levels or to comply with revised capital or liquidity requirements, which could have a negative impact on our financial results and our ability to return capital to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receive dividends from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downgrade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operate, and adapt our operational, technology and organizational infrastructure suitable for the nature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reductions in revenue, reputational damage, legal exposure and business disruptions that can result from a cyber-attack or other security incident on us or third parties (including their supply chains) with which we conduct business, including an incident that results in the theft, loss, manipulation or misuse of information, or the disabling of systems and access to information critical to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reliability and accuracy of the models, artificial intelligence, and data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of internal and external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new and existing domestic and foreign laws, regulations and regulatory expectations, which may change over time including as a result of the political and policy goals of elected and appointed officials;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regulations related to privacy, data protection and data security, in addition to compliance with our own privacy policies and contractual obligations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changes or actions relating to any litigation, governmental investigation or regulatory enforcement action or matter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response to 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rate of deposit growth and changes in deposit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our strategic initiatives and operational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market preference towards other operators of payment networks and alternative payment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create and maintain a strong base of network licensees and achieving meaningful global card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regulation and merchants’ efforts to reduce the fees (including the interchange component) charged by credit and debit card networks and acquirers to facilitate card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large merchants that accept cards on our recently acquired Discover Network or PULSE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or risks from bankruptcies, liquidations, restructurings, consolidations and outages by our network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invest successfully in and introduce digital and other technological developments across all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integrating acquired businesses and loan portfolios, and our ability to realize anticipated benefits from announced transactions and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reputation of, or expectations regarding, us or the financial services industry with respect to practices, products, services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marketing efforts in attracting and retaining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risk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develop, retain and motivate key senior leaders and skilled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from catastrophic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change manifesting as physical or transition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assumptions or estimates in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soundness of other financial institutions and other third parties, actual or perceived;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identified from time to time in our public disclosures, including in the reports that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factors referred to above in evaluating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these forward-looking statements, you should keep in mind these risks, uncertainties and other cautionary statements made in this prospectus supplement, the accompanying prospectus and in the documents incorporated by reference. See the factors set forth under the “Risk Factors” section beginning on page S-9 of this prospectus supplement and in any other documents incorporated or deemed to be incorporated by reference therein or herein, including in our most recent Annual Report on Form 10-K and any subsequent Quarterly Report on Form 10-Q, as such discussion may be amended or updated in other reports filed by us with the SEC, for additional information that you should consider carefully in evaluating these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are not guarantees of future performance. They involve risks, uncertainties and assumptions, including the risk factors referred to above. Our future performance and actual results may differ materially from those expressed in forward-looking statements. Many of the factors that will determine these results and values are beyond our ability to control or predict. Any forward-looking statements made by us or on our behalf speak only as of the date they are made or as of the date indicated, and we do not undertake any obligation to update forward-looking statements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28156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from this prospectus supplement and the accompanying prospectus about the notes and this offering. This description is not complete and does not contain all of the information that you should consider before investing in the notes. You should read this prospectus supplement and the accompanying prospectus, including the documents we incorporate by reference, carefully to understand fully the terms of the notes as well as other considerations that are important to you in making a decision about whether to invest in the notes. You should pay special attention to the “Risk Factors” section beginning on page S-9 of this prospectus supplement and the “Risk Factors” section in our most recent Annual Report on Form 10-K and any subsequent Quarterly Report on Form 10-Q, as such discussion may be amended or updated in other reports filed by us with the SEC, to determine whether an investment in the notes is appropriate for you. This prospectus supplement includes forward-looking statements that involve risks and uncertainties. For a more complete understanding of the notes, you should read the section entitled “Description of the Notes” beginning on page S-19 of this prospectus supplement as well as the section entitled “Description of Debt Securities” beginning on page 8 of the accompanying prospectus. To the extent the information in this prospectus supplement is inconsistent with the information in the accompanying prospectus, you should rely on the information contained in this prospectus supplement.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Capital One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One Financial Corporation, a Delaware corporation established in 1994 and headquartered in McLean, Virginia, is a diversified financial services holding company with banking and non-banking subsidiaries. Capital One Financial Corporation and its subsidiaries operate as a global payments provider and diversified financial institution, delivering a broad array of financial products and services to consumers, small businesses and commercial clients through digital channels, branch locations, cafés and other distribution channels. As of June 30, 2026, our principal operating subsidiary was Capital One, National Association (“CONA”).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on Capital One, see the documents incorporated by reference into this prospectus supplement and the accompanying prospectus. Our principal executive office is located at 1680 Capital One Drive, McLean, Virginia 22102 (telephone number (703) 720-1000).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One Financial Corporation’s Legal Entity Identifier is ZUE8T73ROZOF6FLBAR73.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Discover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19, 2024, Capital One entered into an Agreement and Plan of Merger, by and among Capital One, Discover Financial Services, a Delaware corporation (“Discover”), and Vega Merger Sub, Inc., a Delaware corporation and a direct, wholly owned subsidiary of Capital One (“Merger Sub”). On May 18, 2025, Capital One closed the acquisition of Discover, pursuant to which (i) Merger Sub merged with and into Discover, with Discover as the surviving entity in the merger (the “Merger”); (ii) immediately following the Merger, Discover, as the surviving entity, merged with and into Capital One, with Capital One as the surviving entity in the second-step merger (the “Second Step Merger”); and (iii) immediately following the Second Step Merger, Discover Bank, a Delaware-chartered and wholly owned subsidiary of Discover, merged with and into CONA, with CONA as the surviving entity in the merger (the “CONA Bank Merger,” and collectively with the Merger and Second Step Merger, the “Discover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Brex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7, 2026, Capital One completed its previously announced acquisition of Brex Inc., a Delaware corporation (“Brex” and such acquisition, the “Brex acquisition”), pursuant to the terms of an Agreement and Plan of Merger and Reorganization, dated as of January 22, 2026 with Brex and certain other parties thereto. Brex offers businesses solutions to issue corporate cards, automate expense management and make secure, real-time payments. The Brex acquisition enhances Capital One’s offerings in the business payments marketplace. The total consideration paid to Brex shareholders for the acquisition was approximately $4.5 billion and included $2.6 billion of cash consideration and 10.6 million shares of common stock, par value $0.01 per share, of Capital One with a fair value of $1.9 billion. The consideration is also subject to customary post-closing adjustments. Immediately following the completion of the Brex acquisition, Capital One paid off Brex’s outstanding debt of $1.1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28156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Capital One Financial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    aggregate principal amount of     % fixed-to-floating rate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aggregate principal amount of      % fixed-to-floating rate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the Notes—General.”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The 2032 notes will mature on    , 2032 (the “2032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2037 notes will mature on    , 2037 (the “2037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Reset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interest reset date with respect to the 2032 notes is     , 2031 (the “2032 Notes Interest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interest reset date with respect to the 2037 notes is     , 2036 (the “2037 Notes Interest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Fixed Rate Period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With respect to the 2032 notes, the period from and including the original issue date to but excluding the 2032 Notes Interest Reset Date (the “2032 Notes Fixed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With respect to the 2037 notes, the period from and including the original issue date to but excluding the 2037 Notes Interest Reset Date (the “2037 Notes Fixed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Floating Rate Period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With respect to the 2032 notes, the period from and including the 2032 Notes Interest Reset Date to but excluding the 2032 Notes Maturity Date (the “2032 Notes 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With respect to the 2037 notes, the period from and including the 2037 Notes Interest Reset Date to but excluding the 2037 Notes Maturity Date (the “2037 Notes Floating Rate Period” and, together with the 2032 Notes Floating Rate Period, the “Floating Rate Periods” and each, a “Floating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8" w:type="dxa"/>
            <w:tcBorders/>
          </w:tcPr>
          <w:p>
            <w:pPr>
              <w:pStyle w:val="TableContents"/>
              <w:bidi w:val="0"/>
              <w:spacing w:before="0" w:after="283"/>
              <w:jc w:val="left"/>
              <w:rPr/>
            </w:pPr>
            <w:r>
              <w:rPr>
                <w:b/>
                <w:i/>
              </w:rPr>
              <w:t>2032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will pay interest on the 2032 notes annually with respect to the 2032 Notes Fixed Rate Period in arrears on      of each year (the “2032 Notes Fixed Rate Interest Payment Dates”). We will make the first interest payment on     , 2027 and the final fixed rate interest payment on     , 2031.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During the 2032 Notes Floating Rate Period, we will pay interest on the 2032 notes quarterly in arrears on each     ,     ,      and      (the “2032 Notes Floating Rate Interest Payment Dates”) beginning on     , 2031 and ending on the 2032 Notes Maturity Date. If the scheduled 2032 Notes Maturity Date falls on a day that is not a business day, the payment of principal and interest will be made on the next succeeding business day, but interest on that payment will not accrue during the period from and after the scheduled 2032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will pay interest on the 2037 notes annually with respect to the 2037 Notes Fixed Rate Period in arrears on      of each year (the “2037 Notes Fixed Rate Interest Payment Dates” and, together with the 2032 Notes Fixed Rate Interest Payment Dates, the “Fixed Rate Interest Payment Dates” and each a “Fixed Rate Interest Payment Date”). We will make the first interest payment on     , 2027 and the final fixed rate interest payment on     ,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During the 2037 Notes Floating Rate Period, we will pay interest on the 2037 notes quarterly in arrears on each     ,     ,      and      (the “2037 Notes Floating Rate Interest Payment Dates” and, together with the 2032 Notes Floating Rate Interest Payment Dates, the “Floating Rate Interest Payment Dates” and each a “Floating Rate Interest Payment Date”) beginning on     , 2036 and ending on the 2037 Notes Maturity Date. If the scheduled 2037 Notes Maturity Date falls on a day that is not a business day, the payment of principal and interest will be made on the next succeeding business day, but interest on that payment will not accrue during the period from and after the scheduled 2037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Fixed Rate Period Interest Rate </w:t>
            </w:r>
          </w:p>
        </w:tc>
        <w:tc>
          <w:tcPr>
            <w:tcW w:w="6327" w:type="dxa"/>
            <w:tcBorders/>
          </w:tcPr>
          <w:p>
            <w:pPr>
              <w:pStyle w:val="TableContents"/>
              <w:bidi w:val="0"/>
              <w:spacing w:before="0" w:after="283"/>
              <w:jc w:val="left"/>
              <w:rPr/>
            </w:pPr>
            <w:r>
              <w:rPr>
                <w:b/>
                <w:i/>
              </w:rPr>
              <w:t>2032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2032 Notes Fixed Rate Period, starting from and including the original issue date to but excluding the 2032 Notes Interest Reset Date, the 2032 notes will bear interest at a fixed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2037 Notes Fixed Rate Period, starting from and including the original issue date to but excluding the 2037 Notes Interest Reset Date, the 2037 notes will bear interest at a fixed rate of     % per annum.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Floating Rate Period Interest Rate </w:t>
            </w:r>
          </w:p>
        </w:tc>
        <w:tc>
          <w:tcPr>
            <w:tcW w:w="6329" w:type="dxa"/>
            <w:tcBorders/>
          </w:tcPr>
          <w:p>
            <w:pPr>
              <w:pStyle w:val="TableContents"/>
              <w:bidi w:val="0"/>
              <w:spacing w:before="0" w:after="283"/>
              <w:jc w:val="left"/>
              <w:rPr>
                <w:b/>
                <w:i/>
              </w:rPr>
            </w:pPr>
            <w:r>
              <w:rPr>
                <w:b/>
                <w:i/>
              </w:rPr>
              <w:t xml:space="preserve">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During the 2032 Notes Floating Rate Period, starting from and including the 2032 Notes Interest Reset Date to but excluding the 2032 Notes Maturity Date, the 2032 notes will bear interest at a rate per annum equal to the three-month Euro Interbank Offered Rate (“EURIBOR”) plus     %. For additional information, see “Description of the Notes—Floating Rate Period Interest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2037 Notes Floating Rate Period, starting from and including the 2037 Notes Interest Reset Date to but excluding the 2037 Notes Maturity Date, the 2037 notes will bear interest at a rate per annum equal to three-month EURIBOR plus     %. For additional information, see “Description of the Notes—Floating Rate Period Interest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Floating Rate Interest Payment Periods </w:t>
            </w:r>
          </w:p>
        </w:tc>
        <w:tc>
          <w:tcPr>
            <w:tcW w:w="6328" w:type="dxa"/>
            <w:tcBorders/>
          </w:tcPr>
          <w:p>
            <w:pPr>
              <w:pStyle w:val="TableContents"/>
              <w:bidi w:val="0"/>
              <w:spacing w:before="0" w:after="283"/>
              <w:jc w:val="left"/>
              <w:rPr>
                <w:b/>
                <w:i/>
              </w:rPr>
            </w:pPr>
            <w:r>
              <w:rPr>
                <w:b/>
                <w:i/>
              </w:rPr>
              <w:t xml:space="preserve">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floating rate interest payment periods for the 2032 notes mean the quarterly periods from and including each 2032 Notes Floating Rate Interest Payment Date (or from and including the 2032 Notes Interest Reset Date in the case of the first 2032 Notes Floating Rate Interest Payment Period) to, but excluding, the next succeeding 2032 Notes Floating Rate Interest Payment Date (the “2032 Notes Floating Rate Interest Payment Periods”).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floating rate interest payment periods for the 2037 notes mean the quarterly periods from and including each 2037 Notes Floating Rate Interest Payment Date (or from and including the 2037 Notes Interest Reset Date in the case of the first 2037 Notes Floating Rate Interest Payment Period) to, but excluding, the next succeeding 2037 Notes Floating Rate Interest Payment Date (the “2037 Notes Floating Rate Interest Payment Periods” and, together with the 2032 Notes Floating Rate Interest Payment Periods, the “Floating Rate Interest Payment Periods” and each a “Floating Rate Interest Payment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intend to use the net proceeds from the sale of the notes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See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section entitled “Risk Factors” beginning on page S-9 and other information included or incorporated by reference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this prospectus supplement and the accompanying prospectus for a discussion of factors you should consider carefully before deciding to invest in our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We may redeem the 2032 notes at our option on     , 2031 (which is the date that is one year prior to the 2032 Notes Maturity Date), in whole but not in part, at a redemption price equal to 100% of the principal amount of the 2032 notes to be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may redeem the 2037 notes at our option on     , 2036 (which is the date that is one year prior to the 2037 Notes Maturity Date), in whole but not in part, at a redemption price equal to 100% of the principal amount of the 2037 notes to be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Redemption of Notes for Tax Reasons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may redeem either series of notes in whole, but not in part, upon the occurrence of specified tax events described under “Description of the Notes—Redemption for Tax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are our direct, unsecured and unsubordinated obligations and rank equal in priority with all of our existing and future unsecured and unsubordinated indebtedness and senior in right of payment to all of our existing and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Listing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are new securities for which there is currently no established trading market. We intend to apply to list each series of notes on the New York Stock Exchange (the “NYSE”). Currently there is no public market for either series of notes. The listing application will be subject to approval by the NYSE. We currently expect trading in the notes on the NYSE to begin within 30 days after the original issue date. If such a listing is obtained, we have no obligation to maintain such listing and we may delist either series of notes at any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of the underwriters, Capital One Securities, Inc., is our affiliate. The distribution arrangements for this offering comply with the requirements of FINRA Rule 5121 regarding a FINRA member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firm’s participation in the distribution of securities of an affiliate. In accordance with Rule 5121, no FINRA member that has a conflict of interest under Rule 5121 may make sales in this offering to any discretionary account without the prior approval of the customer. Capital One Securities, Inc. may use this prospectus supplement and the accompanying prospectus in connection with offers and sales of the notes in the secondary market. Capital One Securities, Inc. may act as principal or agent in those transactions. Secondary market sales will be made at prices related to market prices at the time of sale. Capital One Securities, Inc. is not primarily responsible for managing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Issuance in Euros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All payments of interest and principal, including payments made upon any redemption of the notes, will be made in euros. If the euro is unavailable to us due to the imposition of exchange controls or other circumstances beyond our control or if the euro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at a rate mandated by the Federal Reserve Board as of the close of business on the second business day prior to the relevant payment date. Any payments in respect of the notes so made in U.S. dollars will not constitute an event of default under the terms of the notes or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Subject to certain exceptions and limitations set forth herein, we will pay additional amounts on each series of notes as are necessary to ensure that the net payment by us of the principal of and interest on a note to or on account of a beneficial owner of a note who is not a United States person for U.S. federal income tax purposes, after deduction or withholding by us or any of our paying agents for any present or future tax, assessment or other governmental charge imposed by the United States (or any political subdivision or taxing authority of the United States) on such payment, will not be less than the amount that would have been payable had no such deduction or withholding been required. See “Description of the Notes—Payment of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Denominations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will be issued only in minimum denominations of 100,000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Form</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will be issued only in registered, book-entry form. One or more global notes will be deposited with a common depositary on behalf of Euroclear Bank as operator of Euroclear, and Clearstream and registered in the name of the common depositary or its nominee.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Issues</w:t>
            </w:r>
            <w:r>
              <w:rPr>
                <w:rFonts w:ascii="Times New Roman" w:hAnsi="Times New Roman"/>
                <w:sz w:val="20"/>
              </w:rPr>
              <w:t xml:space="preserv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from time to time, without notice to or the consent of the holders of a series of notes, create and issue additional notes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same series ranking equally and ratably with such series of notes in all respects, or in all respects except for the payment of interest accruing prior to the issue date or except for the first payment of interest following the issue date of those additional notes. Any such additional notes will have the same terms as to status, redemption or otherwise as the notes of such series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will be, and the indenture under which they will be issued is,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Registrar, Transfer Agent and Calculation Agent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Paying Agent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Bank of New York Mellon, London Branch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28156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risks, including the risks described below that are specific to the notes and those that could affect us and our business. You should not purchase notes unless you understand these investment risks. Please be aware that other risks may prove to be important in the future. New risks may emerge at any time, and we cannot predict such risks or estimate the extent to which they may affect our financial performance. Before purchasing any notes, you should consider carefully the risks and other information in this prospectus supplement and the accompanying prospectus and carefully read the risks described in the documents incorporated by reference in this prospectus supplement and the accompanying prospectus, including the discussion under the “Risk Factors” section in our most recent Annual Report on Form 10-K and any subsequent Quarterly Report on Form 10-Q, as such discussion may be amended or updated in other reports filed by us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our unsecured obligations and not obligations of our subsidiaries and will be effectively subordinated to the claims of our subsidiaries’ creditors.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exclusively our obligations and not those of our subsidiaries. We are a holding company and, accordingly, substantially all of our operations are conducted through our subsidiaries. As a result, our cash flow and our ability to service our debt, including the notes, depend upon the earnings of our subsidiaries. In addition, we depend on the distribution of earnings, loans or other payments by our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are separate and distinct legal entities. Our subsidiaries have no obligation to pay any amounts due on the notes or to provide us with funds to pay our obligations, whether by dividends, distributions, loans or other payments. Payments to us by our subsidiaries also will be contingent upon those subsidiaries’ earnings and business considerations. In addition, any payment of dividends, distributions, loans or advances by our subsidiaries to us would be subject to regulatory or contractual restrictions. There are various federal law limitations on the extent to which our bank subsidiary can finance or otherwise supply funds to us through dividends and loans. These limitations include minimum regulatory capital requirements, federal banking law requirements concerning the payment of dividends out of net profits or surplus, Sections 23A and 23B of the Federal Reserve Act and Regulation W governing transactions between an insured depository institution and its affiliates, as well as general federal regulatory oversight to prevent unsafe or unsound practices. If our subsidiaries’ earnings are not sufficient to make dividend payments to us while maintaining adequate capital levels, our liquidity may be affected and we may not be able to make payments on outstanding corporate debt securities, including the notes, or meet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 of the holders of the notes to participate in those assets, will be effectively subordinated to the claims of those subsidiaries’ creditors, including senior and subordinated debtholders and general trade creditors. In the event of any such distribution of assets of our bank subsidiary, the claims of depositors and other general or subordinated creditors would be entitled to priority over the claims of holders of the notes. In addition, even if we were a creditor of any of our subsidiaries, our rights as a creditor would be subordinate to any security interest in the assets of those subsidiaries and any indebtedness of those subsidiaries senior to that held by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will not be secured by any of our assets. As a result, they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notes may be redeemed at our option under certain circumstances prior to their maturity, you are subject to reinvestment risk. </w:t>
      </w:r>
    </w:p>
    <w:p>
      <w:pPr>
        <w:pStyle w:val="TextBody"/>
        <w:bidi w:val="0"/>
        <w:spacing w:before="120" w:after="0"/>
        <w:jc w:val="left"/>
        <w:rPr>
          <w:rFonts w:ascii="Times New Roman" w:hAnsi="Times New Roman"/>
          <w:sz w:val="20"/>
        </w:rPr>
      </w:pPr>
      <w:r>
        <w:rPr>
          <w:rFonts w:ascii="Times New Roman" w:hAnsi="Times New Roman"/>
          <w:sz w:val="20"/>
        </w:rPr>
        <w:t xml:space="preserve">We may redeem each series of the notes at our option, in whole but not in part on     , 2031, with respect to the 2032 notes and on    , 2036, with respect to the 2037 notes. If any redemption occurs, holders of the notes will not have the opportunity to continue to accrue and be paid interest to the stated maturity date. Any such redemption may have the effect of reducing the income or return that you would otherwise receive on an investment in the notes by reducing the term of the investment. If this occurs, you might not be able to reinvest the proceeds at an interest rate comparable to the rate paid on the notes. See “Description of the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not be guaranteed by the FDIC or any other governmental agency.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bank deposits and are not insured by the FDIC or any other governmental agency, nor are they obligations of, or guaranteed by, a bank. The notes will be obligations of Capital One Financial Corporation only and will not be guaranteed by any of our subsidiaries, including CONA, our principal banking subsidiary. The notes will be structurally subordinated to all indebtedness and other liabilities of our subsidiaries (including deposits and liabilities to trade creditors), which means that creditors of our subsidiaries generally will be paid from those subsidiaries’ assets before holders of the notes would have any claims to those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notes does not contain any limitations on our ability to incur additional indebtedness, pay dividends or repurchase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any of our subsidiaries are restricted from incurring additional indebtedness or other liabilities, including additional senior indebtedness, under the indenture governing the terms of the notes. If we incur additional indebtedness or liabilities, our ability to pay our obligations on the notes could be adversely affected. We expect that we will from time to time incur additional indebtedness and other liabilities. In addition, we are not restricted under the indenture governing the notes from paying dividends or issuing, repurchasing or redeeming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no financial covenants in the indenture. You are not protected under the indenture in the event of a highly leveraged transaction, reorganization, default under our existing indebtedness, restructuring, merger or similar transaction that may adversely affect you, except to the extent the limitations set forth under “Description of Debt Securities—Covenants” and “Description of Debt Securities—Consolidation, Merger and Sale of Assets” in the accompanying prospectus would apply to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have limited acceleration and enforcement rights.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have limited acceleration and enforcement rights. The senior indenture under which the notes will be issued provides that the only events of default will be insolvency events and payment defaults that continue for 30 days. Any other default under or breach of the senior indenture or the notes will not give rise to an event of default, whether after notice, the passage of time or otherwise. As a consequence, if any such other default or breach occurs, neither the trustee nor the holders of the notes will be entitled to accelerate the maturity of the notes—that is, they will not be entitled to declare the principal of any notes to be immediately due and payable. For example, the bankruptcy, insolvency or reorganization of CONA, our principal operating subsidiary, whether in a voluntary or involuntary proceeding, will not constitute an event of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on events of default and acceleration rights described in the prior paragraph do not apply with regard to the senior debt securities issued by us prior to November 2, 2021 (the “Prior 2021 Notes”) or the senior debt securities we assumed under the Discover acquisition and were issued by Discover prior to November 2, 2023 (the “Prior 2023 Notes” and, together with the Prior 2021 Notes, the “Prior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if certain defaults or breaches occur, holders of such senior debt may be able to accelerate their securities so that such securities become immediately due and payable while the holders of the notes may not be able to do so. In addition, unlike the notes, the Prior Securities do not require a 30-day cure period before a nonpayment of principal becomes an event of default and acceleration rights become exercisable with respect to such nonpayment. If such Prior Securities are accelerated, our obligation to repay the accelerated senior debt securities in full could adversely affect our ability to make timely payments on the notes thereafter. These limitations on the rights and remedies with respect to the notes could adversely affect the market value of the notes, especially during times of financial stress for us or our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could be at greater risk for being structurally subordinated if we sell or convey all or substantially all of our assets to one or more of our majority-owned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may sell, convey or transfer all or substantially all of our assets to one or more entities that are direct or indirect majority-owned subsidiaries of ours in which we or one or more of our subsidiaries owns or controls more than 50% of the voting stock, and under the senior indenture under which the notes will be issued, such subsidiary or subsidiaries will not be required to assume our obligations under the notes, and we will remain the sole obligor on the notes. In such event, creditors of any such subsidiary or subsidiaries would have additional assets from which to recover on their claims while holders of the notes would be structurally subordinated to creditors of such subsidiary or subsidiaries with respect to such transferred assets. See “Description of Debt Securities—Consolidation, Merger and Sale of Assets” in the accompanying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regulation may affect the priority of the notes in the case of a bankruptcy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The Dodd-Frank Wall Street Reform and Consumer Protection Act of 2010 (the “Dodd-Frank Act”) created a resolution regime known as the “orderly liquidation authority.” Under the orderly liquidation authority, the FDIC may be appointed as receiver for an entity, including a bank holding company, for purposes of liquidating the entity if the Secretary of the Treasury, following a process set out in the Dodd-Frank Act, determines that the entity is in default or danger of default and that the entity’s failure and its resolution under otherwise applicable law would have serious adverse effects on the financial stability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the FDIC is appointed as receiver under the orderly liquidation authority, then the Dodd-Frank Act, rather than applicable insolvency laws, would determine the powers of the receiver, and the rights and obligations of creditors and other parties who have dealt with the institution. There are substantial differences in the rights of creditors under the orderly liquidation authority compared to those under the U.S. Bankruptcy Code, including the power of the FDIC to disregard the strict priority of creditor claims in some circumstances, the use of an administrative claims procedure to determine creditors’ claims (as opposed to the judicial procedure utilized in bankruptcy proceedings) and the power of the FDIC to transfer claims to a “bridge” entity. As a consequence of the power of the FDIC under the orderly liquidation authority, the holders of the notes may be fully subordinated to interests held by the U.S. government and others in the event that we enter into a receivership, insolvency, liquidation or similar proceeding. Although the FDIC has issued regulations to implement the orderly liquidation authority, not all aspects of how the FDIC might exercise this authority are known and additional rulemakings are possible. Further, it is uncertain how the FDIC might exercise its discretion under the orderly liquidation authority in a particular case.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either series of notes, which could adversely affect the price of such notes in the secondary market and your ability to resell such notes should you desire to do so.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each series of notes on the NYSE; however, we cannot make any assurance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an active trading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trading market that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holders to sell their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holders would be able to sell their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assurances can be given as to whether either series of notes will be, or will remain, listed on the NYSE. Any trading market that may develop for the notes may be adversely affected by changes in the overall market for investment-grade securities, changes in our financial performance or prospects, a change in our credit rating, the prospects for companies in our industry generally, the interest of securities dealers in making a market for the notes and prevailing interest rates, financial markets and general economic conditions. A market for the notes, if any, may be subject to volatility. Prospective investors in the notes should be aware that they may be required to bear the financial risks of such an investment for an indefinite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receive payments solely in euros subject to limited exceptions. </w:t>
      </w:r>
    </w:p>
    <w:p>
      <w:pPr>
        <w:pStyle w:val="TextBody"/>
        <w:bidi w:val="0"/>
        <w:spacing w:before="120" w:after="0"/>
        <w:jc w:val="left"/>
        <w:rPr>
          <w:rFonts w:ascii="Times New Roman" w:hAnsi="Times New Roman"/>
          <w:sz w:val="20"/>
        </w:rPr>
      </w:pPr>
      <w:r>
        <w:rPr>
          <w:rFonts w:ascii="Times New Roman" w:hAnsi="Times New Roman"/>
          <w:sz w:val="20"/>
        </w:rPr>
        <w:t xml:space="preserve">All payments of interest on and the principal of the notes, any redemption price for the notes and any additional amounts will be made in euros, subject to certain limited exceptions. We, the underwriters, the trustee, the transfer agent and registrar and the paying agent with respect to the notes will not be obligated to convert, or to assist any registered owner or beneficial owner of notes in converting, payments of interest, principal, any redemption price or any additional amount in euros made with respect to the notes into U.S. dollars or any other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be subject to the effects of foreign currency exchange rate fluctuations, as well as possible exchange controls, relating to the euro. </w:t>
      </w:r>
    </w:p>
    <w:p>
      <w:pPr>
        <w:pStyle w:val="TextBody"/>
        <w:bidi w:val="0"/>
        <w:spacing w:before="120" w:after="0"/>
        <w:jc w:val="left"/>
        <w:rPr>
          <w:rFonts w:ascii="Times New Roman" w:hAnsi="Times New Roman"/>
          <w:sz w:val="20"/>
        </w:rPr>
      </w:pPr>
      <w:r>
        <w:rPr>
          <w:rFonts w:ascii="Times New Roman" w:hAnsi="Times New Roman"/>
          <w:sz w:val="20"/>
        </w:rPr>
        <w:t xml:space="preserve">The initial investors in the notes will be required to pay for the notes in euros. Payments of principal and interest, including payments made upon any redemption of the notes, and additional amounts, if any, in respect of the notes are payable by us in euros. Neither we nor the underwriters will be obligated to assist the initial investors in obtaining euros or in converting other currencies into euros to facilitate the payment of the purchase price for the notes.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any security denominated in, and all payments with respect to which are to be made in, a currency other than the currency of the country in which an investor in the notes resides or the currency in which an investor conducts its business or activities (the “investor’s home currency”), entails significant risks not associated with a similar investment in a security denominated in the investor’s home currency. In the case of the notes offered hereby, these risks may include the possibility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rates of exchange between the euro and the investor’s home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or modification of foreign exchange controls with respect to the euro or the investor’s home currency;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for the purchaser as a result of any foreign exchange gains or losses resulting from an investment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one or more member states of the European Monetary Union were to withdraw from the European Monetary Union and cease to use the euro as their currency, the value of the euro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no control over a number of factors affecting the notes offered hereby, the euro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other factors, existing and expected rates of inflation, existing and expected interest rate levels, the balance of payments between countries, and the extent of governmental surpluses or deficits in various countries. All of these factors are, in turn, sensitive to the monetary, fiscal and trade policies pursued by the governments of various countries important to international trade and finance.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rates of exchange for certain currencies, including the euro, have been highly volatile and this volatility may continue. Fluctuations in any particular exchange rate that have occurred in the past are not necessarily indicative of the exchange rates or the fluctuations therein that may occur in the future. Depreciation of the euro against the investor’s home currency could result in a decrease in the investor’s home currency equivalent yield on a note, in the investor’s home currency equivalent of the principal payable at the maturity of that note and generally in the investor’s home currency equivalent market value of that note. Appreciation of the euro in relation to the investor’s home currency would have the opposite effects. That in turn could cause the market value of the notes to fall. Depreciation of the euro against the home currency could result in a loss to the investor on a home currency basis.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or one or more of its member states may, in the future, impose exchange controls and modify any exchange controls imposed, which controls could affect exchange rates, as well as the availability of euros at the time of payment of principal of, interest on, or any redemption payment or additional amounts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foreign exchange risks does not describe all the risks of an investment in securities, including, in particular, the notes, that are denominated or payable in a currency other than an investor’s home currency. You should consult your own financial, tax and legal advisors as to the risks involved in an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On August 28, 2026, the U.S. dollar/euro exchange rate was $1.1598 = 1.00, as published by the Federal Reserve Board. Any information provided in this prospectus supplement concerning exchange rates is provided as a matter of information only, and you should not regard it as indicative of the range of or trends in fluctuations in currency exchange rates that may occur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unavailability of the euro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If, in our good faith judgment, the euro is unavailable to us due to the imposition of exchange controls or other circumstances beyond our control (including the dissolution of the euro) or if the euro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converted into U.S. dollars on the basis described under “Description of the Notes—Issuance in Euros; Payment on the Notes.” If applicable laws or regulations of the member states of the European Union (including official pronouncements applying those laws or regulations) mandate, in our good faith determination, the use of a specific exchange rate for these purposes, we will apply the exchange rate so mandated. Any payment in respect of such notes made under such circumstances in U.S. dollars will not constitute an event of default under the notes or the indenture governing the notes. This exchange rate may be materially less favorable than the rate in effect at the time the notes were issued or as would be determined by applicable law. Such developments, or market perceptions concerning these and related issues, could materially adversely affect the value of the notes and you may lose a significant amount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a lawsuit for payment on the notes, an investor may bear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notes will be, governed by the laws of the State of New York. Under New York law, a New York state court rendering a judgment on the notes would be required to render the judgment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euros. However, the judgment would be converted into U.S. dollars at the exchange rate prevailing on the date of entry of the judgment. Consequently, in a lawsuit for payment on the notes, the affected investors would bear currency exchange risk until a New York state court judgment is entered, which could be a significant amount of time. A federal court sitting in New York with diversity jurisdiction over a dispute arising in connection with the notes would apply New York law. </w:t>
      </w:r>
    </w:p>
    <w:p>
      <w:pPr>
        <w:pStyle w:val="TextBody"/>
        <w:bidi w:val="0"/>
        <w:spacing w:before="240" w:after="0"/>
        <w:jc w:val="left"/>
        <w:rPr>
          <w:rFonts w:ascii="Times New Roman" w:hAnsi="Times New Roman"/>
          <w:sz w:val="20"/>
        </w:rPr>
      </w:pPr>
      <w:r>
        <w:rPr>
          <w:rFonts w:ascii="Times New Roman" w:hAnsi="Times New Roman"/>
          <w:sz w:val="20"/>
        </w:rPr>
        <w:t xml:space="preserve">In courts outside of New York, investors may not be able to obtain a judgment in a currency other than U.S. dollars. For example, a judgment for money in an action based on the notes in many other U.S. federal or state courts ordinarily would be rendered in the United States only in U.S. dollars. The date used to determine the rate of conversion of euros into U.S. dollars would depend upon various factors, including which court renders the judgment and when the judgment is 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at which the notes may be sold prior to maturity will depend on a number of factors and may be substantially less than the amount for which they were originally purchased.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the notes may be sold prior to maturity will depend on a number of factors. Some of these factors include, but are not limited to: (i) actual or anticipated changes in the level of EURIBOR, (ii) volatility of the level of EURIBOR, (iii) changes in interest and yield rates generally, (iv) any actual or anticipated changes in our credit ratings or credit spreads and (v) the time remaining to maturity of such notes. Generally, the longer the time remaining to maturity, the more the market price of the notes will be affected by the other factors described in the preceding sentence. This can lead to significant adverse changes in the market price of securities like the notes. Depending on the actual or anticipated level of EURIBOR, the market value of the notes may decrease and you may receive substantially less than 100% of the issue price if you are able to sell your notes prior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Trading in the clearing systems is subject to minimum denomination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provide that notes will be issued with a minimum denomination of 100,000 and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global notes are held by or on behalf of Euroclear and Clearstream and, therefore, holders of the notes will have to rely on their procedures for transfer, payment and communication with us.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represented by one or more global notes, which will be held with a common depositary for Euroclear and Clearstream. Except in certain limited circumstances, holders of the notes will not be entitled to receive certificated notes in exchange for interests in the global notes. While the notes are represented by the global notes, holders of the notes will be able to trade their beneficial interests only through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We will discharge our payment obligations under the notes by making payments to or to the order of the common depositary for Euroclear and Clearstream for distribution to their accountholders. A holder of a beneficial interest in a global note must rely on the procedures of Euroclear and Clearstream to receive payments under the notes. We have no responsibility or liability for the records relating to, or payments made in respect of, beneficial interests in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beneficial interests in the global notes will not have a direct right to vote in respect of the notes. Instead, such holders will be permitted to act directly only to the extent that they are enabled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procedures of Euroclear and Clearstream to appoint appropriate proxies. There can be no assurance that procedures implemented for the granting of such proxies will be sufficient to enable you to vote on any request actions on a timely basis.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during the Floating Rate Period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amount of interest payable on the notes during the Floating Rate Period is set only once at the beginning of each Floating Rate Interest Payment Period based on the three-month EURIBOR rate in effect on the applicable Floating Rate Interest Determination Date (as defined below), a benchmark which may fluctuate substantially over time. </w:t>
      </w:r>
    </w:p>
    <w:p>
      <w:pPr>
        <w:pStyle w:val="TextBody"/>
        <w:bidi w:val="0"/>
        <w:spacing w:before="120" w:after="0"/>
        <w:jc w:val="left"/>
        <w:rPr>
          <w:rFonts w:ascii="Times New Roman" w:hAnsi="Times New Roman"/>
          <w:sz w:val="20"/>
        </w:rPr>
      </w:pPr>
      <w:r>
        <w:rPr>
          <w:rFonts w:ascii="Times New Roman" w:hAnsi="Times New Roman"/>
          <w:sz w:val="20"/>
        </w:rPr>
        <w:t xml:space="preserve">In the past, the level of the three-month EURIBOR rate has experienced significant fluctuations. Any historical upward or downward trend in the three-month EURIBOR rate is not an indication that such rate is more or less likely to increase or decrease at any time, and historical levels of the three-month EURIBOR rate should not be taken as an indication of its future performance. In addition, although the actual three-month EURIBOR rate on a Floating Rate Interest Payment Date or at other times during the applicable Floating Rate Interest Payment Period may be higher than the three-month EURIBOR rate on the applicable Floating Rate Interest Determination Date, holders of the notes will not benefit from the three-month EURIBOR rate at any time other than on the applicable Floating Rate Interest Determination Date for such Floating Rate Interest Payment Period. As a result, changes in the three-month EURIBOR rate may not result in a comparable change in the market value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reform and the actual or potential discontinuation of EURIBOR or the occurrence of another EURIBOR Benchmark Event (as defined below) may adversely affect the return on, value of and market for the notes during the Floating Rate Period. </w:t>
      </w:r>
    </w:p>
    <w:p>
      <w:pPr>
        <w:pStyle w:val="TextBody"/>
        <w:bidi w:val="0"/>
        <w:spacing w:before="120" w:after="0"/>
        <w:jc w:val="left"/>
        <w:rPr>
          <w:rFonts w:ascii="Times New Roman" w:hAnsi="Times New Roman"/>
          <w:sz w:val="20"/>
        </w:rPr>
      </w:pPr>
      <w:r>
        <w:rPr>
          <w:rFonts w:ascii="Times New Roman" w:hAnsi="Times New Roman"/>
          <w:sz w:val="20"/>
        </w:rPr>
        <w:t xml:space="preserve">Certain interest rates that are deemed to be “benchmark” rates have previously been the subject of national, international and other regulatory guidance, reform and other actions. This has resulted in regulatory reform and changes to existing benchmarks. Such reform of benchmarks includes Regulation (EU) 2016/1011 (as amended, the “Benchmarks Regulation”) which applies, subject to certain transitional provisions, to benchmark-related provisions, the contribution of input data to a benchmark and the use of a benchmark within the European Union. Among other things, it (i) requires benchmark administrators to be authorized or registered (or, if non-European Union-based, to be subject to an equivalent regime or otherwise recognized or endorsed) and (ii) prevents certain uses by European Union supervised entities (as defined in Article 3(1)(17) of the Benchmarks Regulation) of benchmarks of administrators that are not authorized or registered (or, if non-European Union-based, not deemed equivalent or recognized or endorsed). Although the Benchmarks Regulation was subject to legislative reform effective as of January 1, 2026 primarily to remove non-significant benchmarks from the scope of the Benchmarks Regulation, EURIBOR remains designated as a “critical” benchmark by the European Commission and subject to the requirements of the Benchmarks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Benchmarks Regulation as it forms part of UK domestic law by virtue of the EUWA and as amended by the Benchmarks (Amendment and Transitional Provision) (EU Exit) Regulations 2019 has applied in the United Kingdom since the end of the Brexit transition period on December 31, 2020 (the “UK Benchmarks Regulation”). The UK Benchmarks Regulation, among other things, applies to the provision of benchmarks and the use of benchmarks in the United Kingdom. Similarly, it prohibits the use in the United Kingdom by UK supervised entities of benchmarks of administrators that are not authorized by the UK Financial Conduct Authority (“FCA”) or registered on the FCA register (or, if non-UK based, not deemed equivalent or recognized or endorsed). The UK Benchmarks Regulation is also the subject of proposed reform. On December 17, 2025, HM Treasury published a consultation on reforms to the UK benchmarks regime which would, if passed into law, see the UK Benchmarks Regulation repealed and replaced with a UK Specified Authorized Benchmarks Regime. Under the proposals, UK authorized firms that use benchmarks would no longer be required to use only regulated benchmarks, and benchmark administrators and their benchmarks (including EU and other third-country benchmarks) would only be regulated to the extent they pose systemic risks to UK financial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Benchmarks Regulation and/or the UK Benchmarks Regulation (or any replacement regulation), as applicable, could have a material impact on the notes during the Floating Rate Period, in particular, if the methodology or other terms of EURIBOR are changed during the term of such notes in order to comply with the requirements of the Benchmarks Regulation or supervised entities in the European Union and/or the United Kingdom are, pursuant to the provisions of the Benchmarks Regulation or, as applicable, the UK Benchmarks Regulation, prohibited from acquiring, holding or trading the notes during the Floating Rate Period. Such changes or prohibitions could, among other things, have the effect of reducing, increasing or otherwise affecting the volatility of the published rate or level of EURIBOR and materially and negatively reducing liquidity in, and the secondary market price of, the notes during the Floating Rate Period. Any changes announced by regulators or any other governance or oversight body, or future changes adopted by such parties, in the method pursuant to which EURIBOR or other benchmarks are determined may result in a sudden or prolonged increase or decrease in the reported EURIBOR or other applicable rate and also have the effect of discouraging market participants from continuing to administer or contribute to such benchmarks or lead to the discontinuance or unavailability of their quotes. If that were to occur, the level of interest payments and the value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European Money Markets Institute, as the registered benchmark administrator of EURIBOR, shifted in 2019 from a quote-based methodology of calculating EURIBOR to a hybrid methodology that is based upon contributions of individual panel banks that submit transaction-based data. In its publication of February 15, 2021, the euro risk-free rate working group recommended that, in respect of any events resulting in a cessation of EURIBOR or if EURIBOR for whatever reasons would no longer be representative of the underlying market it purports to measure, EURIBOR be replaced with the Euro Short-term Rate (referred to as “STR”), which is a risk-free rate that has been published by the European Central Bank since October 2, 2019. Such recommendations were repeated by the euro risk-free rate working group in its recommendations published on May 11, 2021. STR has a different methodology and other important differences from EURIBOR and has little historical track record and may be subject to changes in its methodology. </w:t>
      </w:r>
    </w:p>
    <w:p>
      <w:pPr>
        <w:pStyle w:val="TextBody"/>
        <w:bidi w:val="0"/>
        <w:spacing w:before="240" w:after="0"/>
        <w:jc w:val="left"/>
        <w:rPr>
          <w:rFonts w:ascii="Times New Roman" w:hAnsi="Times New Roman"/>
          <w:sz w:val="20"/>
        </w:rPr>
      </w:pPr>
      <w:r>
        <w:rPr>
          <w:rFonts w:ascii="Times New Roman" w:hAnsi="Times New Roman"/>
          <w:sz w:val="20"/>
        </w:rPr>
        <w:t xml:space="preserve">It is not possible to predict with certainty whether, and to what extent, EURIBOR will continue to be supported going forward. This may cause EURIBOR to perform differently than in the past, and may have other consequences which cannot be predicted. Such factors may (a) discourage market participants from continuing to administer or contribute to a benchmark, (b) trigger changes in the rules or methodologies used in the benchmark, (c) lead to the disappearance of the benchmark and/or (d) have other effects on certain benchmarks. Any of such changes or any other consequential changes as a result of international or national reforms or other initiatives or investigations might have a material adverse effect on the market price of and return on any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during the Floating Rate Period, if we or our designee determines that the rate cannot be determined with respect to any Floating Rate Interest Payment Period (as defined below) as described in the first paragraph under “Description of the Notes—Floating Rate Period Interest Rates—Information about EURIBOR,” the rate of interest on such notes will be determined by the fallback provisions described under that paragraph (collectively, the “benchmark discontinuation provisions”). See “—Discontinuance of EURIBOR or the occurrence of another EURIBOR Benchmark Event might adversely affect the value of investments in the notes during the Floating Rate Period.” This may, among other things, (a) result in interest rates and/or payments that are higher than, lower than or that do not otherwise correlate over time with the interest rates and/or payments that would have been made on the notes during the Floating Rate Period if EURIBOR was available in its current form and/or (b) result in the application of backward-looking STR compounded in arrears, whereas EURIBOR is expressed on the basis of a forward-looking term and includes a risk element based on interbank lending.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EURIBOR is discontinued or ceases to be published or another EURIBOR Benchmark Event (as defined in “Description of the Notes—Floating Rate Period Interest Rates—Information about EURIBOR”) has occurred, there can be no assurances that we and other market participants will be adequately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prepared for such discontinuance or cessation or the occurrence of another EURIBOR Benchmark Event, which may have an unpredictable impact on contractual mechanics (including the interest rate of the notes during the Floating Rate Period), among other adverse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Discontinuance of EURIBOR or the occurrence of another EURIBOR Benchmark Event might adversely affect the value of investments in the notes during the Floating Rate Period.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EURIBOR is discontinued or no longer published or that another EURIBOR Benchmark Event has occurred or we determine that EURIBOR cannot be determined as described in the benchmark discontinuation provisions, the rate of interest on the notes during the Floating Rate Period will be determined by the fallback provisions described herein and we or our designee will make certain determinations with respect to the notes in our or our designee’s sole discretion as further described under “Description of the Notes—Floating Rate Period Interest Rates—Information about EURIBOR.” Any of these determinations may adversely affect the payout to investors. Moreover, certain determinations made by us or our designee may require the exercise of discretion and the making of subjective judgments, such as with respect to the base rate or the occurrence or non-occurrence of a EURIBOR Benchmark Event. These potentially subjective determinations may adversely affect the payout to you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consent or approval of the holders of the notes is not required under the benchmark discontinuation provisions to amend or vary the method or basis of calculating the rate or rates or amount of interest or the basis for calculating any interest amount in respect of the notes during the Floating Rate Period or for any other variation of the terms of the notes or the indenture under which the notes have been issued that were required to be made in the circumstances described in the benchmark discontinuation provisions. Any such amendment or variance made pursuant to the benchmark discontinuation provisions could have unexpected commercial consequences and there can be no assurance that, due to the particular circumstances of each holder, any such amendment or variance will be favorable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due to the uncertainty concerning the availability of successor rates and alternative reference rates and our involvement with the benchmark discontinuation provisions, the relevant benchmark discontinuation provisions may not operate as intended at the relevant time. The benchmark discontinuation provisions may result in EURIBOR being replaced with a backward-looking STR rate in accordance with the recommendations of the euro risk-free rate working group. More generally, however, any of the above matters or any other significant change to the setting or existence of EURIBOR could have a material adverse effect on the value or liquidity of, and the amount payable under, the notes during the Floating Rate Period. No assurance may be provided that relevant changes will not be made to EURIBOR or that such benchmarks will continue to exist. Investors should consider these matters and make their own assessment about the potential risks imposed by benchmark reforms and investigations when making their investment decision with respect to the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If no successor or alternative reference rate is identified or selected in accordance with the benchmark discontinuation provisions, then the rate of interest on the notes during the Floating Rate Period will be determined by fallback provisions that are dependent in part upon the provision by major banks in the interbank markets of offered rates for deposits in euro and the availability of such rates information at the relevant time and may in certain circumstances result, to the extent that other fallback provisions are not applicable, in the effective application of a fixed rate based on the rate that applied in the previous period when EURIBOR was available, in effect resulting in the notes during the Floating Rate Period becoming fixed rate notes.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alternative methods may result in interest payments that are lower than or that do not otherwise correlate over time with the payments that would have been made on the notes during the Floating Rate Period if EURIBOR were available in its current form. Additionally, if EURIBOR or any other relevant benchmark rate is discontinued or no longer published, there can be no assurance that the applicable fallback provisions under any related swap agreements would operate so as to ensure that the benchmark rate used to determine payments under any related swap agreements is the same as that used to determine interest payments under the notes during the Floating Rate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28156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after deducting the underwriting discounts and commissions and offering expenses payable by us, will be approximately     . We intend to use the net proceeds from the sale of the notes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28156_8"/>
      <w:bookmarkEnd w:id="10"/>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the particular terms of the notes offered pursuant to this prospectus supplement. This description supplements and, to the extent inconsistent, modifies the description of the general terms and provisions of senior debt securities set forth in the accompanying prospectus under “Description of Debt Securities.” To the extent the description in this prospectus supplement is inconsistent with the description contained in the accompanying prospectus, you should rely on the description in this prospectus supplement. The following description is qualified in its entirety by reference to the provisions of the senior indenture dated as of November 1, 1996, as amended or supplemented from time to time, between us and The Bank of New York Mellon Trust Company, N.A., formerly known as The Bank of New York Trust Company, N.A. (as successor to Harris Trust and Savings Bank), as indenture trustee, which we refer to as the senior indenture. A copy of the senior indenture is included as an exhibit to the registration statement of which this prospectus supplement and the accompanying prospectus are a part. Capitalized terms not defined in this section have the meanings assigned to such terms in the accompanying prospectus or in the senior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2032 notes and the 2037 notes offered hereby constitute separate series of senior debt securities described in the accompanying prospectus to be issued under the senior indenture. The notes will be our direct, unsecured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are initially offered in the principal amount of      and the 2037 notes are initially offered in the principal amount of     . We may, without the consent of existing holders, increase the principal amount of either series of notes by issuing more notes in the future, on the same terms and conditions (other than any differences in the issue date, the price to the public and the first interest payment date) and with the same CUSIP, ISIN and/or any other identifying number (if appropriate), as the notes being offered by this prospectus supplement. We do not plan to inform existing holders if we reopen a series of notes to issue and sell additional notes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“business day” means any day that is not a Saturday or Sunday (i) that is not a day on which banking institutions in New York, New York, Chicago, Illinois, McLean, Virginia or London, England are authorized or obligated by law or executive order to close and (ii) on which the Trans-European Automated Real-time Gross Settlement Express Transfer system, or the T2 system, or any successor thereto, operates.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each series of notes on the NYSE. The listing application will be subject to approval by the NYSE. If such a listing is obtained, we have no obligation to maintain such listing, and we may delist either series of notes at any time. We currently expect trading in the notes on the NYSE to begin within 30 days after the original issue date. Currently there is no public market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2032 Notes </w:t>
      </w:r>
    </w:p>
    <w:p>
      <w:pPr>
        <w:pStyle w:val="TextBody"/>
        <w:bidi w:val="0"/>
        <w:spacing w:before="120" w:after="0"/>
        <w:jc w:val="left"/>
        <w:rPr>
          <w:rFonts w:ascii="Times New Roman" w:hAnsi="Times New Roman"/>
          <w:sz w:val="20"/>
        </w:rPr>
      </w:pPr>
      <w:r>
        <w:rPr>
          <w:rFonts w:ascii="Times New Roman" w:hAnsi="Times New Roman"/>
          <w:sz w:val="20"/>
        </w:rPr>
        <w:t xml:space="preserve">The 2032 notes will mature on     , 2032. During the 2032 Notes Fixed Rate Period, the 2032 notes will bear interest from and including the original issue date to but excluding the 2032 Notes Interest Reset Date at the annual rate of     %. We will pay interest on the 2032 notes with respect to the 2032 Notes Fixed Rate Period annually in arrears on      of each year. With respect to the 2032 Notes Fixed Rate Period, we will make the first interest payment on     , 2027 and the final fixed rate interest payment on     , 2031. During the 2032 Notes Floating Rate Period, starting from and including the 2032 Notes Interest Reset Date to but excluding the 2032 Notes Maturity Date, the 2032 notes will bear interest at a rate per annum equal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three-month EURIBOR plus    %. We will pay interest during the 2032 Notes Floating Rate Period quarterly in arrears on each     ,     ,      and     . With respect to the 2032 Notes Floating Rate Period, we will make the first floating rate interest payment on     , 2031 and the final floating rate interest payment on the 2032 Notes Maturity Date.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to the person in whose name the note is registered at the close of business on the fifteenth calendar day (whether or not a business day) immediately preceding the related 2032 Notes Fixed Rate Interest Payment Date or 2032 Notes Floating Rate Interest Payment Date, as applicable, except that we will pay interest on the 2032 Notes Maturity Date or, if the 2032 notes are redeemed, the redemption date to the person or persons to whom principal is payable. During the 2032 Notes Fixed Rate Period, interest on the 2032 notes will be paid on the basis of (i) the actual number of days in the period for which interest is being calculated and (ii) the actual number of days from, and including, the last date on which interest was paid on the 2032 notes (or     , 2026 if no interest has been paid on the notes), to, but excluding, the next scheduled 2032 Notes Fixed Rate Interest Payment Date, as the case may be. This payment convention is referred to as ACTUAL/ACTUAL (ICMA) as defined in the rulebook of the International Capital Markets Association. Interest on the 2032 notes will be paid on the basis of a 360-day year and the actual number of days elapsed during the 2032 Notes Floating Rate Period. The interest on the 2032 notes during the 2032 Notes Floating Rate Period will be computed in the manner described below under “Floating Rate Period Interest Rates.” With respect to the 2032 Notes Fixed Rate Period, if any scheduled 2032 Notes Fixed Rate Interest Payment Date (including, for the avoidance of doubt, the last interest payment date with respect to the 2032 Notes Fixed Rate Period) falls on a day that is not a business day, the payment of the interest payable on that date will be made on the next day that is a business day, without any interest or other payment in respect of the delay, with the same force and effect as if made on the scheduled interest payment date. For the 2032 Notes Floating Rate Period, if any scheduled 2032 Notes Floating Rate Interest Payment Date falls on a day that is not a business day, it will be postponed to the following business day, unless that business day would fall in the next calendar month, in which case the 2032 Notes Floating Rate Interest Payment Date will be the immediately preceding business day, and interest will accrue to but excluding such payment date. If the scheduled 2032 Notes Maturity Date or redemption date falls on a day that is not a business day, the payment of principal and interest will be made on the next succeeding business day, but interest on that payment will not accrue during the period from and after the scheduled 2032 Notes Maturity Date or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will not have the benefit of a sinking fund—that is, we will not deposit money on a regular basis into any separate custodial account to repay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2037 Notes </w:t>
      </w:r>
    </w:p>
    <w:p>
      <w:pPr>
        <w:pStyle w:val="TextBody"/>
        <w:bidi w:val="0"/>
        <w:spacing w:before="120" w:after="0"/>
        <w:jc w:val="left"/>
        <w:rPr>
          <w:rFonts w:ascii="Times New Roman" w:hAnsi="Times New Roman"/>
          <w:sz w:val="20"/>
        </w:rPr>
      </w:pPr>
      <w:r>
        <w:rPr>
          <w:rFonts w:ascii="Times New Roman" w:hAnsi="Times New Roman"/>
          <w:sz w:val="20"/>
        </w:rPr>
        <w:t xml:space="preserve">The 2037 notes will mature on     , 2037. During the 2037 Notes Fixed Rate Period, the 2037 notes will bear interest from and including the original issue date to but excluding the 2037 Notes Interest Reset Date at the annual rate of     %. We will pay interest on the 2037 notes with respect to the 2037 Notes Fixed Rate Period annually in arrears on      of each year. With respect to the 2037 Notes Fixed Rate Period, we will make the first interest payment on     , 2027 and the final fixed rate interest payment on     , 2036. During the 2037 Notes Floating Rate Period, starting from and including the 2037 Notes Interest Reset Date to but excluding the 2037 Notes Maturity Date, the 2037 notes will bear interest at a rate per annum equal to three-month EURIBOR plus    %. We will pay interest during the 2037 Notes Floating Rate Period quarterly in arrears on each     ,     ,      and     . With respect to the 2037 Notes Floating Rate Period, we will make the first floating rate interest payment on     , 2036 and the final floating rate interest payment on the 2037 Notes Maturity Date.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to the person in whose name the note is registered at the close of business on the fifteenth calendar day (whether or not a business day) immediately preceding the related 2037 Notes Fixed Rate Interest Payment Date or 2037 Notes Floating Rate Interest Payment Date, as applicable, except that we will pay interest on the 2037 Notes Maturity Date or, if the 2037 notes are redeemed, the redemption date to the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to whom principal is payable. During the 2037 Notes Fixed Rate Period, interest on the 2037 notes will be paid on the basis of (i) the actual number of days in the period for which interest is being calculated and (ii) the actual number of days from, and including, the last date on which interest was paid on the 2037 notes (or     , 2026 if no interest has been paid on the notes), to, but excluding, the next scheduled 2037 Notes Fixed Rate Interest Payment Date, as the case may be. This payment convention is referred to as ACTUAL/ACTUAL (ICMA) as defined in the rulebook of the International Capital Markets Association. Interest on the 2037 notes will be paid on the basis of a 360-day year and the actual number of days elapsed during the 2037 Notes Floating Rate Period. The interest on the 2037 notes during the 2037 Notes Floating Rate Period will be computed in the manner described below under “Floating Rate Period Interest Rates.” With respect to the 2037 Notes Fixed Rate Period, if any scheduled 2037 Notes Fixed Rate Interest Payment Date (including, for the avoidance of doubt, the last interest payment date with respect to the 2037 Notes Fixed Rate Period) falls on a day that is not a business day, the payment of the interest payable on that date will be made on the next day that is a business day, without any interest or other payment in respect of the delay, with the same force and effect as if made on the scheduled interest payment date. For the 2037 Notes Floating Rate Period, if any scheduled 2037 Notes Floating Rate Interest Payment Date falls on a day that is not a business day, it will be postponed to the following business day, unless that business day would fall in the next calendar month, in which case the 2037 Notes Floating Rate Interest Payment Date will be the immediately preceding business day, and interest will accrue to but excluding such payment date. If the scheduled 2037 Notes Maturity Date or redemption date falls on a day that is not a business day, the payment of principal and interest will be made on the next succeeding business day, but interest on that payment will not accrue during the period from and after the scheduled 2037 Notes Maturity Date or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2037 notes will not have the benefit of a sinking fund—that is, we will not deposit money on a regular basis into any separate custodial account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Floating Rate Period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On each Floating Rate Interest Determination Date (as defined below), the calculation agent will determine the interest rate for the notes for the applicable Floating Rate Interest Payment Period by reference to three-month EURIBOR on the applicable Floating Rate Interest Determination Date; </w:t>
      </w:r>
      <w:r>
        <w:rPr>
          <w:rFonts w:ascii="Times New Roman" w:hAnsi="Times New Roman"/>
          <w:i/>
          <w:sz w:val="20"/>
        </w:rPr>
        <w:t>provided</w:t>
      </w:r>
      <w:r>
        <w:rPr>
          <w:rFonts w:ascii="Times New Roman" w:hAnsi="Times New Roman"/>
          <w:sz w:val="20"/>
        </w:rPr>
        <w:t xml:space="preserve"> that if we or our designee determines that three-month EURIBOR cannot be determined with respect to the applicable Floating Rate Interest Payment Period, the rate of interest on the notes will be determined by the fallback provisions described under “—Information about EURIBOR” below. </w:t>
      </w:r>
    </w:p>
    <w:p>
      <w:pPr>
        <w:pStyle w:val="TextBody"/>
        <w:bidi w:val="0"/>
        <w:spacing w:before="240" w:after="0"/>
        <w:jc w:val="left"/>
        <w:rPr>
          <w:rFonts w:ascii="Times New Roman" w:hAnsi="Times New Roman"/>
          <w:sz w:val="20"/>
        </w:rPr>
      </w:pPr>
      <w:r>
        <w:rPr>
          <w:rFonts w:ascii="Times New Roman" w:hAnsi="Times New Roman"/>
          <w:sz w:val="20"/>
        </w:rPr>
        <w:t xml:space="preserve">On each Floating Rate Interest Determination Date relating to the applicable Floating Rate Interest Payment Date, the calculation agent will calculate the amount of accrued interest payable on the notes by multiplying (i) the outstanding principal amount of the notes by (ii) the product of (a) the interest rate for the relevant Floating Rate Interest Payment Period multiplied by (b) the quotient of the actual number of calendar days in such Floating Rate Interest Payment Period divided by 360. In no event will the interest on the notes be less than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pPr>
      <w:r>
        <w:rPr/>
        <w:t>“</w:t>
      </w:r>
      <w:r>
        <w:rPr>
          <w:rFonts w:ascii="Times New Roman" w:hAnsi="Times New Roman"/>
          <w:sz w:val="20"/>
        </w:rPr>
        <w:t xml:space="preserve">EURIBOR Benchmark Event”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EURIBOR has ceased to be published on the Designated Screen Page (as defined below) as a result of it ceasing to be calculated or administered;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administrator of EURIBOR that it will cease publishing EURIBOR permanently or indefinitely (in circumstances where no successor administrator has been appointed that will continue publication of EURIBOR);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EURIBOR has been or will be permanently or indefinitely discontinued;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means that EURIBOR will be prohibited from being used or that its use will be subject to restrictions or adverse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in the view of such supervisor, EURIBOR is no longer representative of an underlying market;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or will become unlawful for the calculation agent or us to calculate any payments due to be made to any holder using EURIBOR (including, without limitation, under the Benchmarks Regulation (EU) 2016/1011, if applicable); </w:t>
            </w:r>
          </w:p>
        </w:tc>
      </w:tr>
    </w:tbl>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the EURIBOR Benchmark Event shall be deemed to occur only (i) in the case of paragraphs (b) and (c) above, on the date of the cessation of EURIBOR or the discontinuation of EURIBOR, as the case may be, (ii) in the case of paragraph (d) above, on the date of prohibition of use of EURIBOR and (iii) in the case of paragraph (e) above, on the date with effect from which EURIBOR will no longer be (or will be deemed by the relevant supervisor to no longer be) representative of its underlying market and specified in the public statement, and, in each case, not the date of the public statement. </w:t>
      </w:r>
    </w:p>
    <w:p>
      <w:pPr>
        <w:pStyle w:val="TextBody"/>
        <w:bidi w:val="0"/>
        <w:spacing w:before="240" w:after="0"/>
        <w:jc w:val="left"/>
        <w:rPr/>
      </w:pPr>
      <w:r>
        <w:rPr/>
        <w:t>“</w:t>
      </w:r>
      <w:r>
        <w:rPr>
          <w:rFonts w:ascii="Times New Roman" w:hAnsi="Times New Roman"/>
          <w:sz w:val="20"/>
        </w:rPr>
        <w:t xml:space="preserve">Euro-zone” means the region comprising the member states of the European Union that have adopted the single currency in accordance with the relevant treaty of the European Union, as amended. </w:t>
      </w:r>
    </w:p>
    <w:p>
      <w:pPr>
        <w:pStyle w:val="TextBody"/>
        <w:bidi w:val="0"/>
        <w:spacing w:before="240" w:after="0"/>
        <w:jc w:val="left"/>
        <w:rPr/>
      </w:pPr>
      <w:r>
        <w:rPr/>
        <w:t>“</w:t>
      </w:r>
      <w:r>
        <w:rPr>
          <w:rFonts w:ascii="Times New Roman" w:hAnsi="Times New Roman"/>
          <w:sz w:val="20"/>
        </w:rPr>
        <w:t xml:space="preserve">Floating Rate Interest Determination Date” means the second T2 Business Day prior to the first day of each applicable Floating Rate Interest Payment Period. </w:t>
      </w:r>
    </w:p>
    <w:p>
      <w:pPr>
        <w:pStyle w:val="TextBody"/>
        <w:bidi w:val="0"/>
        <w:spacing w:before="240" w:after="0"/>
        <w:jc w:val="left"/>
        <w:rPr/>
      </w:pPr>
      <w:r>
        <w:rPr/>
        <w:t>“</w:t>
      </w:r>
      <w:r>
        <w:rPr>
          <w:rFonts w:ascii="Times New Roman" w:hAnsi="Times New Roman"/>
          <w:sz w:val="20"/>
        </w:rPr>
        <w:t xml:space="preserve">Interest Calculation Date” means the first day of each applicable Floating Rate Interest Payment Period; provided that, if any Interest Calculation Date is not a business day, then the Interest Calculation Date will be postponed to the next succeeding business day, unless that business day is in the next succeeding calendar month, in which case the Interest Calculation Date will be the immediately preceding business day. </w:t>
      </w:r>
    </w:p>
    <w:p>
      <w:pPr>
        <w:pStyle w:val="TextBody"/>
        <w:bidi w:val="0"/>
        <w:spacing w:before="240" w:after="0"/>
        <w:jc w:val="left"/>
        <w:rPr/>
      </w:pPr>
      <w:r>
        <w:rPr/>
        <w:t>“</w:t>
      </w:r>
      <w:r>
        <w:rPr>
          <w:rFonts w:ascii="Times New Roman" w:hAnsi="Times New Roman"/>
          <w:sz w:val="20"/>
        </w:rPr>
        <w:t xml:space="preserve">T2 Business Day” means a day on which the T2 system is open for the settlement of payment in euro. The “T2 system” is the Trans-European Automated Real-Time Gross Settlement Express Transfer payment system, which utilizes a single shared platform and was launched on March 20,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about EURIBOR </w:t>
      </w:r>
    </w:p>
    <w:p>
      <w:pPr>
        <w:pStyle w:val="TextBody"/>
        <w:bidi w:val="0"/>
        <w:spacing w:before="120" w:after="0"/>
        <w:jc w:val="left"/>
        <w:rPr>
          <w:rFonts w:ascii="Times New Roman" w:hAnsi="Times New Roman"/>
          <w:sz w:val="20"/>
        </w:rPr>
      </w:pPr>
      <w:r>
        <w:rPr>
          <w:rFonts w:ascii="Times New Roman" w:hAnsi="Times New Roman"/>
          <w:sz w:val="20"/>
        </w:rPr>
        <w:t xml:space="preserve">EURIBOR is a daily reference rate based on the rate at which banks lend euro to each other in the euro interbank market. “Three-month EURIBOR” with respect to any Floating Rate Interest Payment Period means, for the relevant Floating Rate Interest Determination Date, the rate for deposits in euros as administered, calculated and published by the European Money Markets Institute, for an index maturity of three months as that rate appears on the display on the Bloomberg screen page, or any successor service, on the BTMM EU 3M rate page or any other page as may replace the BTMM EU 3M rate page on that service (the “Designated Screen Page”) as of 11:00 a.m., Brussels time, on such Floating Rate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will be followed if the rate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above rate does not appear, we or our designee will request the principal Euro-zone office of each of four major banks in the Euro-zone interbank market, as selected by us or our designee, after consultation with us, to provide to us or our designee its offered rate for deposits in euros, at approximately 11:00 a.m., Brussels time, on the Floating Rate Interest Determination Date, to prime banks in the Euro-zone interbank market having a maturity of three months commencing on the applicable Interest Calculation Date, and in a principal amount not less than the equivalent of U.S.$1 million in euros that is representative of a single transaction in euro in that market at that time. If at least two quotations are provided, EURIBOR will be the arithmetic mean of those quotations. We or our designee will provide such rates to the Calculation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two quotations are provided, EURIBOR will be the arithmetic mean of the rates quoted to us or to our designee by four major banks in the Euro-zone interbank market, as selected by us or our designee, after consultation with us, at approximately 11:00 a.m., Brussels time, on the applicable Floating Rate Interest Determination Date for loans in euros to leading European banks having a maturity of three months commencing on that Interest Calculation Date in a principal amount not less than the equivalent of U.S.$1 million in euros that is representative of a single transaction in euro in that market at that time. We or our designee will provide such rates to the Calculation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banks so selected by us or our designee are not quoting as set forth above, we shall notify the Calculation Agent that EURIBOR for that Floating Rate Interest Determination Date will remain EURIBOR for the immediately preceding Floating Rate Interest Payment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we, in our sole discretion, or our designee, after consultation with us, determine that a EURIBOR Benchmark Event has occurred, the calculation agent will use, as a substitute for EURIBOR and for each future Floating Rate Interest Determination Date, the alternative reference rate selected by the central bank, reserve bank, monetary authority or any similar institution (including any committee or working group thereof) consistent with accepted market practice, as notified to the Calculation Agent by us (the “Alternative Rate”). As part of such substitution, we or our designee will make such adjustments to the Alternative Rate or the spread thereon, as well as the business day convention, Floating Rate Interest Determination Dates, the method for determining the fallback interest rate and related provisions and definitions, in each case that are consistent with accepted market practice for the use of such Alternative Rate for debt securities such as the notes. If, however, we, in our sole discretion, or our designee, after consultation with us, determine that no such Alternative Rate exists on the relevant date, we or our designee shall make a determination of an alternative rate as a substitute for EURIBOR for debt securities such as the notes, as well as the spread thereon, the business day convention, the method for determining the fallback interest rate and the Floating Rate Interest Determination Dates, that is consistent with accepted market practice.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the Calculation Agent shall be under any obligation (i) to monitor, determine or verify the unavailability or cessation of EURIBOR or any other benchmark, or whether or when there has occurred, or to give notice to any other transaction party of the occurrence of, any benchmark transition event or related benchmark replacement date, (ii) to select, determine or designate any benchmark replacement, or other successor or replacement base rate or benchmark index, or whether any conditions to the designation of such a rate or index have been satisfied, or (iii) to select, determine or designate any benchmark replacement adjustment, or other modifier to any replacement or successor base rate, or (iv) to determine whether or what benchmark replacement conforming changes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base rate or benchmark. In connection with the foregoing, each of the Trustee and Calculation Agent shall be entitled to conclusively rely on any determinations made by us or our designee without independent investigation, and neither will have any liability for actions taken at our direction in connection therewith. Neither the Trustee nor the Calculation Agent shall be liable for any inability, failure or delay on its part to perform any of its duties set forth herein or in the transaction documents as a result of the unavailability of EURIBOR or any other applicable benchmark, including as a result of any failure, inability, delay, error or inaccuracy on the part of any other transaction party in providing any direction, instruction, notice or information required or contemplated by the terms hereof and reasonably required for the performance of such duties. Neither the Trustee nor the Calculation Agent shall be responsible or liable for our actions or omissions or for those of our designee, or for any failure or delay in the performance by us or our designee, nor shall the Trustee or the Calculation Agent be under any obligation to oversee or monitor our performance or that of our designee. Neither the Calculation Agent nor the Trustee shall act as our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We will, subject to the exceptions and limitations set forth below, pay to or on account of a beneficial owner of a note who is a non-U.S. holder (as defined below) such additional amounts as are necessary to ensure that the net payment by us of the principal of and interest on such note, after deduction or withholding for any present or future tax, assessment or other governmental charge imposed by or on behalf of the United States (or any political subdivision or taxing authority of the United States) on such payment, will not be less than the amount that would have been payable had no such deduction or withholding been required. However, we will not pay additional amounts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tax, assessment or other governmental charge which would not have been so imposed but for (i) the existence of any present or former connection between the holder or beneficial owner of a note (or between a fiduciary, settlor, person holding power over an estate or trust administered by a fiduciary holder, beneficiary, member, partner or shareholder of such person, if such person is an estate, a trust, a limited liability company, a partnership or a corporation) and the United States, including, without limitation, such person (or such fiduciary, settlor, person holding power over an estate or trust administered by a fiduciary holder, beneficiary, member, partner or shareholder) being or having been a citizen or resident thereof or being or having been engaged in a trade or business or present therein or having, or having had, a permanent establishment therein or any other connection or relationship with the United States (other than a connection arising solely as a result of the ownership of the notes or the exercise or enforcement of rights under the notes); or (ii) the presentation of any such note for payment on a date more than 15 calendar days after the date on which such payment became due and payable or the date on which payment thereof is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sales, excise, transfer, wealth, capital gains or personal property tax or any similar tax, assessment or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the holder or beneficial owner’s past or present status as a personal holding company, controlled foreign corporation, passive foreign investment company for U.S. federal income tax purposes or as a corporation which accumulates earnings to avoid United States federal income tax or as a private foundation or other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which is payable otherwise than by withholding by us or a paying agent from payments on or in respect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which would not have been imposed but for the failure to comply with certification, information or other reporting requirements concerning the nationality, residence or identity, or the connections with the United States, of the holder or beneficial owner of such note, if such compliance is required by statute or by regulation of the United States or of any political subdivision or taxing authority thereof or therein as a precondition to relief or exemption from such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pursuant to sections 1471 through 1474 of the Internal Revenue Code of 1986, as amended (the “Code”), or any amended or successor version of such sections (“FATCA”), any regulations or other guidance thereunder, or any agreement (including any intergovernmental agreement) entered into in connection therewith or any law, regulation, rules, practices or other official guidance adopted in any jurisdiction implementing FATCA or an intergovernmental agreement in respect of FATCA;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(i) being or having been a “10-percent shareholder” of the issuer as defined in section 871(h)(3)(B) of the Code, (ii) a bank receiving interest described in section 881(c)(3)(A) of the Code or (iii) being or having been a controlled foreign corporation that is related to the issuer within the meaning of section 864(d)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required to be deducted or withheld by any paying agent if such payment can be made without such deduction or withholding by at least one 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 any combination of two or more of items (a), (b), (c), (d), (e), (f), (g), (h) and (i), </w:t>
      </w:r>
    </w:p>
    <w:p>
      <w:pPr>
        <w:pStyle w:val="TextBody"/>
        <w:bidi w:val="0"/>
        <w:spacing w:before="240" w:after="0"/>
        <w:jc w:val="left"/>
        <w:rPr>
          <w:rFonts w:ascii="Times New Roman" w:hAnsi="Times New Roman"/>
          <w:sz w:val="20"/>
        </w:rPr>
      </w:pPr>
      <w:r>
        <w:rPr>
          <w:rFonts w:ascii="Times New Roman" w:hAnsi="Times New Roman"/>
          <w:sz w:val="20"/>
        </w:rPr>
        <w:t xml:space="preserve">nor shall additional amounts be paid with respect to any payment on a note to any holder or non-U.S. holder who is a fiduciary, limited liability company or partnership or other than the sole beneficial owner of such payment to the extent the beneficiary or settlor with respect to such fiduciary, member of such limited liability company, partner of such partnership or beneficial owner with respect to such holder would not have been entitled to the additional amounts had such beneficiary, settlor, member, partner or beneficial owner been the holder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The term “non-U.S. holder” means any beneficial owner of a note that is not, for United States federal income tax purposes, (i) a citizen or resident of the United States, (ii) a corporation, partnership or other entity created or organized in or under the laws of the United States or any political subdivision thereof, (iii) an estate whose income is subject to United States federal income tax regardless of its source, or (iv) a trust if a court within the United States is able to exercise primary supervision over the administration of the trust and one or more United States persons have the authority to control all substantial decisions of the trust or if such trust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subject to repayment at the option of the holders at any time prior to maturity. </w:t>
      </w:r>
    </w:p>
    <w:p>
      <w:pPr>
        <w:pStyle w:val="TextBody"/>
        <w:bidi w:val="0"/>
        <w:spacing w:before="240" w:after="0"/>
        <w:jc w:val="left"/>
        <w:rPr>
          <w:rFonts w:ascii="Times New Roman" w:hAnsi="Times New Roman"/>
          <w:sz w:val="20"/>
        </w:rPr>
      </w:pPr>
      <w:r>
        <w:rPr>
          <w:rFonts w:ascii="Times New Roman" w:hAnsi="Times New Roman"/>
          <w:sz w:val="20"/>
        </w:rPr>
        <w:t xml:space="preserve">On     , 2031 (which is the date that is one year prior to the maturity date of the 2032 notes), the 2032 notes will be redeemable in whole but not in part, at a redemption price equal to 100% of the principal amount of the 2032 notes to be redeemed, plus accrued and unpaid interest thereon to the redemption date, upon not less than 15 nor more than 60 days’ prior notice given to the holders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On     , 2036 (which is the date that is one year prior to the maturity date of the 2037 notes), the 2037 notes will be redeemable in whole but not in part, at a redemption price equal to 100% of the principal amount of the 2037 notes to be redeemed, plus accrued and unpaid interest thereon to the redemption date, upon not less than 15 nor more than 60 days’ prior notice given to the holders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money sufficient to pay the redemption price of and accrued interest on either series of notes to be redeemed on the applicable redemption date is deposited with the trustee or paying agent on or before the applicable redemption date and certain other conditions are satisfied, then on and after such redemption date, interest will cease to accrue on such series of notes called for redemption and such series of notes will cease to be outstanding. If any redemption date is not a business day, we will pay the redemption price on the next business day without any interest or other payment due to the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for Tax Reasons </w:t>
      </w:r>
    </w:p>
    <w:p>
      <w:pPr>
        <w:pStyle w:val="TextBody"/>
        <w:bidi w:val="0"/>
        <w:spacing w:before="120" w:after="0"/>
        <w:jc w:val="left"/>
        <w:rPr>
          <w:rFonts w:ascii="Times New Roman" w:hAnsi="Times New Roman"/>
          <w:sz w:val="20"/>
        </w:rPr>
      </w:pPr>
      <w:r>
        <w:rPr>
          <w:rFonts w:ascii="Times New Roman" w:hAnsi="Times New Roman"/>
          <w:sz w:val="20"/>
        </w:rPr>
        <w:t xml:space="preserve">We may redeem either series of notes prior to maturity in whole, but not in part, on not more than 60 days’ notice and not less than 15 days’ notice, at a redemption price equal to 100% of their principal amount plus any accrued and unpaid interest and additional amounts to, but not including, the date fixed for redemption if we determine that, as a result of any change in, or amendment to, the laws (or any regulations or rulings promulgated thereunder) of the United States or of any political subdivision or taxing authority thereof or therein, or any income tax treaty, or any change in, or amendment to, an official position regarding the application or interpretation of such laws, regulations or rulings, or treaties, which change or amendment becomes effective on or after the date of issuance of such notes, we have or will become obligated to pay additional amounts with respect to such notes as described above under “—Payment of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If we exercise our option to redeem a series of notes, we will deliver to the trustee a certificate signed by an authorized officer stating that we are entitled to redeem such notes.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set forth in “—Optional Redemption” and “—Redemption for Tax Reasons”, the notes are not subject to redemption prior to maturity. The notes are not subject to repayment at the option of the holders at any time prior to maturity.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Euros; Payment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Initial holders of the notes will be required to pay for the notes in euros, and all payments of interest and principal, including payments made upon any redemption of the notes, and any additional amounts, if any, in respect of the notes will be payable in euros; provided that, if on or after the date of this prospectus supplement the euro is unavailable in our good faith judgment for such payments due to the imposition of exchange controls or other circumstances beyond our control (including the dissolution of the euro) or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or so used. </w:t>
      </w:r>
    </w:p>
    <w:p>
      <w:pPr>
        <w:pStyle w:val="TextBody"/>
        <w:bidi w:val="0"/>
        <w:spacing w:before="240" w:after="0"/>
        <w:jc w:val="left"/>
        <w:rPr>
          <w:rFonts w:ascii="Times New Roman" w:hAnsi="Times New Roman"/>
          <w:sz w:val="20"/>
        </w:rPr>
      </w:pPr>
      <w:r>
        <w:rPr>
          <w:rFonts w:ascii="Times New Roman" w:hAnsi="Times New Roman"/>
          <w:sz w:val="20"/>
        </w:rPr>
        <w:t xml:space="preserve">The amount otherwise payable by us on any date in euros would be converted into U.S. dollars at a rate mandated by the Federal Reserve Board as of the close of business on the second business day prior to the relevant payment date or, if the Federal Reserve Board has not announced a rate of conversion, on the basis of the most recent U.S. dollar/euro exchange rate published in The Wall Street Journal on or prior to the second business day prior to the relevant payment date or, in the event The Wall Street Journal has not published such exchange rate, the rate will be determined in our sole discretion on the basis of the most recently available market exchange rate for euros. If applicable laws or regulations of the member states of the European Union (including official pronouncements applying those laws or regulations) mandate, in our good faith determination, the use of a specific exchange rate for these purposes, we will apply the exchange rate so mandated. Any payment in respect of such notes made under such circumstances in U.S. dollars will not constitute an event of default under the notes or the indenture governing the notes. Neither the trustee nor the paying agent shall have any responsibility for any calculation or conversion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“market exchange rate” means the noon buying rate in The City of New York for cable transfers of euros as certified for customs purposes (or, if not so certified, as otherwise determined) by the Federal Reserve Board. All determinations referred to above made by us will be at our sole discretion and shall be conclusive and binding on the holders of the notes, absent manifest error. Investors will be subject to foreign exchange risks as to payments of principal and interest that may have important economic and tax consequences to them. See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in minimum denominations of 100,000 and in integral multiples of 1,000 in excess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the principal and interest on the notes will rank equally with all of Capital One’s other unsecured and unsubordinated debt. Capital One’s senior indebtedness ranks </w:t>
      </w:r>
      <w:r>
        <w:rPr>
          <w:rFonts w:ascii="Times New Roman" w:hAnsi="Times New Roman"/>
          <w:i/>
          <w:sz w:val="20"/>
        </w:rPr>
        <w:t xml:space="preserve">pari passu </w:t>
      </w:r>
      <w:r>
        <w:rPr>
          <w:rFonts w:ascii="Times New Roman" w:hAnsi="Times New Roman"/>
          <w:sz w:val="20"/>
        </w:rPr>
        <w:t xml:space="preserve">with the notes. The notes will be our exclusive obligations and not those of our subsidiaries. Since we are a holding company and substantially all of our operations are conducted through subsidiaries, our cash flow and consequently our ability to service debt, including the notes, depend upon the earnings of our subsidiaries and the distribution of those earnings to us or upon other payments of funds by those subsidiaries to us. The subsidiaries are separate and distinct legal entities and have no obligation, contingent or otherwise, to pay any amounts due on the notes or to provide us with funds for payments on the notes, whether by dividends, distributions, loans or other payments. In addition, the payment of dividends and distributions and the making of loans and advances to us by our subsidiaries may be subject to regulatory, statutory or contractual restrictions, are contingent upon the earnings of those subsidiaries, and are subject to various business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Any right we have to receive assets of any of our subsidiaries upon their liquidation or reorganization and the resulting right of the holders of notes to participate in those assets effectively will be subordinated to the claims of that subsidiary’s creditors, including trade creditors, except to the extent that we are recognized as a creditor of the subsidiary, in which case our claims would be subordinated to any security interests in the assets of the subsidiary and any indebtedness of the subsidiary senior to the debt held by us.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limit the amount of additional senior indebtedness that we or any of our subsidiaries may incur. We may, without the consent of the holders of the notes, create and issue additional debt securities under the senior indenture ranking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Capital One Financial Corporation had approximately $31.1 billion in senior unsecured indebtedness outstanding. As of June 30, 2026, our principal operating subsidiary, CONA, had approximately $1.9 billion in total senior and subordinated indebtedness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Securities—Consolidation, Merger and Sale of Assets”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Covenant Breach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Securities—Events of Default; Covenant Breach”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Securities—Legal Defeasance and Covenant Defeasance”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Book-Entry Issue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Clearance and Settlement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in the form of one or more global notes (each a “global note”) in fully registered form, without coupons, and will be deposited on the closing date with, or on behalf of, a common depositary for, and in respect of interests held through, Euroclear and Clearstream. Except as described herein, certificates will not be issued in exchange for beneficial interests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set forth below, the global notes may be transferred, in whole and not in part, only to a common depositary for Euroclear or Clearstream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Euroclear and Clearstream will govern payments, transfers, exchanges and other matters relating to an investor’s interest in the notes held by them. We have no responsibility for any aspect of the records kept by Euroclear or Clearstream or any of their direct or indirect participants.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 </w:t>
      </w:r>
    </w:p>
    <w:p>
      <w:pPr>
        <w:pStyle w:val="TextBody"/>
        <w:bidi w:val="0"/>
        <w:spacing w:before="240" w:after="0"/>
        <w:jc w:val="left"/>
        <w:rPr>
          <w:rFonts w:ascii="Times New Roman" w:hAnsi="Times New Roman"/>
          <w:sz w:val="20"/>
        </w:rPr>
      </w:pPr>
      <w:r>
        <w:rPr>
          <w:rFonts w:ascii="Times New Roman" w:hAnsi="Times New Roman"/>
          <w:sz w:val="20"/>
        </w:rPr>
        <w:t xml:space="preserve">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senior indenture, including for purposes of receiving any reports delivered by us or the trustee pursuant to the senior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senior indenture. Under existing industry practices, if we request any action of holders or a beneficial owner desires to give or take any action which a holder is entitled to give or take under the senior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 </w:t>
      </w:r>
    </w:p>
    <w:p>
      <w:pPr>
        <w:pStyle w:val="TextBody"/>
        <w:bidi w:val="0"/>
        <w:spacing w:before="240" w:after="0"/>
        <w:jc w:val="left"/>
        <w:rPr>
          <w:rFonts w:ascii="Times New Roman" w:hAnsi="Times New Roman"/>
          <w:sz w:val="20"/>
        </w:rPr>
      </w:pPr>
      <w:r>
        <w:rPr>
          <w:rFonts w:ascii="Times New Roman" w:hAnsi="Times New Roman"/>
          <w:sz w:val="20"/>
        </w:rPr>
        <w:t xml:space="preserve">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 notes represented by the global note under the senior indenture and the global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depositary is at any time unwilling or unable to continue as depositary for any of the global notes and a successor depositary is not appointed by us within 90 days, or if we have been notified that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Euroclear and Clearstream have been closed for business for a continuous period of 14 days (other than by reason of holiday, statutory or otherwise) or have announced an intention permanently to cease business or have in fact done so and no successor clearing system is available,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The notes so issued in definitive form will be issued as registered in minimum denominations of 100,000 and integral multiples of 1,000 thereafter, unless otherwise specified by us. The notes in definitive form can be transferred by presentation for registration to the registrar at our office or agency for such purpose and must be duly endorsed by the holder or his or her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Clearing Systems </w:t>
      </w:r>
    </w:p>
    <w:p>
      <w:pPr>
        <w:pStyle w:val="TextBody"/>
        <w:bidi w:val="0"/>
        <w:spacing w:before="120" w:after="0"/>
        <w:jc w:val="left"/>
        <w:rPr>
          <w:rFonts w:ascii="Times New Roman" w:hAnsi="Times New Roman"/>
          <w:sz w:val="20"/>
        </w:rPr>
      </w:pPr>
      <w:r>
        <w:rPr>
          <w:rFonts w:ascii="Times New Roman" w:hAnsi="Times New Roman"/>
          <w:sz w:val="20"/>
        </w:rPr>
        <w:t xml:space="preserve">We have been advised by Euroclear and Clearstream, respectively, as follows: </w:t>
      </w:r>
    </w:p>
    <w:p>
      <w:pPr>
        <w:pStyle w:val="TextBody"/>
        <w:bidi w:val="0"/>
        <w:spacing w:before="120" w:after="0"/>
        <w:jc w:val="left"/>
        <w:rPr>
          <w:rFonts w:ascii="Times New Roman" w:hAnsi="Times New Roman"/>
          <w:sz w:val="20"/>
        </w:rPr>
      </w:pPr>
      <w:r>
        <w:rPr>
          <w:rFonts w:ascii="Times New Roman" w:hAnsi="Times New Roman"/>
          <w:i/>
          <w:sz w:val="20"/>
        </w:rPr>
        <w:t>Euroclear.</w:t>
      </w:r>
      <w:r>
        <w:rPr>
          <w:rFonts w:ascii="Times New Roman" w:hAnsi="Times New Roman"/>
          <w:sz w:val="20"/>
        </w:rPr>
        <w:t xml:space="preserve"> Euroclear advises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All operations are conducted by Euroclear Bank and all Euroclear securities clearance accounts and Euroclear cash accounts are accounts with Euroclear Bank,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Bank are governed by the Terms and Conditions Governing Use of Euroclear and the related Operating Procedures of the Euroclear System, and applicable Belgian law (collectively, the “Euroclear terms and conditions”). The Euroclear terms and conditions govern transfers of securities and cash within Euroclear, withdrawals of securities and cash from Euroclear, and receipts of payment with respect to securities in Euroclear. All securities in Euroclear are held on a fungible basis without attribution of specific certificates to specific securities clearance accounts. The Euroclear Bank acts under the Euroclear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notes held beneficially through Euroclear will be credited to the cash accounts of Euroclear participants in accordance with the Euroclear terms and conditions, to the extent received by the Euroclear Bank and by Euroclear. </w:t>
      </w:r>
    </w:p>
    <w:p>
      <w:pPr>
        <w:pStyle w:val="TextBody"/>
        <w:bidi w:val="0"/>
        <w:spacing w:before="240" w:after="0"/>
        <w:jc w:val="left"/>
        <w:rPr>
          <w:rFonts w:ascii="Times New Roman" w:hAnsi="Times New Roman"/>
          <w:sz w:val="20"/>
        </w:rPr>
      </w:pPr>
      <w:r>
        <w:rPr>
          <w:rFonts w:ascii="Times New Roman" w:hAnsi="Times New Roman"/>
          <w:i/>
          <w:sz w:val="20"/>
        </w:rPr>
        <w:t>Clearstream</w:t>
      </w:r>
      <w:r>
        <w:rPr>
          <w:rFonts w:ascii="Times New Roman" w:hAnsi="Times New Roman"/>
          <w:sz w:val="20"/>
        </w:rPr>
        <w:t xml:space="preserve">. Clearstream is incorporated under the laws of Luxembourg as a professional depositary. Clearstream holds securities for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its participants, among other things, services for safekeeping, administration, clearance and settlement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internationally traded securities and securities lending and borrowing. Clearstream also deals with domestic securities markets in several countries. As a professional depositary, Clearstream is subject to regulation by the Luxembourg Monetary Institute. Clearstream participants are financial institutions around the world, including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the notes held beneficially through Clearstream will be credited to cash accounts of Clearstream participants in accordance with its rules and procedures, to the extent received by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Arrangements </w:t>
      </w:r>
    </w:p>
    <w:p>
      <w:pPr>
        <w:pStyle w:val="TextBody"/>
        <w:bidi w:val="0"/>
        <w:spacing w:before="120" w:after="0"/>
        <w:jc w:val="left"/>
        <w:rPr>
          <w:rFonts w:ascii="Times New Roman" w:hAnsi="Times New Roman"/>
          <w:sz w:val="20"/>
        </w:rPr>
      </w:pPr>
      <w:r>
        <w:rPr>
          <w:rFonts w:ascii="Times New Roman" w:hAnsi="Times New Roman"/>
          <w:sz w:val="20"/>
        </w:rPr>
        <w:t xml:space="preserve">So long as Euroclear or Clearstream or their nominee or their common depositary is the registered holder of the global notes, Euroclear, Clearstream or such nominee or common depositary, as the case may be, will be considered the sole owner or holder of the notes represented by such notes for all purposes under the senior indenture and the notes. Payments of principal, interest and additional amounts, if any, in respect of the global notes will be made to Euroclear, Clearstream or such nominee or common depositary, as the case may be, as registered holder thereof. None of us, the trustee, the transfer agent, the paying agent and registrar, any underwriter and any affiliate of any of the above or any person by whom any of the above is controlled (as such term is defined in the Securities Act) will have any responsibility or liability for any records relating to or payments made on account of beneficial ownership interests in the global notes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principal and interest with respect to the global note will be credited in euros to the extent received by Euroclear or Clearstream from the trustee or the paying agent, as applicable, to the cash accounts of Euroclear or Clearstream customers in accordance with the relevant system’s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Because Euroclear and Clearstream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 </w:t>
      </w:r>
    </w:p>
    <w:p>
      <w:pPr>
        <w:pStyle w:val="TextBody"/>
        <w:bidi w:val="0"/>
        <w:spacing w:before="240" w:after="0"/>
        <w:jc w:val="left"/>
        <w:rPr>
          <w:rFonts w:ascii="Times New Roman" w:hAnsi="Times New Roman"/>
          <w:sz w:val="20"/>
        </w:rPr>
      </w:pPr>
      <w:r>
        <w:rPr>
          <w:rFonts w:ascii="Times New Roman" w:hAnsi="Times New Roman"/>
          <w:sz w:val="20"/>
        </w:rPr>
        <w:t xml:space="preserve">The holdings of book-entry interests in the global notes through Euroclear and Clearstream will be reflected in the book-entry accounts of each such institution. As necessary, the registrar will adjust the amounts of the global notes on the register for the accounts of the common depositary to reflect the amounts of notes held through Euroclear and Clearstream,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Settlement </w:t>
      </w:r>
    </w:p>
    <w:p>
      <w:pPr>
        <w:pStyle w:val="TextBody"/>
        <w:bidi w:val="0"/>
        <w:spacing w:before="120" w:after="0"/>
        <w:jc w:val="left"/>
        <w:rPr>
          <w:rFonts w:ascii="Times New Roman" w:hAnsi="Times New Roman"/>
          <w:sz w:val="20"/>
        </w:rPr>
      </w:pPr>
      <w:r>
        <w:rPr>
          <w:rFonts w:ascii="Times New Roman" w:hAnsi="Times New Roman"/>
          <w:sz w:val="20"/>
        </w:rPr>
        <w:t xml:space="preserve">Investors holding their notes through Euroclear or Clearstream accounts will follow the settlement procedures applicable to conventional eurobonds in registered form. Notes will be credited to the securities custody accounts of Euroclear and Clearstream holders on the settlement date against payment for value on the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Secondary Market Trading </w:t>
      </w:r>
    </w:p>
    <w:p>
      <w:pPr>
        <w:pStyle w:val="TextBody"/>
        <w:bidi w:val="0"/>
        <w:spacing w:before="120" w:after="0"/>
        <w:jc w:val="left"/>
        <w:rPr>
          <w:rFonts w:ascii="Times New Roman" w:hAnsi="Times New Roman"/>
          <w:sz w:val="20"/>
        </w:rPr>
      </w:pPr>
      <w:r>
        <w:rPr>
          <w:rFonts w:ascii="Times New Roman" w:hAnsi="Times New Roman"/>
          <w:sz w:val="20"/>
        </w:rPr>
        <w:t xml:space="preserve">Because the purchaser determines the place of delivery, it is important to establish at the time of trading of any notes where both the purchaser’s and seller’s accounts are located to ensure that settlement can be made on the desired value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Secondary market sales of book-entry interests in the notes held through Euroclear or Clearstream to purchasers of book-entry interests in the global notes through Euroclear or Clearstream will be conducted in accordance with the normal rules and operating procedures of Euroclear and Clearstream and will be settled using the procedures applicable to conventional eurobonds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notes through Euroclear and Clearstream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Euroclear and Clearstream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Euroclear or Clearstream is used.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will credit payments to the cash accounts of Euroclear participants or Clearstream customers in accordance with the relevant system’s rules and procedures, to the extent received by its depositary. Clearstream or Euroclear Bank, as the case may be, will take any other action permitted to be taken by a holder under the senior indenture on behalf of a Euroclear participant or Clearstream customer only in accordance with its relevant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have agreed to the foregoing procedures in order to facilitate transfers of the notes among participants of Euroclear and Clearstream. However, they are under no obligation to perform or continue to perform those procedures, and they may discontinue those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Euroclear and Clearstream and their book-entry systems has been obtained from sources that we believe to be reliable, but we take no responsibility for the accuracy of that information. In addition, the description of the clearing systems in this section reflects our understanding of the rules and procedures of Euroclear and Clearstream as they are currently in effect. Those clearing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the underwriters or the trustee, transfer agent, paying agent or registrar will not have any responsibility or liability for any aspect of the records relating to or payments made on account of the beneficial interests in a global note, or for maintaining, supervising or reviewing any records relating to such beneficial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Paying Agent, Transfer Agent and Security Registrar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Trust Company, N.A., formerly known as The Bank of New York Trust Company, N.A. (as successor to Harris Trust and Savings Bank) will be the indenture trustee, transfer agent and security registrar with respect to the notes and the calculation agent for the notes during the Floating Rate Period as described below under “—Calculation Agent” and will be the registrar for the notes. The indenture trustee is one of a number of banks with which we and our subsidiaries maintain banking and trust relationships in the ordinary course of business. The Bank of New York Mellon, London Branch, will act as paying agent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accounts of Euroclear and Clearstream will be made in immediately available funds through the facilities of the common depositary. We may change the paying agent without prior notice to the holders, and we or any of our subsidiaries may act as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The Bank of New York Mellon Trust Company, N.A. to act as the calculation agent for the notes during the Floating Rate Period (unless we have redeemed all the outstanding notes). All calculations made by the calculation agent for the purposes of calculating interest on the notes during the Floating Rate Period shall be conclusive and binding on the holders of such notes, the trustee and us,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28156_9"/>
      <w:bookmarkEnd w:id="11"/>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U.S. federal income tax considerations relating to the purchase, ownership, and disposition of the notes. This summary does not provide a complete analysis of all potential tax considerations. The information provided below is based on the Code, Treasury regulations issued under the Code, judicial authority and administrative rulings and practice, all as of the date of this prospectus supplement and all of which are subject to change, possibly on a retroactive basis. As a result, the tax considerations of purchasing, owning or disposing of notes could differ from those described below. This summary deals only with beneficial owners who purchase notes on original issuance at the first price at which a substantial portion of the notes is sold for cash (other than to bond houses, brokers or similar persons or organizations acting in the capacity of underwriters, placement agents or wholesalers) and who hold the notes as “capital assets” within the meaning of Section 1221 of the Code. This summary does not deal with persons in special tax situations, such as financial institutions, insurance companies, S corporations, regulated investment companies, real estate investment trusts, tax exempt investors, dealers in securities or currencies, traders in securities or currencies that elect to use a mark-to-market method of accounting, controlled foreign corporations, corporations that accumulate earnings to avoid U.S. federal income tax, U.S. expatriates, persons holding notes as a position in a “straddle,” “hedge,” “conversion transaction,” or other integrated transaction for U.S. federal income tax purposes, investors in pass-through entities, or U.S. holders (as defined below) whose functional currency is not the U.S. dollar. Further, this discussion does not address the consequences under any minimum tax rules, U.S. federal estate or gift tax laws, or the application of Section 451(b) of the Code, and does not address any aspect of the tax laws of any U.S. state or locality, any non-U.S. tax laws, or any tax laws other than income tax laws.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“U.S. holder” means a beneficial owner of notes for U.S. federal income tax purposes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notes that is, for U.S. federal income tax purposes, an individual, corporation, trust or estate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notes, the treatment of a partner in the partnership generally will depend upon the status of the partner and upon the activities of the partnership. A beneficial owner of notes that is a partnership and partners in such a partnership should consult their independent tax advisors about the U.S. federal income tax consequences of holding and disposing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tax advisors concerning the tax consequences of the ownership and disposition of the notes, including the tax consequences under the laws of any foreign, state, local or other taxing jurisdictions and the possible effects on investors of changes in U.S. federal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We may be obligated to pay an amount in excess of the stated interest and principal amount of the notes, as described under the heading “—Payment of Additional Amounts.” We intend to take the position that the possibility of our making such contingent payments should not cause the notes to be subject to the provisions of the Treasury Regulations governing “contingent payment debt instruments.” Our position is binding on a holder, unless the holder discloses in the proper manner to the IRS that it is taking a different position. Our position is not binding on the IRS. A successful challenge of this position by the IRS could adversely affect the timing and amount of a holder’s income and would require a holder to treat any gain realized from a sale or other taxable disposition of a note as ordinary income rather than capital gain. The remainder of this discussion assumes that the notes will not be considered contingent payment debt instruments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without original issue discount for U.S. federal income tax purposes. In such case, interest on a note will be includable by a U.S. holder as interest income at the time it accrues or is received in accordance with its method of accounting for U.S. federal income tax purposes and will be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paid with respect to a note held by a U.S. holder that uses the cash method of accounting for U.S. federal income tax purposes, including the amount received upon a disposition of a note attributable to accrued but unpaid interest, is the U.S. dollar value of the amount of interest paid translated at the spot exchange rate in effect on the date such payment is received by such U.S. holder, regardless of whether the payment is in fact converted into U.S. dollars on such date. A U.S. holder that uses the cash method of accounting for U.S. federal income tax purposes will generally not recognize any foreign currency exchange gain or loss upon receipt of any interest payment with respect to a note.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uses the accrual method of accounting for U.S. federal income tax purposes is required to include in income the U.S. dollar value of interest on a note held by such U.S. holder that accrued during the relevant accrual period. The U.S. dollar value of such accrued interest income generally is determined by translating such interest income at the average rate of exchange for such accrual period (or, with respect to an accrual period that spans two taxable years, at the average rate for the partial period within the taxable year). Alternatively, such U.S. holder may elect to translate such interest income at the spot exchange rate on the last day of such accrual period (or, in the case of an accrual period that spans two taxable years, the last day of the partial period within the taxable year) or if the last day of an accrual period is within five business days of the date of receipt of the payment in respect of the related accrued interest, a U.S. holder that has made such election may translate such accrued interest using the spot exchange rate on the date of receipt of such payment. The above election will apply to all debt obligations that a U.S. holder holds at the beginning of the first taxable year to which the election applies and to all debt instruments that the U.S. holder subsequently acquires. A U.S. holder may not revoke this election without the consent of the IRS. A U.S. holder that uses the accrual method of accounting for U.S. federal income tax purposes generally will recognize foreign currency exchange gain or loss with respect to such accrued interest income on the date the payment in respect of such interest income is received (including amounts received upon a disposition of a note attributable to accrued but unpaid interest) if there is any difference between the exchange rate used to determine such interest income and the exchange rate on the date such payment is received (or the note is disposed of). Such foreign currency exchange gain or loss will generally be treated as ordinary income or loss from sources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have a tax basis in any euro received as interest on the notes equal to the U.S. dollar value of the euro, determined on the date of receipt of the euro. Any gain or loss realized by a U.S. holder on a sale or other taxable disposition of euro (including its exchange for U.S. dollars) will generally be treated as U.S.-source ordinary income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a sale, exchange, redemption, retirement or other taxable disposition of a note, a U.S. holder will generally recognize gain or loss equal to the difference between (i) the amount realized on the disposition (other than amounts attributable to accrued but unpaid interest, which will be taxed as interest income as discussed above to the extent not previously included in income) and (ii) the U.S. holder’s tax basis in the note. A U.S. holder’s tax basis in a note generally will equal the cost of the note, calculated as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sells or exchanges a note for euro, or receives euro on the retirement or other taxable disposition of a note, the amount such holder will realize for U.S. tax purposes generally will be the U.S. dollar value of the euro that the holder receives calculated at the exchange rate in effect on the date the note is disposed of or retired. If a U.S. holder disposes of a note, the notes are traded on an established securities market, and the holder is a cash-basis U.S. holder (or an accrual-basis holder that makes a special election), such holder will determine the U.S. dollar value of the amount realized by translating the amount received at the spot rate of exchange on the settlement date of the sale, exchange, retirement or other disposition. A U.S. holder’s adjusted tax basis in a note generally will be the U.S. dollar value of the euro used to purchase the note at the spot exchange rate on the purchase date. If the note is traded on an established securities market, a cash basis U.S. holder (and an accrual basis U.S. holder that makes a special election) will determine the U.S. dollar value of the euro amount paid for the note on the settlement date of the purchase. </w:t>
      </w:r>
    </w:p>
    <w:p>
      <w:pPr>
        <w:pStyle w:val="TextBody"/>
        <w:bidi w:val="0"/>
        <w:spacing w:before="240" w:after="0"/>
        <w:jc w:val="left"/>
        <w:rPr>
          <w:rFonts w:ascii="Times New Roman" w:hAnsi="Times New Roman"/>
          <w:sz w:val="20"/>
        </w:rPr>
      </w:pPr>
      <w:r>
        <w:rPr>
          <w:rFonts w:ascii="Times New Roman" w:hAnsi="Times New Roman"/>
          <w:sz w:val="20"/>
        </w:rPr>
        <w:t xml:space="preserve">The special election discussed in the preceding paragraph available to a U.S. holder if such holder is an accrual-basis taxpayer in respect of the purchase and sale of foreign currency-denominated notes traded on an established securities market must be applied consistently to all debt instruments from year to year and cannot be changed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foreign currency gain or loss, the gain or loss that a U.S. holder recognizes on the sale, exchange, retirement or other disposition of a note generally will be capital gain or loss and will be long-term capital gain or loss if the U.S. holder has held such note for longer than one year. The deductibility of capital losses is subject to certain limitations. Net long-term capital gain recognized by a non-corporate U.S. holder is generally taxed at preferential rates. </w:t>
      </w:r>
    </w:p>
    <w:p>
      <w:pPr>
        <w:pStyle w:val="TextBody"/>
        <w:bidi w:val="0"/>
        <w:spacing w:before="240" w:after="0"/>
        <w:jc w:val="left"/>
        <w:rPr>
          <w:rFonts w:ascii="Times New Roman" w:hAnsi="Times New Roman"/>
          <w:sz w:val="20"/>
        </w:rPr>
      </w:pPr>
      <w:r>
        <w:rPr>
          <w:rFonts w:ascii="Times New Roman" w:hAnsi="Times New Roman"/>
          <w:sz w:val="20"/>
        </w:rPr>
        <w:t xml:space="preserve">The gain or loss that a U.S. holder recognizes on the sale, exchange, retirement or other disposition of a note generally will be treated as ordinary income or loss to the extent that the gain or loss is attributable to fluctuations in exchange rates during the period in which the U.S. holder held the note. Gain or loss attributable to fluctuations in currency exchange rates generally will equal the difference between (i) the U.S. dollar value of a U.S. holder’s purchase price for the note in euro, determined using the spot price on the date the note is disposed of, and (ii) the U.S. dollar value of a U.S. holder’s purchase price for the note in euro, determined using the spot price on the date the U.S. holder acquired the note (or, in each case, determined on the settlement date if the notes are traded on an established securities market, and the U.S. holder is either a cash basis or an electing accrual basis holder). A U.S. holder will realize exchange gain or loss on the sale, exchange, retirement or other disposition of a note only to the extent of the total gain or loss realized on the transaction. Any foreign currency gain or loss generally will be U.S.-source ordinary income or loss.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have a tax basis in any euro received on the sale, exchange or other taxable disposition of a note equal to the U.S. dollar value of the euro, determined on the date of receipt of the euro. Any gain or loss realized by a U.S. holder on a sale or other taxable disposition of euro (including its exchange for U.S. dollars) will generally be treated as U.S.-source ordinary income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Medicare Tax </w:t>
      </w:r>
    </w:p>
    <w:p>
      <w:pPr>
        <w:pStyle w:val="TextBody"/>
        <w:bidi w:val="0"/>
        <w:spacing w:before="120" w:after="0"/>
        <w:jc w:val="left"/>
        <w:rPr>
          <w:rFonts w:ascii="Times New Roman" w:hAnsi="Times New Roman"/>
          <w:sz w:val="20"/>
        </w:rPr>
      </w:pPr>
      <w:r>
        <w:rPr>
          <w:rFonts w:ascii="Times New Roman" w:hAnsi="Times New Roman"/>
          <w:sz w:val="20"/>
        </w:rPr>
        <w:t xml:space="preserve">U.S. holders who are individuals, estates or certain trusts are required to pay an additional 3.8% Medicare tax on the lesser of (1) the U.S. person’s “net investment income” for the relevant taxable year and (2) the excess of the U.S. person’s modified gross income for the taxable year over a certain threshold (which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will be between $125,000 and $250,000 depending on the individual’s circumstances). Net investment income will generally include interest income and net gains from the disposition of the notes, unless such interest income or net gains are derived in the ordinary course of the conduct of a trade or business (other than a trade or business that consists of certain passive or trading activities). A U.S. holder that is an individual, estate or trust should consult its tax advisor regarding the applicability of the Medicare tax to its income and gains in respect of its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of a note will be subject to backup withholding at the applicable tax rate with respect to payments of interest or the gross proceeds from dispositions of notes, unless the U.S. holder (i) is an entity that is exempt from backup withholding (generally including tax-exempt organizations and certain qualified nominees) and, when required, provides appropriate documentation to that effect, or (ii) provides its social security number or other taxpayer identification number (“TIN”), certifies that the TIN provided is correct and that it has not been notified by the IRS that it is subject to backup withholding due to underreporting of interest or dividends, and otherwise complies with applicable requirements of the backup withholding rules. In addition, such payments to U.S. holders that are not exempt entities will generally be subject to information reporting requirements. A U.S. holder who does not provide the correct TIN may be subject to penalties imposed by the IRS. The amount of any backup withholding from a payment to a U.S. holder will be allowed as a credit against such holder’s U.S. federal income tax liability and may entitle such U.S.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participates in any “reportable transaction” (as defined in applicable Treasury Regulations) must attach to its U.S. federal income tax return a disclosure statement on IRS Form 8886. U.S. holders should consult their own tax advisors as to the possible obligation to file IRS Form 8886 reporting foreign currency exchange loss arising from the notes or any amounts received with respect to the notes and the penalties for noncompliance.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the Foreign Account Tax Compliance Act (“FATCA”) below, interest income of a non-U.S. holder will qualify for the “portfolio interest exemption” and therefore not be subject to U.S. federal income or withholding tax, provided that: </w:t>
      </w:r>
    </w:p>
    <w:p>
      <w:pPr>
        <w:pStyle w:val="TextBody"/>
        <w:bidi w:val="0"/>
        <w:spacing w:before="120" w:after="0"/>
        <w:jc w:val="left"/>
        <w:rPr>
          <w:rFonts w:ascii="Times New Roman" w:hAnsi="Times New Roman"/>
          <w:sz w:val="20"/>
        </w:rPr>
      </w:pPr>
      <w:r>
        <w:rPr>
          <w:rFonts w:ascii="Times New Roman" w:hAnsi="Times New Roman"/>
          <w:sz w:val="20"/>
        </w:rPr>
        <w:t xml:space="preserve">the interest paid on the note is not income that is effectively connected with a United States trade or business carried on by the non-U.S. holder (“ECI”) (and, if required by an applicable income tax treaty, is not attributable to a U.S. permanent establishment);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(pursuant to the rules of Section 871(h)(3)(C) of the Code) own 10% or more of the total combined voting power of all classes of our stock that are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related to us actually or constructively through the stock ownership rules under Section 864(d)(4)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that is receiving the interest on an extension of credit made pursuant to a loan agreement entered into in the ordinary course of its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 satisfies the certification requirements set forth in Section 871(h) or 881(c), as applicable, of the Code and the Treasury regulations issued thereunder by providing an appropriate IRS Form W-8 (or a suitable substitute or successor form or such other form as the IRS may prescribe)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properly completed and duly executed establishing its status as a non-U.S. person or by other means prescribed by the Secretary of the Treasury (or the non-U.S. holder holds the notes through one of certain foreign intermediaries or certain foreign partnerships, and the non-U.S. holder and the foreign intermediary or foreign partnership satisfies the certification requirements of applicable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conditions is not met, interest on the notes paid to a non-U.S. holder will generally be subject to U.S. federal income tax and withholding at a 30% rate unless (a) an applicable income tax treaty reduces or eliminates such tax, and the non-U.S. holder claims the benefit of that treaty by providing an IRS Form W-8BEN or IRS Form W-8BEN-E (or a suitable substitute or successor form or such other form as the IRS may prescribe) that has been properly completed and duly executed, or (b) the interest is ECI and the non-U.S. holder complies with applicable certification requirements by providing an IRS Form W-8ECI (or a suitable substitute or successor form or such other form as the IRS may prescribe) that has been properly completed and duly executed. </w:t>
      </w:r>
    </w:p>
    <w:p>
      <w:pPr>
        <w:pStyle w:val="TextBody"/>
        <w:bidi w:val="0"/>
        <w:spacing w:before="240" w:after="0"/>
        <w:jc w:val="left"/>
        <w:rPr>
          <w:rFonts w:ascii="Times New Roman" w:hAnsi="Times New Roman"/>
          <w:sz w:val="20"/>
        </w:rPr>
      </w:pPr>
      <w:r>
        <w:rPr>
          <w:rFonts w:ascii="Times New Roman" w:hAnsi="Times New Roman"/>
          <w:sz w:val="20"/>
        </w:rPr>
        <w:t xml:space="preserve">If the interest on the notes is ECI, the non-U.S. holder will be required to pay U.S. federal income tax on that interest on a net income basis generally in the same manner as a U.S. holder (and the 30% withholding tax described above will not apply, provided the appropriate statement is provided to us or the applicable withholding agent). If a non-U.S. holder is eligible for the benefits of any income tax treaty between the United States and its country of residence, any interest income that is ECI will be subject to U.S. federal income tax in the manner specified by the treaty and will generally be subject to U.S. federal income tax only if such income is attributable to a permanent establishment or a fixed base maintained by the non-U.S. holder in the United States and the non-U.S. holder claims the benefit of the treaty by providing a Form W-8BEN or a Form W-8BEN-E (or a suitable substitute or successor form or such other form as the IRS may prescribe) that has been properly completed and duly executed. In addition, interest received by a corporate non-U.S. holder that is ECI may also, under certain circumstances, be subject to an additional “branch profits tax” at a 30% rate, or, if applicable,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 non-U.S. holder will generally not be subject to U.S. federal income tax on any gain realized on a sale, exchange, redemption, retirement or other taxable disposition of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within the United States by the non-U.S. holder (and, if required by an applicable income tax treaty, is attributable to a U.S. permanent establishment),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non-U.S. holder who is a nonresident alien individual and holds the note as a capital asset, he or she is present in the United States for 183 or more days in the taxable year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falls under the first of these exceptions, it will be taxed on the net gain derived from the disposition under the graduated U.S. federal income tax rates that are applicable to U.S. holders and, if the non-U.S. holder is a foreign corporation, it may also be subject to the branch profits tax described above. Even though the ECI will be subject to U.S. federal income tax, and possibly subject to the branch profits tax, it will not be subject to withholding if the non-U.S. holder delivers an appropriate IRS Form W-8ECI (or a suitable substitute or successor form or such other form as the IRS may prescribe) that has been properly completed and duly executed to us or our agent. </w:t>
      </w:r>
    </w:p>
    <w:p>
      <w:pPr>
        <w:pStyle w:val="TextBody"/>
        <w:bidi w:val="0"/>
        <w:spacing w:before="240" w:after="0"/>
        <w:jc w:val="left"/>
        <w:rPr>
          <w:rFonts w:ascii="Times New Roman" w:hAnsi="Times New Roman"/>
          <w:sz w:val="20"/>
        </w:rPr>
      </w:pPr>
      <w:r>
        <w:rPr>
          <w:rFonts w:ascii="Times New Roman" w:hAnsi="Times New Roman"/>
          <w:sz w:val="20"/>
        </w:rPr>
        <w:t xml:space="preserve">If an individual non-U.S. holder falls under the second of these exceptions, he or she generally will be subject to U.S. federal income tax at a rate of 30% on the amount by which the gain derived from the disposition exceeds such holder’s capital losses allocable to sources within the United States for the taxable year of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the amount of interest paid to a non-U.S. holder and the amount of tax, if any, withheld with respect to those payments must be reported annually to the IRS and to the non-U.S. holder. Copies of the information returns reporting such interest and withholding may also be made available to the tax authorities in the country in which the non-U.S. holder resides under the provisions of an applicable income tax treaty. Backup withholding will generally not apply to payments of interest on the notes if a non-U.S. holder certifies its status as a non-U.S. person under penalties of perjury or otherwise establishes an exemption (provided that the payor does not have actual knowledge that the non-U.S. holder is a U.S. person or that the conditions of any other exemptions are not in fact satisfied).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the proceeds of the disposition of notes to or through the United States office of a United States or foreign broker will be subject to information reporting and, depending on the circumstances, backup withholding unless the non-U.S. holder provides the certification described above or otherwise establishes an exemption (and the payor does not have actual knowledge that the non-U.S. holder is a U.S. person or that the conditions of any other exemptions are not in fact satisfied). The proceeds of a disposition effected outside the United States by a non-U.S. holder of the notes to or through a foreign office of a broker generally will not be subject to backup withholding or information reporting. However, if that broker is, for United States federal income tax purposes, a U.S. person, a controlled foreign corporation, a foreign person 50% or more of whose gross income from all sources for certain periods is effectively connected with a trade or business in the United States, or a foreign partnership that is engaged in the conduct of a trade or business in the United States or that has one or more partners that are U.S. persons who in the aggregate hold more than 50% of the income or capital interests in the partnership, information reporting requirements will apply unless that broker has documentary evidence in its files of such non-U.S. holder’s status as a non-U.S. person and has no actual knowledge to the contrary or unless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from a payment to a non-U.S. holder under the backup withholding rules will be allowed as a credit against its U.S. federal income tax liability and may entitle it to a refund, provided it timely furnishes the required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Under provisions commonly referred to as “FATCA,” a 30% withholding tax may be imposed on interest (including original issue discount) on notes issued to a foreign financial institution (including amounts paid to a foreign financial institution on behalf of a holder) and certain other non-financial foreign entities. Additionally, a 30% withholding may apply to gross proceeds from the disposition of such notes; however, proposed Treasury regulations eliminate this 30% withholding tax on payments of gross proceeds. Taxpayers may rely on these proposed Treasury regulations until final Treasury regulations are issued. There can be no assurance that final Treasury regulations will provide an exception from FATCA for gross proceeds. </w:t>
      </w:r>
    </w:p>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will not apply where such payments are made to (1) a foreign financial institution that undertakes, under either an agreement with the U.S. Treasury or pursuant to an intergovernmental agreement between the jurisdiction in which it is a resident and the U.S. Treasury, to generally identify accounts held by certain U.S. persons and foreign entities with substantial U.S. owners, annually report certain information about such accounts and withhold 30% on payments made to non-compliant foreign financial institutions and certain other account holders, (2) a non-financial foreign entity that either certifies it does not have any substantial U.S. owners or furnishes identifying information regarding each substantial U.S. owner, or (3) a foreign financial institution or a non-financial foreign entity that otherwise qualifies for an exemption from these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should consult their tax advisors regarding FATCA and the regulations thereunder.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The U.S. federal tax discussion set forth above as to both U.S. holders and non-U.S. holders is included for general information only and may not be applicable depending upon a prospective investor’s particular situation. Prospective investors should consult their tax advisors with respect to the tax consequences to them of the ownership and disposition of the notes, including the tax consequences under state, local, foreign and other tax laws and the possible effects of changes in U.S. federal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28156_10"/>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and holding of the notes by (i) employee benefit plans to which Title I of the U.S. Employee Retirement Income Security Act of 1974, as amended (“ERISA”), applies, (ii) plans, individual retirement accounts and other arrangements to which Section 4975 of the Code applies, (iii) plans or arrangements to which the provisions of any federal, state, local, non-U.S. or other laws or regulations that are similar to such provisions of ERISA or the Code (“Similar Laws”), apply, and (iv) entities whose underlying assets are considered to include “plan assets” of such plans, accounts and arrangements described in clauses (i) through (iii) (each of the foregoing in clauses (i) through (iv) is referred to hereunder as a “Plan”). </w:t>
      </w:r>
    </w:p>
    <w:p>
      <w:pPr>
        <w:pStyle w:val="TextBody"/>
        <w:bidi w:val="0"/>
        <w:spacing w:before="240" w:after="0"/>
        <w:jc w:val="left"/>
        <w:rPr>
          <w:rFonts w:ascii="Times New Roman" w:hAnsi="Times New Roman"/>
          <w:sz w:val="20"/>
        </w:rPr>
      </w:pPr>
      <w:r>
        <w:rPr>
          <w:rFonts w:ascii="Times New Roman" w:hAnsi="Times New Roman"/>
          <w:sz w:val="20"/>
        </w:rPr>
        <w:t xml:space="preserve">Each fiduciary of a Plan should consider the fiduciary standards of ERISA or any applicable Similar Laws in the context of the Plan’s particular circumstances before authorizing an investment in the notes. Accordingly, among other factors, the fiduciary should consider whether the investment would satisfy the prudence and diversification requirements of ERISA or any applicable Similar Laws and would be consistent with the documents and instruments governing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406 of ERISA and Section 4975 of the Code prohibit Plans subject to such provisions (“ERISA Plans”) from engaging in certain transactions involving assets of ERISA Plans with persons that are “parties in interest” under ERISA or “disqualified persons” under the Code with respect to the ERISA Plans. A violation of these “prohibited transaction” rules may result in an excise tax or other liabilities under ERISA and/or Section 4975 of the Code for those persons, unless exemptive relief is available under an applicable statutory or administrative exemption. In addition, a fiduciary of the ERISA Plan that engages in a non-exempt prohibited transaction may be subject to penalties and liabilities under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Prohibited transactions within the meaning of Section 406 of ERISA or Section 4975 of the Code could arise if the notes were acquired by an ERISA Plan with respect to which we, an underwriter or any of our or their affiliates is a party in interest or a disqualified person. For example, if we are a party in interest or disqualified person with respect to an investing ERISA Plan (either directly or by reason of our ownership of our subsidiaries), an extension of credit prohibited by Section 406(a)(1)(B) of ERISA and Section 4975(c)(1)(B) of the Code between the investing ERISA Plan and us may be deemed to occur, unless exemptive relief were available under an applicable exemption (see below).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certain prohibited transaction class exemptions, or PTCEs, issued by the United States Department of Labor, as well as certain statutory exemptions available under ERISA and the Code, may provide exemptive relief for direct or indirect prohibited transactions resulting from the purchase, holding or disposition of the notes. Those class and statutory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96-23—for certain transactions determined by in-house asset managers;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95-60—for certain transactions involving insurance company general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91-38—for certain transactions involving bank collective investment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90-1—for certain transactions involving insurance company separate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84-14—for certain transactions determined by independent qualified professional asset managers;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408(b)(17) of ERISA and Section 4975(d)(20) of the Code—statutory exemption for certain transactions with service providers.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however, that any of these exemptions or any other exemptions will be available with respect to any particular transaction involving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plans, certain church plans, and non-U.S. plans, while not subject to the fiduciary responsibility or prohibited transaction provisions of ERISA or Section 4975 of the Code, may nevertheless be subject to Similar Laws. Fiduciaries of any such plans should consult with their counsel regarding the application of any Similar Law to an investment in the notes before purchasing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possibility that direct or indirect prohibited transactions or violations of Similar Laws could occur as a result of the purchase, holding or disposition of the notes by a Plan, the notes may not be purchased by any Plan, or any person investing the assets of any Plan, unless its purchase, holding and disposition of the notes will not constitute or result in a non-exempt prohibited transaction under ERISA or Section 4975 of the Code or in a violation of any Similar Laws. Each purchaser or holder of the notes or any interest in the notes will be deemed to have represented in its fiduciary and its corporate capacity by its purchase and holding of the notes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 Plan and is not purchasing the notes or interest in the notes on behalf of or with the assets of any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purchase, holding and disposition of the notes or interest in the notes will not constitute or result in a non-exempt prohibited transaction under ERISA or Section 4975 of the Code or in a violation of any Similar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purchaser that is a Plan or that is acquiring the notes on behalf of a Plan, including any fiduciary purchasing on behalf of a Plan, will be deemed to have represented, in its corporate and its fiduciary capacity, by its purchase and holding of the notes that (a) neither we, the indenture trustee nor the underwriters, nor any of our or their affiliates or representatives (collectively, the “Sellers” and each a “Seller”) is a “fiduciary” (as defined in Section 3(21) of ERISA or Section 4975(e)(3) of the Code or any Similar Law) to such Plan with respect to the purchase, holding or disposition of the notes, or as a result of any exercise by any Seller of any rights in connection with the notes, (b) no Seller has provided any investment advice or will provide any investment advice to the Plan, with respect to the purchase, holding or disposition of the notes or the transactions contemplated by the notes, and (c) such purchaser acknowledges and agrees that any communication from any Seller to the purchaser with respect to the notes is not intended by any Seller to be investment advice and is rendered in its capacity as a seller of such notes and not as a fiduciary, as defined in Section 3(21) of ERISA or Section 4975(e)(3) of the Code or any Similar Law, to such purchaser, in each case, unless a statutory or administrative exemption applies (all of the applicable conditions of which are satisfied) or the transaction is not otherwise prohibited.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all-inclusive. Due to the complexity of these rules and the penalties imposed upon persons involved in non-exempt prohibited transactions, it is important that any person considering the purchase of notes on behalf of or with the assets of any Plan consult with its counsel regarding the consequences under ERISA, the Code and any applicable Similar Laws of the acquisition, ownership and disposition of notes, whether any exemption would be applicable, and whether all conditions of such exemption have been satisfied such that the acquisition, holding and disposition of the notes by the Plan are entitled to full exemptive relief thereunder.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shall be construed as, and the sale of notes to a Plan is in no respect, a representation by any Seller that any investment in the notes would meet any or all of the relevant legal requirements with respect to investment by, or is appropriate for, Plans generally or any particular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28156_11"/>
      <w:bookmarkEnd w:id="13"/>
      <w:r>
        <w:rPr>
          <w:rFonts w:ascii="Times New Roman" w:hAnsi="Times New Roman"/>
          <w:b/>
          <w:sz w:val="20"/>
        </w:rPr>
        <w:t xml:space="preserve">UNDERWRITING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an underwriting agreement, dated     , 2026, we have agreed to sell to the underwriters named below, for whom Barclays Bank PLC, Deutsche Bank AG, London Branch, Goldman Sachs &amp; Co. LLC and Morgan Stanley &amp; Co. International plc and Capital One Securities, Inc. are acting as representatives, and the underwriters have severally agreed to purchase the respective principal amounts of the notes set forth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3"/>
        <w:gridCol w:w="402"/>
        <w:gridCol w:w="32"/>
        <w:gridCol w:w="1061"/>
        <w:gridCol w:w="60"/>
        <w:gridCol w:w="402"/>
        <w:gridCol w:w="32"/>
        <w:gridCol w:w="1061"/>
        <w:gridCol w:w="62"/>
      </w:tblGrid>
      <w:tr>
        <w:trPr/>
        <w:tc>
          <w:tcPr>
            <w:tcW w:w="4643"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643"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w:t>
              <w:br/>
              <w:t>2032 notes</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w:t>
              <w:br/>
              <w:t>2037 notes</w:t>
            </w:r>
          </w:p>
        </w:tc>
        <w:tc>
          <w:tcPr>
            <w:tcW w:w="62" w:type="dxa"/>
            <w:tcBorders/>
            <w:vAlign w:val="bottom"/>
          </w:tcPr>
          <w:p>
            <w:pPr>
              <w:pStyle w:val="TableContents"/>
              <w:bidi w:val="0"/>
              <w:spacing w:before="0" w:after="283"/>
              <w:jc w:val="left"/>
              <w:rPr/>
            </w:pPr>
            <w:r>
              <w:rPr/>
              <w:t> </w:t>
            </w:r>
          </w:p>
        </w:tc>
      </w:tr>
      <w:tr>
        <w:trPr/>
        <w:tc>
          <w:tcPr>
            <w:tcW w:w="46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Underwriters</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643"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AG, London Branch</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64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International plc</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643"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pay for and accept delivery of the notes are subject to, among other things, the approval of certain legal matters by their counsel and certain other conditions. The underwriters are obligated to purchase all of the notes offered by us if they purchase any of the notes. The underwriting agreement also provides that if an underwriter defaults, the purchase commitments of non-defaulting underwriters may be increased or the offering may be terminated. 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notes directly to the public at the public offering prices that appear on the cover page of this prospectus supplement and to certain dealers at those prices less a selling concession not in excess of      % of the principal amount per 2032 note, and not in excess of      % of the principal amount per 2037 note. Any underwriter may allow, and such dealers may reallow, a selling concession not in excess of      % of the principal amount per 2032 note, and not in excess of      % of the principal amount per 2037 note, to certain other brokers or dealers. After the initial offering of the notes to the public, the underwriters may vary the offering prices and other selling terms of the notes from time to time. Sales of notes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discounts and commissions, will be approximately     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or contribute to payments that the underwriters may be required to make in respect of,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 We intend to apply to list each series of notes on the NYSE. Currently there is no public market for either series of notes. The listing application will be subject to approval by the NYSE. We currently expect trading in the notes on the NYSE to begin within 30 days after the original issue date. If such a listing is obtained, we have no obligation to maintain such listing, and we may delist either series of notes at any time. We have been advised by the underwriters that they presently intend to make a market in the notes after completion of the offering. However, they are under no obligation to do so and may discontinue any market-making activities at any time without any notice. No assurance can be given as to the liquidity of the trading market for the notes or that an active public market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notes will develop. If an active public market for such notes does not develop, the market price and liquidity of such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Goldman Sachs &amp; Co. LLC, in its role as Stabilizing Manager (or any person acting on behalf of the Stabilizing Manager) may over-allot notes or effect transactions with a view to supporting the market price of the notes at a level higher than that which might otherwise prevail. There is no assurance that the Stabilizing Manager (or persons acting on behalf of the Stabilizing Manager) will undertake any stabilization action. The underwriters also may impose a penalty bid. Penalty bids permit the underwriters to reclaim a selling concession from a syndicate member when the underwriters, in covering syndicate short positions or making stabilizing purchases, repurchase notes originally sold by that syndicate member.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delaying a decline on the market price of the notes. They may also cause the prices of the notes to be higher than the prices that would otherwise exist in the open market in the absence of these transactions. The underwriters may conduct these transactions on the NYSE, in the over-the-counter market or otherwise. If the underwriters engage in any of these transactions, they may discontinue any of them at any time, without notice. Neither we nor the underwriters make any representation or prediction as to the direction or magnitude of any effect that the transactions described above may have on the prices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have in the past received, and may in the future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have made or held, and may in the future make or hold, a broad array of investments, including serving as counterparties to certain derivative and hedging arrangements, and may have actively traded, and, in the future may actively trade, debt and equity securities (or related derivative securities), and financial instruments (including bank loans) for their own account and for the accounts of their customers and may have in the past and at any time in the future hold long and short positions in such securities and instruments. Such investment and securities activities may have involved, and in the future may involve, securities and instruments of Capital One.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One of the underwriters, Capital One Securities, Inc., is our affiliate. The distribution arrangements for this offering comply with the requirements of FINRA Rule 5121 regarding a FINRA member firm’s participation in the distribution of securities of an affiliate. In accordance with Rule 5121, no FINRA member firm that has a conflict of interest under Rule 5121 may make sales in this offering to any discretionary account without the prior approval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customer. Capital One Securities, Inc. may use this prospectus supplement and the accompanying prospectus in connection with offers and sales of the notes in the secondary market. Capital One Securities, Inc. may act as principal or agent in those transactions. Secondary market sales will be made at prices related to market prices at the time of sale. Capital One Securities, Inc. is not primarily responsible for managing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second to last paragraph of the cover page of this prospectus supplement, which is the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 notes prior to one business day before delivery of the notes will be required by virtue of the fact that the notes initially will settle in      business days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w:t>
      </w:r>
    </w:p>
    <w:p>
      <w:pPr>
        <w:pStyle w:val="TextBody"/>
        <w:bidi w:val="0"/>
        <w:spacing w:before="240" w:after="0"/>
        <w:jc w:val="left"/>
        <w:rPr>
          <w:rFonts w:ascii="Times New Roman" w:hAnsi="Times New Roman"/>
          <w:sz w:val="20"/>
        </w:rPr>
      </w:pPr>
      <w:r>
        <w:rPr>
          <w:rFonts w:ascii="Times New Roman" w:hAnsi="Times New Roman"/>
          <w:sz w:val="20"/>
        </w:rPr>
        <w:t xml:space="preserve">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offer of notes may be made to the public in that Relevant Member State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notes shall require us or the underwriters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Relevant Member State will be made pursuant to an exemption under the Prospectus Regulation from the requirement to publish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Regulation or supplement a prospectus pursuant to Article 23 of the Prospectus Regulation, in each case, in relation to such offer. Neither we nor the underwriters have authorized, nor do we or they authorize, the making of any offer of notes in circumstances in which an obligation arises for us or the underwriters to publish or supplement a prospectus for such offer.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(a) to “professional investors” as defined in the Securities and Futures Ordinance (Cap. 571, Laws of Hong Kong) and any rules made under that Ordinance or (b) in other circumstances which do not result in the document being a “prospectus” as defined in the Companies Ordinance (Cap. 32, Laws of Hong Kong) or which do not constitute an offer to the public within the meaning of that Ordinance. No advertisement, invitation or document relating to the notes may be issued or may be in the possession of any person for the purpose of the issue, whether in Hong Kong or elsewhere, which is directed at, or the contents of which are likely to be read by, the public in Hong Kong (except if permitted to do so under the laws of Hong Kong) other than with respect to the notes which are intended to be disposed of only to persons outside Hong Kong or only to “professional investors” as defined in the Securities and Futures Ordinance (Cap. 571, Laws of Hong Kong) or any rules made under that Ordinance.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No securities registration statement has been filed under Article 4, Paragraph 1 of the Financial Instruments and Exchange Law of Japan (Law No. 25 of 1948, as amended) (“FIEL”) in relation to the notes. The notes are being offered in a private placement to “qualified institutional investors” (tekikaku-</w:t>
      </w:r>
      <w:r>
        <w:rPr>
          <w:rFonts w:ascii="Times New Roman" w:hAnsi="Times New Roman"/>
          <w:i/>
          <w:sz w:val="20"/>
        </w:rPr>
        <w:t>kikantoshika</w:t>
      </w:r>
      <w:r>
        <w:rPr>
          <w:rFonts w:ascii="Times New Roman" w:hAnsi="Times New Roman"/>
          <w:sz w:val="20"/>
        </w:rPr>
        <w:t xml:space="preserve">) under Article 10 of the Cabinet Office Ordinance concerning Definitions provided in Article 2 of the FIEL (the Ministry of Finance Ordinance No. 14, as amended) (“QIIs”), under Article 2, Paragraph 3, Item 2 i of the FIEL. Any QII acquiring the notes in this offer may not transfer or resell those notes except to other QIIs. Accordingly, the notes are not being offered or sold, directly or indirectly, in Japan or to or for the account or benefit of any resident of Japan (which term as used herein means any person or entity resident in Japan, including any corporation or other entity organized under the laws of Japan) or to others for re-offering or resale, directly or indirectly, in Japan or to or for the account or benefit of any resident of Japan except for the private placement above pursuant to an exemption from the registration requirements of the FIEL and in compliance with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i/>
          <w:sz w:val="20"/>
        </w:rPr>
        <w:t xml:space="preserve">Singapore Securities and Futures Act Product Classification </w:t>
      </w:r>
      <w:r>
        <w:rPr>
          <w:rFonts w:ascii="Times New Roman" w:hAnsi="Times New Roman"/>
          <w:sz w:val="20"/>
        </w:rPr>
        <w:t xml:space="preserve">–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being distributed only to, and is directed only at, and any offer subsequently made may only be directed at persons who are “qualified investors” (as defined in paragraph 15 of Schedule 1 to the POATRs (as defined below)) (i) who have professional experience in matters relating to investments falling within Article 19(5) of the Financial Services and Markets Act 2000 (Financial Promotion) Order 2005, as amended (the “Order”) and/or (ii) who are high net worth companies falling within Article 49(2)(a) to (d) of the Order or persons to whom it may otherwise be lawfully communicated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No offer of notes may be made to the public in the United Kingdom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United Kingdom will be made in circumstances falling within Part 1 of Schedule 1 to the POATRs. Neither we nor the underwriters have authorized, nor do we or they authorize, the making of any offer of notes in circumstances that do not fall within Part 1 of Schedule 1 to the POATRs.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notes in the United Kingdom means the communication in any form and by any means of sufficient information on the terms of the offer and the notes to be offered so as to enable an investor to decide to buy or subscribe the notes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agreed that: </w:t>
      </w:r>
    </w:p>
    <w:p>
      <w:pPr>
        <w:pStyle w:val="TextBody"/>
        <w:bidi w:val="0"/>
        <w:spacing w:before="120" w:after="0"/>
        <w:jc w:val="left"/>
        <w:rPr>
          <w:rFonts w:ascii="Times New Roman" w:hAnsi="Times New Roman"/>
          <w:sz w:val="20"/>
        </w:rPr>
      </w:pPr>
      <w:r>
        <w:rPr>
          <w:rFonts w:ascii="Times New Roman" w:hAnsi="Times New Roman"/>
          <w:sz w:val="20"/>
        </w:rPr>
        <w:t xml:space="preserve">(a) 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 </w:t>
      </w:r>
    </w:p>
    <w:p>
      <w:pPr>
        <w:pStyle w:val="TextBody"/>
        <w:bidi w:val="0"/>
        <w:spacing w:before="240" w:after="0"/>
        <w:jc w:val="left"/>
        <w:rPr>
          <w:rFonts w:ascii="Times New Roman" w:hAnsi="Times New Roman"/>
          <w:sz w:val="20"/>
        </w:rPr>
      </w:pPr>
      <w:r>
        <w:rPr>
          <w:rFonts w:ascii="Times New Roman" w:hAnsi="Times New Roman"/>
          <w:sz w:val="20"/>
        </w:rPr>
        <w:t xml:space="preserve">(b) it has complied and will comply with all applicable provisions of the FSMA with respect to anything done by it in relation to the notes in, from or otherwise involving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28156_12"/>
      <w:bookmarkEnd w:id="14"/>
      <w:r>
        <w:rPr>
          <w:rFonts w:ascii="Times New Roman" w:hAnsi="Times New Roman"/>
          <w:b/>
          <w:sz w:val="20"/>
        </w:rPr>
        <w:t xml:space="preserve">VALIDITY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will be passed upon for us by Davis Polk &amp; Wardwell LLP, New York, New York. Mayer Brown LLP, New York, New York, will pass upon certain matters for the underwriters. </w:t>
      </w:r>
    </w:p>
    <w:p>
      <w:pPr>
        <w:pStyle w:val="TextBody"/>
        <w:bidi w:val="0"/>
        <w:spacing w:before="480" w:after="0"/>
        <w:jc w:val="center"/>
        <w:rPr>
          <w:rFonts w:ascii="Times New Roman" w:hAnsi="Times New Roman"/>
          <w:b/>
          <w:sz w:val="20"/>
        </w:rPr>
      </w:pPr>
      <w:bookmarkStart w:id="15" w:name="supptx28156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an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Discover Financial Services as of December 31, 2024 and 2023, and for each of the three years in the period ended December 31, 2024, incorporated by reference in this prospectus supplement by reference to our Current Report on Form 8-K/A filed with the SEC on May 22, 2025, and the effectiveness of Discover Financial Services’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28156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(File No. 333-277813) we have filed with the SEC under the Securities Act. The registration statement, including the attached exhibits and schedules, contains additional relevant information about us and the securities described in this prospectus supplement. The SEC’s rules and regulations allow us to omit certain information included in the registration statement from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under the Exchange Act. You may view the registration statement, reports, proxy statements and other information that we have filed electronically with the SEC at the SEC’s website at www.sec.gov and through our website at www.capitalone.com.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This means that we can disclose important information to you by referring you to another document filed separately with the SEC. The information incorporated by reference is considered to be a part of this prospectus supplement. Any information incorporated by reference in this prospectus supplement that we file with the SEC after the date of this prospectus supplement will automatically update and supersede information contained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 this prospectus supplement the documents listed below and any future filings that we make with the SEC under Section 13(a), 13(c), 14 or 15(d) of the Exchange Act prior to the termination of this offering, provided, however, that we are not incorporating by reference any information furnished (but not filed) under Item 2.02 or Item 7.01 of any Current Report on Form 8-K, except as may be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February  19, 2026 (including 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on March 25,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 ended March 31, 2026, filed on </w:t>
            </w:r>
            <w:hyperlink r:id="rId5">
              <w:r>
                <w:rPr>
                  <w:rStyle w:val="InternetLink"/>
                  <w:rFonts w:ascii="Times New Roman" w:hAnsi="Times New Roman"/>
                  <w:sz w:val="20"/>
                </w:rPr>
                <w:t>May 7, 2026</w:t>
              </w:r>
            </w:hyperlink>
            <w:r>
              <w:rPr>
                <w:rFonts w:ascii="Times New Roman" w:hAnsi="Times New Roman"/>
                <w:sz w:val="20"/>
              </w:rPr>
              <w:t xml:space="preserve"> and the quarterly period ended June  30, 2026, filed on </w:t>
            </w:r>
            <w:hyperlink r:id="rId6">
              <w:r>
                <w:rPr>
                  <w:rStyle w:val="InternetLink"/>
                  <w:rFonts w:ascii="Times New Roman" w:hAnsi="Times New Roman"/>
                  <w:sz w:val="20"/>
                </w:rPr>
                <w:t>July 28,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or Form 8-K/A, as applicable, filed on </w:t>
            </w:r>
            <w:hyperlink r:id="rId7">
              <w:r>
                <w:rPr>
                  <w:rStyle w:val="InternetLink"/>
                  <w:rFonts w:ascii="Times New Roman" w:hAnsi="Times New Roman"/>
                  <w:sz w:val="20"/>
                </w:rPr>
                <w:t>May  22, 2025</w:t>
              </w:r>
            </w:hyperlink>
            <w:r>
              <w:rPr>
                <w:rFonts w:ascii="Times New Roman" w:hAnsi="Times New Roman"/>
                <w:sz w:val="20"/>
              </w:rPr>
              <w:t xml:space="preserve">, </w:t>
            </w:r>
            <w:hyperlink r:id="rId8">
              <w:r>
                <w:rPr>
                  <w:rStyle w:val="InternetLink"/>
                  <w:rFonts w:ascii="Times New Roman" w:hAnsi="Times New Roman"/>
                  <w:sz w:val="20"/>
                </w:rPr>
                <w:t>January 22, 2026</w:t>
              </w:r>
            </w:hyperlink>
            <w:r>
              <w:rPr>
                <w:rFonts w:ascii="Times New Roman" w:hAnsi="Times New Roman"/>
                <w:sz w:val="20"/>
              </w:rPr>
              <w:t xml:space="preserve"> (Item 3.02 only) (Film No.  26552258), </w:t>
            </w:r>
            <w:hyperlink r:id="rId9">
              <w:r>
                <w:rPr>
                  <w:rStyle w:val="InternetLink"/>
                  <w:rFonts w:ascii="Times New Roman" w:hAnsi="Times New Roman"/>
                  <w:sz w:val="20"/>
                </w:rPr>
                <w:t>February  2, 2026</w:t>
              </w:r>
            </w:hyperlink>
            <w:r>
              <w:rPr>
                <w:rFonts w:ascii="Times New Roman" w:hAnsi="Times New Roman"/>
                <w:sz w:val="20"/>
              </w:rPr>
              <w:t xml:space="preserve">, </w:t>
            </w:r>
            <w:hyperlink r:id="rId10">
              <w:r>
                <w:rPr>
                  <w:rStyle w:val="InternetLink"/>
                  <w:rFonts w:ascii="Times New Roman" w:hAnsi="Times New Roman"/>
                  <w:sz w:val="20"/>
                </w:rPr>
                <w:t>February  6, 2026</w:t>
              </w:r>
            </w:hyperlink>
            <w:r>
              <w:rPr>
                <w:rFonts w:ascii="Times New Roman" w:hAnsi="Times New Roman"/>
                <w:sz w:val="20"/>
              </w:rPr>
              <w:t xml:space="preserve">, </w:t>
            </w:r>
            <w:hyperlink r:id="rId11">
              <w:r>
                <w:rPr>
                  <w:rStyle w:val="InternetLink"/>
                  <w:rFonts w:ascii="Times New Roman" w:hAnsi="Times New Roman"/>
                  <w:sz w:val="20"/>
                </w:rPr>
                <w:t>April  7, 2026</w:t>
              </w:r>
            </w:hyperlink>
            <w:r>
              <w:rPr>
                <w:rFonts w:ascii="Times New Roman" w:hAnsi="Times New Roman"/>
                <w:sz w:val="20"/>
              </w:rPr>
              <w:t xml:space="preserve">, </w:t>
            </w:r>
            <w:hyperlink r:id="rId12">
              <w:r>
                <w:rPr>
                  <w:rStyle w:val="InternetLink"/>
                  <w:rFonts w:ascii="Times New Roman" w:hAnsi="Times New Roman"/>
                  <w:sz w:val="20"/>
                </w:rPr>
                <w:t>April  23, 2026</w:t>
              </w:r>
            </w:hyperlink>
            <w:r>
              <w:rPr>
                <w:rFonts w:ascii="Times New Roman" w:hAnsi="Times New Roman"/>
                <w:sz w:val="20"/>
              </w:rPr>
              <w:t xml:space="preserve">, </w:t>
            </w:r>
            <w:hyperlink r:id="rId13">
              <w:r>
                <w:rPr>
                  <w:rStyle w:val="InternetLink"/>
                  <w:rFonts w:ascii="Times New Roman" w:hAnsi="Times New Roman"/>
                  <w:sz w:val="20"/>
                </w:rPr>
                <w:t>May  8, 2026</w:t>
              </w:r>
            </w:hyperlink>
            <w:r>
              <w:rPr>
                <w:rFonts w:ascii="Times New Roman" w:hAnsi="Times New Roman"/>
                <w:sz w:val="20"/>
              </w:rPr>
              <w:t xml:space="preserve">, </w:t>
            </w:r>
            <w:hyperlink r:id="rId14">
              <w:r>
                <w:rPr>
                  <w:rStyle w:val="InternetLink"/>
                  <w:rFonts w:ascii="Times New Roman" w:hAnsi="Times New Roman"/>
                  <w:sz w:val="20"/>
                </w:rPr>
                <w:t>June  9, 2026</w:t>
              </w:r>
            </w:hyperlink>
            <w:r>
              <w:rPr>
                <w:rFonts w:ascii="Times New Roman" w:hAnsi="Times New Roman"/>
                <w:sz w:val="20"/>
              </w:rPr>
              <w:t xml:space="preserve">, </w:t>
            </w:r>
            <w:hyperlink r:id="rId15">
              <w:r>
                <w:rPr>
                  <w:rStyle w:val="InternetLink"/>
                  <w:rFonts w:ascii="Times New Roman" w:hAnsi="Times New Roman"/>
                  <w:sz w:val="20"/>
                </w:rPr>
                <w:t>August  20, 2026</w:t>
              </w:r>
            </w:hyperlink>
            <w:r>
              <w:rPr>
                <w:rFonts w:ascii="Times New Roman" w:hAnsi="Times New Roman"/>
                <w:sz w:val="20"/>
              </w:rPr>
              <w:t xml:space="preserve">, and </w:t>
            </w:r>
            <w:hyperlink r:id="rId16">
              <w:r>
                <w:rPr>
                  <w:rStyle w:val="InternetLink"/>
                  <w:rFonts w:ascii="Times New Roman" w:hAnsi="Times New Roman"/>
                  <w:sz w:val="20"/>
                </w:rPr>
                <w:t>September 1,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documents incorporated by reference in this prospectus supplement, without charge, by requesting them from us by telephone at (703) 720-2455 or via email at investorrelations@capitalone.com. We have not, and the underwriters have not, authorized any other person to provide you with information different from, or in addition to, that contained in or incorporated by reference in this prospectus supplement (including any related free writing prospectus prepared by us or on our behalf, if any) and the accompanying prospectus. We and the underwriters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supplement, the accompanying prospectus or any document incorporated by reference is accurate as of any date other than the date of the applicable document.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1680 Capital One Drive, McLean, Virginia 22102 (telephone number (703) 720-1000). We maintain a website at www.capitalone.com. The information on our website is not part of this prospectus supplement nor is it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One Financial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Capital One Financial Corporation from time to time may issue and offer to sell, and selling securityholders may offer to resell, the senior or subordinated debt securities, preferred stock, either separately or represented by depositary shares, common stock, purchase contracts, warrants or units described in this prospectus, which we refer to collectively as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and, if applicable, in the information incorporated by reference in this prospectus and the prospectus supplement and related free writing prospectuses at the time of offering. You should read this prospectus, each applicable prospectus supplement, the information incorporated by reference, and any related free writing prospectuses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“COF.”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the section entitled “</w:t>
      </w:r>
      <w:hyperlink w:anchor="toc28156_5">
        <w:r>
          <w:rPr>
            <w:rStyle w:val="InternetLink"/>
            <w:rFonts w:ascii="Times New Roman" w:hAnsi="Times New Roman"/>
            <w:b/>
            <w:sz w:val="24"/>
          </w:rPr>
          <w:t>Risk Factors</w:t>
        </w:r>
      </w:hyperlink>
      <w:r>
        <w:rPr>
          <w:rFonts w:ascii="Times New Roman" w:hAnsi="Times New Roman"/>
          <w:b/>
          <w:sz w:val="24"/>
        </w:rPr>
        <w:t xml:space="preserve">” on page 7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any of the securities unless it is accompanied by a prospectus supplement. </w:t>
      </w:r>
    </w:p>
    <w:p>
      <w:pPr>
        <w:pStyle w:val="TextBody"/>
        <w:bidi w:val="0"/>
        <w:spacing w:before="240" w:after="0"/>
        <w:jc w:val="left"/>
        <w:rPr>
          <w:rFonts w:ascii="Times New Roman" w:hAnsi="Times New Roman"/>
          <w:i/>
          <w:sz w:val="20"/>
        </w:rPr>
      </w:pPr>
      <w:r>
        <w:rPr>
          <w:rFonts w:ascii="Times New Roman" w:hAnsi="Times New Roman"/>
          <w:i/>
          <w:sz w:val="20"/>
        </w:rPr>
        <w:t xml:space="preserve">These securities are not deposits or savings accounts or other obligations of a bank. These securities are not insured by the Federal Deposit Insurance Corporation or any other governmental agency or instrumentality.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11,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6">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7">
              <w:r>
                <w:rPr>
                  <w:rStyle w:val="InternetLink"/>
                  <w:rFonts w:ascii="Times New Roman" w:hAnsi="Times New Roman"/>
                  <w:sz w:val="20"/>
                </w:rPr>
                <w:t>Description of Preferred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8">
              <w:r>
                <w:rPr>
                  <w:rStyle w:val="InternetLink"/>
                  <w:rFonts w:ascii="Times New Roman" w:hAnsi="Times New Roman"/>
                  <w:sz w:val="20"/>
                </w:rPr>
                <w:t>Description of Common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9">
              <w:r>
                <w:rPr>
                  <w:rStyle w:val="InternetLink"/>
                  <w:rFonts w:ascii="Times New Roman" w:hAnsi="Times New Roman"/>
                  <w:sz w:val="20"/>
                </w:rPr>
                <w:t>Description of Other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0">
              <w:r>
                <w:rPr>
                  <w:rStyle w:val="InternetLink"/>
                  <w:rFonts w:ascii="Times New Roman" w:hAnsi="Times New Roman"/>
                  <w:sz w:val="20"/>
                </w:rPr>
                <w:t>Resale by Selling Securityholders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1">
              <w:r>
                <w:rPr>
                  <w:rStyle w:val="InternetLink"/>
                  <w:rFonts w:ascii="Times New Roman" w:hAnsi="Times New Roman"/>
                  <w:sz w:val="20"/>
                </w:rPr>
                <w:t>Book-Entry Procedures and Settlement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2">
              <w:r>
                <w:rPr>
                  <w:rStyle w:val="InternetLink"/>
                  <w:rFonts w:ascii="Times New Roman" w:hAnsi="Times New Roman"/>
                  <w:sz w:val="20"/>
                </w:rPr>
                <w:t>Certain Legal Matters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28156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“we,” “our,” “us,” or the “Corporation,” each refer to Capital One Financial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(the “SEC”) as a “well-known seasoned issuer,” as defined under Rule 405 under the Securities Act of 1933 (the “Securities Act”). Under this shelf registration process, we or any selling security holders to be named in a prospectus supplement may, from time to time, offer or sell any combination of the securities described in this prospectus in one or more offerings in amounts, at prices and on terms that will be determined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or any selling security holders to be named in a prospectus supplement may offer. You should read both this prospectus and any prospectus supplement together with any related free writing prospectuses and the additional information described under the heading “Where You Can Find More Information.” 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assume that the information contained in or incorporated by reference in this prospectus, any prospectus supplement or any such free writing prospectus is accurate only as of their respective dates or on the date or dates which are specified in such documents, and that any information in documents that we incorporate by reference is accurate only as of the date of such document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pro forma financial statements and other pro forma information incorporated by reference herein has been prepared on the basis of certain assumptions and estimates and is subject to other uncertainties and does not purport to reflect what our actual results of operations or financial condition or this other pro forma information would have been had the Transaction (as defined below) been consummated on the dates assumed for purposes of such pro forma financial statements and information or to be indicative of our financial condition, results of operations or metrics as of or for any future date or period. </w:t>
      </w:r>
    </w:p>
    <w:p>
      <w:pPr>
        <w:pStyle w:val="TextBody"/>
        <w:bidi w:val="0"/>
        <w:spacing w:before="480" w:after="0"/>
        <w:jc w:val="center"/>
        <w:rPr>
          <w:rFonts w:ascii="Times New Roman" w:hAnsi="Times New Roman"/>
          <w:b/>
          <w:sz w:val="20"/>
        </w:rPr>
      </w:pPr>
      <w:bookmarkStart w:id="18" w:name="toc28156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Statements that are not historical facts, including statements about our beliefs and expectations, are forward-looking statements within the meaning of Section 27A of the Securities Act, and Section 21E of the Securities Exchange Act of 1934, as amended (the “Exchange Act”). From time to time, we have made and will make forward-looking statements, including those that discuss, among other things: strategies, goals, outlook or other non-historical matters; projections, revenues, income, returns, expenses, assets, liabilities, capital and liquidity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 Forward-looking statements often use words such as “will,” “anticipate,” “target,” “expect,” “think,” “estimate,” “intend,” “plan,” “goal,” “believe,” “forecast,” “outlook” or other words of similar meaning. We have based these forward-looking statements on our current plans, estimates and projections, and you should not unduly rely on them. To the extent that any of the information in this prospectus, any accompanying prospectus supplement and the documents incorporated by reference herein and therein is forward-looking, it is intended to fit within the safe harbor for forward-looking information provided by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Numerous factors could cause our actual results to differ materially from those described in such forward-looking statements,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pending acquisition (the “Transaction”) of Discover Financial Services (“Discover”), including the risk that the cost savings and any revenue synergies from the Transaction may not be fully realized or may take longer than anticipated to be realized; disruption to our business and to Discover’s business as a result of the announcement and pendency of the Transaction; the risk that the integration of Discover’s business and operations into ours, including into our compliance management program, will be materially delayed or will be more costly or difficult than expected, or that we are otherwise unable to successfully integrate Discover’s business into ours, including as a result of unexpected factors or events; the failure to obtain the necessary approvals by our stockholders or by the stockholders of Discover; our ability and the ability of Discover to obtain required governmental approvals of the Transaction on the timeline expected, or at all, and the risk that such approvals may result in the imposition of conditions that could adversely affect us after the closing of the Transaction or adversely affect the expected benefits of the Transaction; reputational risk and the reaction of customers, suppliers, employees or other business partners of ours or of Discover to the Transaction; the failure of the closing conditions in the agreement and plan of merger entered into in connection with the Transaction (the “Merger Agreement”) to be satisfied, or any unexpected delay in closing the Transaction or the occurrence of any event, change or other circumstances that could give rise to the termination of the Merger Agreement; the dilution caused by our issuance of additional shares of our common stock in the Transaction; the possibility that the Transaction may be more expensive to complete than anticipated, including as a result of unexpected factors or events; risks related to management and oversight of our expanded business and operations following the Transaction due to the increased size and complexity of our business; the possibility of increased scrutiny by, and/or additional regulatory requirements of, governmental authorities as a result of the Transaction or the size, scope and complexity of our business operations following the Transaction; the outcome of any legal or regulatory proceedings that may be currently pending or later instituted against us (before or after the Transaction) or against Discover; and other factors that may affect our future results or the future results of Discover;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information of Discover and the pro forma financial information of Discover incorporated by reference herein may not be indicative of future results or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instability in the macroeconomic environment, resulting from factors that include, but are not limited to monetary policy actions, geopolitical conflicts or instability, labor shortages, government shutdowns, inflation and deflation, potential recessions, lower demand for credit, changes in deposit practices and payment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or fluctuations in credit losses and delinquencies and the impact of incorrectly estimated expected losses, which could result in inadequate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new and existing domestic and foreign laws, regulations and regulatory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receive dividends from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capital or liquidity levels or to comply with revised capital or liquidity requirements, which could have a negative impact on our financial results and our ability to return capital to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extensive use, reliability, and accuracy of the models, artificial intelligence (“AI”), and data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reductions in revenue, reputational damage, legal exposure and business disruptions that can result from a cyber-attack or other security incident on us or third parties (including their supply chains) with which we conduct business, including an incident that results in the theft, loss, manipulation or misuse of information, or the disabling of systems and access to information critical to business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changes or actions relating to any litigation, governmental investigation or regulatory enforcement action or matter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rate of deposit growth and changes in deposit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our strategic initiatives and operational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response to 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financial condition and results of operations may be adversely affected by merchants’ efforts to reduce the fees charged by credit and debit card networks to facilitate card transactions, and by legislation and regulation impacting such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integrating acquired businesses and loan portfolios, and our ability to realize anticipated benefits from announced transactions and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operate, and adapt our operational, technology and organizational infrastructure suitable for the nature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marketing efforts in attracting and retaining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risk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reputation of, or expectations regarding, us or the financial services industry with respect to practices, products, services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interest rates or volatility in the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develop, retain and motivate key senior leaders and skilled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change manifesting as physical or transition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assumptions or estimates in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soundness of other financial institutions and other third parties, actual or perceived;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invest successfully in and introduce digital and other technological developments across all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downgrade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from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regulations related to privacy, data protection and data security, in addition to compliance with our own privacy policies and contractual obligations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identified from time to time in our public disclosures, including in the reports that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factors referred to above in evaluating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these forward-looking statements, you should keep in mind these risks, uncertainties and other cautionary statements made in this prospectus, any accompanying prospectus supplement and in the documents incorporated by reference. For additional information that you should consider carefully in evaluating these forward-looking statements, see the section entitled “Risk Factors” on page 7 of this prospectus as well as the factors set forth under the “Risk Factors” section in any accompanying prospectus supplement and in any other documents incorporated or deemed to be incorporated by reference therein or herein, including our Annual Report on Form 10-K for the year ended December 31, 2023, as such discussion may be amended or updated by other reports filed by us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are not guarantees of future performance. They involve risks, uncertainties and assumptions, including the risk factors referred to above. Our future performance and actual results may differ materially from those expressed in forward-looking statements. Many of the factors that will determine these results and values are beyond our ability to control or predict. Any forward-looking statements made by us or on our behalf speak only as of the date they are made or as of the date indicated, and we do not undertake any obligation to update forward-looking statements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8156_3"/>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have filed with the SEC under the Securities Act. The registration statement, including the attached exhibits and schedules, contains additional relevant information about us and the securities described in this prospectus. The SEC’s rules and regulations allow us to omit certain information included in the registration statement from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under the Exchange Act. You may view the registration statement, reports, proxy statements and other information that we have filed electronically with the SEC at the SEC’s website at www.sec.gov and through our website at www.capitalone.com. The information on our website is not part of this prospectus nor is it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and any prospectus supplement. This means that we can disclose important information to you by referring you to another document filed separately with the SEC. The information incorporated by reference is considered to be a part of this prospectus and any prospectus supplement. Any information incorporated by reference in this prospectus that we file with the SEC after the date of this prospectus and any information incorporated by reference in any prospectus supplement will automatically update and supersede information contained in this prospectus and any prospectus supplement. Our SEC file number is 001-13300.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 this prospectus the documents listed below and any future filings that we make with the SEC under Section 13(a), 13(c), 14 or 15(d) of the Exchange Act prior to the termination of this offering, provided, however, that we are not incorporating by reference any information furnished (but not filed) under Item 2.02 or Item 7.01 of any Current Report on Form 8-K, except as may be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7">
              <w:r>
                <w:rPr>
                  <w:rStyle w:val="InternetLink"/>
                  <w:rFonts w:ascii="Times New Roman" w:hAnsi="Times New Roman"/>
                  <w:sz w:val="20"/>
                </w:rPr>
                <w:t>Form  10-K</w:t>
              </w:r>
            </w:hyperlink>
            <w:r>
              <w:rPr>
                <w:rFonts w:ascii="Times New Roman" w:hAnsi="Times New Roman"/>
                <w:sz w:val="20"/>
              </w:rPr>
              <w:t xml:space="preserve"> for the fiscal year ended December 31, 2023, filed on February 23, 2024 (including the portions of our Definitive Proxy Statement on Schedule 14A for our 2024 annual meeting of stockholders,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1, 2024</w:t>
              </w:r>
            </w:hyperlink>
            <w:r>
              <w:rPr>
                <w:rFonts w:ascii="Times New Roman" w:hAnsi="Times New Roman"/>
                <w:sz w:val="20"/>
              </w:rPr>
              <w:t xml:space="preserve">, </w:t>
            </w:r>
            <w:hyperlink r:id="rId19">
              <w:r>
                <w:rPr>
                  <w:rStyle w:val="InternetLink"/>
                  <w:rFonts w:ascii="Times New Roman" w:hAnsi="Times New Roman"/>
                  <w:sz w:val="20"/>
                </w:rPr>
                <w:t>February  5, 2024</w:t>
              </w:r>
            </w:hyperlink>
            <w:r>
              <w:rPr>
                <w:rFonts w:ascii="Times New Roman" w:hAnsi="Times New Roman"/>
                <w:sz w:val="20"/>
              </w:rPr>
              <w:t xml:space="preserve">, </w:t>
            </w:r>
            <w:hyperlink r:id="rId20">
              <w:r>
                <w:rPr>
                  <w:rStyle w:val="InternetLink"/>
                  <w:rFonts w:ascii="Times New Roman" w:hAnsi="Times New Roman"/>
                  <w:sz w:val="20"/>
                </w:rPr>
                <w:t>February  20, 2024</w:t>
              </w:r>
            </w:hyperlink>
            <w:r>
              <w:rPr>
                <w:rFonts w:ascii="Times New Roman" w:hAnsi="Times New Roman"/>
                <w:sz w:val="20"/>
              </w:rPr>
              <w:t xml:space="preserve">, </w:t>
            </w:r>
            <w:hyperlink r:id="rId21">
              <w:r>
                <w:rPr>
                  <w:rStyle w:val="InternetLink"/>
                  <w:rFonts w:ascii="Times New Roman" w:hAnsi="Times New Roman"/>
                  <w:sz w:val="20"/>
                </w:rPr>
                <w:t>February  22, 2024</w:t>
              </w:r>
            </w:hyperlink>
            <w:r>
              <w:rPr>
                <w:rFonts w:ascii="Times New Roman" w:hAnsi="Times New Roman"/>
                <w:sz w:val="20"/>
              </w:rPr>
              <w:t xml:space="preserve">, </w:t>
            </w:r>
            <w:hyperlink r:id="rId22">
              <w:r>
                <w:rPr>
                  <w:rStyle w:val="InternetLink"/>
                  <w:rFonts w:ascii="Times New Roman" w:hAnsi="Times New Roman"/>
                  <w:sz w:val="20"/>
                </w:rPr>
                <w:t>February  29, 2024</w:t>
              </w:r>
            </w:hyperlink>
            <w:r>
              <w:rPr>
                <w:rFonts w:ascii="Times New Roman" w:hAnsi="Times New Roman"/>
                <w:sz w:val="20"/>
              </w:rPr>
              <w:t xml:space="preserve"> and </w:t>
            </w:r>
            <w:hyperlink r:id="rId23">
              <w:r>
                <w:rPr>
                  <w:rStyle w:val="InternetLink"/>
                  <w:rFonts w:ascii="Times New Roman" w:hAnsi="Times New Roman"/>
                  <w:sz w:val="20"/>
                </w:rPr>
                <w:t>March 11,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on Amendment No. 1 to Form 8-A, dated October 17, 1994.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documents incorporated by reference in this prospectus, without charge, by requesting them from us by telephone at (703) 720-2455 or via email at investorrelations@capitalone.com. 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information that is or is considered to be incorporated by reference modifies or supersedes such statement. Any statement that is modified or superseded shall not, except as so modified or superseded,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1680 Capital One Drive, McLean, Virginia 22102 (telephone number (703) 720-1000). We maintain a website at www.capitalone.com. The information on our website is not part of this prospectus nor is it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8156_4"/>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described in the applicable prospectus supplement, we intend to use the net proceeds from the sale of our securities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28156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you decide whether to purchase any of our securities, you should consider carefully the risks and other information in this prospectus and any accompanying prospectus supplement and carefully read the risks described in the documents incorporated by reference in this prospectus and any accompanying prospectus supplement, including the discussion under the “Risk Factors” section in our most recent Annual Report on Form 10-K and any subsequent Quarterly Report on Form 10-Q, as such discussion may be amended or updated in other reports filed by us with the SEC. If any of these risks were to materialize, it could adversely affect our business, results of operations, liquidity and financial condition and could cause the value of our securities to decline. If applicable, we will include in any prospectus supplement a description of significant additional risks specific to investing in the offering described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28156_6"/>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debt securities which will be our direct unsecured general obligations. These debt securities are described below and will be senior debt securities or subordinated debt securities and any senior or subordinated debt securities that may be part of a unit, all of which are called debt securities. The senior debt securities will be issued under an indenture between us and The Bank of New York Mellon Trust Company, N.A., formerly known as The Bank of New York Trust Company, N.A. (as successor to Harris Trust and Savings Bank), as trustee (the “senior debt trustee”), dated as of November 1, 1996 (the “senior debt indenture”), as supplemented by the first supplemental indenture between us and the senior debt trustee, dated as of November 2, 2021 (the “supplemental indenture” and together, with the senior debt indenture, the “senior indenture”), and the subordinated debt securities will be issued under an indenture between us and The Bank of New York Mellon Trust Company, N.A., as trustee (the “subordinated debt trustee” and together with the senior debt trustee, the “indenture trustees”), dated as of August 29, 2006 (the “subordinated indenture” and together with the senior indenture, the “indentures”), subject in each case to such amendments or supplemental indentures as may be adopted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selected provisions of the indentures below. The summary is not complete and does not describe every aspect of the indentures. A copy of each of the senior indenture and the subordinated indenture has been filed as an exhibit to the registration statement of which this prospectus is a part and has been qualified as an indenture under the Trust Indenture Act of 1939, as amended, or the Trust Indenture Act. You should read the more detailed provisions of the applicable indenture, including the defined terms, for provisions that may be important to you. You should also consider applicable provisions of the Trust Indenture Act. In the summary below, we have included references to section numbers so that you can easily locate these provisions. The particular terms of any debt securities we offer will be described in the related prospectus supplement, along with any applicable modifications of or additions to the general terms of the debt securities described below and in the indentures. For a description of the terms of any series of debt securities, you should also review both the prospectus supplement relating to that series and the description of the debt securities set forth in this prospectus before making an investment decision. Capitalized terms used in the summary have the meanings specified in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$31.2 billion in senior and subordinated notes outstanding that mature in varying amounts from 2024 to 2034, of which $27.5 billion in aggregate outstanding amount was senior debt securities and $3.7 billion in aggregate outstanding amount was subordinated debt securities. $431 million in senior and subordinated debt securities was issued by our principal operating subsidiary, Capital One, National Association (“CONA”).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our direct unsecured obligations. The indentures do not significantly limit our operations. In particular, they do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amount of debt securities that we can issue under the indentures;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series of debt securities that we can issue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or otherwise restrict the total amount of debt that we or our subsidiaries may incur or the amount of other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or an acquiror to repurchase debt securities in the event of a “change in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any covenant or other provision that is specifically intended to afford any holder of the debt securities any protection in the event of highly leveraged transactions or similar transactions involving us or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with all of our other unsecured unsubordinated indebtedness. The subordinated debt securities will have a position junior to all of our senior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we are a holding company, dividends and fees from our subsidiaries are our principal source of revenues from which to repay the debt securities. Our subsidiaries engaged in the banking or credit card business can only pay dividends if they are in compliance with applicable United States federal and state regulatory requirements. Our right to participate in any asset distribution of any of our subsidiaries, including CONA, on liquidation, reorganization or otherwise, will rank junior to the rights of all creditors of that subsidiary (except to the extent that we may ourselves be an unsubordinated creditor of that subsidiary). As a result, the rights of holders of debt securities to benefit from those distributions will also be junior to the rights of all creditors of our subsidiaries. Consequently, the debt securities will be effectively subordinated to all liabilities of our subsidiaries. CONA is subject to claims by creditors for long-term and short-term debt obligations, including deposit liabilities, obligations for federal funds purchased and securities sold under repurchase agreements. There are also various legal limitations on the extent to which CONA may pay dividends or otherwise supply funds to us or our other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relating to the offering of any series of debt securities will include specific terms relating to the offering. These terms will include some or all of the following (unless specified otherwise or in context, section references are to sections of both the senior indenture and subordinated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series, form and type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senior or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under which the offered debt securities are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are to be issued in registered form, bearer form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offered debt securities and any limit upon the aggregate principal amount of the debt securities of such title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(including the maturity date) or method, if any, for determining such dates, on which the principal of the offered debt securities will be payable (and any provisions relating to extending or shortening the date on which the principal of the offered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method, if any, for determining the interest rate, the date or dates from which interest will accrue, or method, if any, for determining such dates, the interest payment dates, if any, on which interest will be payable, and whether and under what circumstances additional amounts on the offered debt securities will be payable; the manner in which payments with respect to the offered debt securities will be made; and the place or places where principal of, premium, if any, interest on and additional amount,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are redeemable at our option, and if so, the periods, prices, and other terms regarding such optional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obligated to redeem or repurchase the offered debt securities pursuant to any sinking fund or at the option of any holder thereof and, if so, the periods, prices, and other terms regarding such repurchase or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 portion of the principal amount of the offered debt securities payable upon the acceleration of the maturity date or the method by which such portion is to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payment of principal, premium, interest and any additional amount with respect to the offered debt securities, whether the principal of, premium, if any, interest on or additional amount, if any, with respect to the offered debt securities are to be payable, at our election or any holder’s election, in a currency other than that in which the offered debt securities are denominated, the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which that election may be made and the time and manner of determining the applicable exchange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or price at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premium, if any, interest on, or additional amount, if any, with respect to the offered debt securities may be determined by reference to an index, formula or other method, and if so, the terms and conditions and the manner in which such amounts will be determined and paid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covenants or additional events of default, covenant breaches or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offered debt securities may be defeased (which means that we would be discharged from our obligations by depositing sufficient cash or government securities to pay the principal of, premium, if any, interest on, or additional amount, if any, due to the stated maturity date or a redemption date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convertible into our common stock and, if so, the initial conversion price, the periods and terms of the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not inconsistent with the provisions of the indentures. (Section 301)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of the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issue senior and subordinated debt securities in registered form, in bearer form or in both registered and bearer form. Unless we indicate otherwise in the applicable prospectus supplement, each series of senior and subordinated debt securities will be issued in registered form, without coupons. Holders of “registered form” securities will be listed on the applicable indenture trustee’s register for the applicable debt securities. (Sections 201 and 305)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we will issue senior and subordinated debt securities in registered form, without coupons, in denominations of $1,000 or any integral multiple of $1,000. Unless we indicate otherwise in the applicable prospectus supplement, we will issue senior and subordinated debt securities in bearer form in denominations of $5,000 or any integral multiple of $5,000. There will be no service charge for any registration of transfer, exchange, redemption, or conversion of senior and subordinated debt securities, but we or the applicable indenture trustee may require the holder to pay any tax or other governmental charge that may be imposed in connection with any registration of a transfer or exchange of the senior or subordinated debt securities, other than certain exchanges not involving any transfer. (Sections 302 and 305) </w:t>
      </w:r>
    </w:p>
    <w:p>
      <w:pPr>
        <w:pStyle w:val="TextBody"/>
        <w:bidi w:val="0"/>
        <w:spacing w:before="240" w:after="0"/>
        <w:jc w:val="left"/>
        <w:rPr>
          <w:rFonts w:ascii="Times New Roman" w:hAnsi="Times New Roman"/>
          <w:sz w:val="20"/>
        </w:rPr>
      </w:pPr>
      <w:r>
        <w:rPr>
          <w:rFonts w:ascii="Times New Roman" w:hAnsi="Times New Roman"/>
          <w:sz w:val="20"/>
        </w:rPr>
        <w:t xml:space="preserve">If we issue the debt securities in bearer form, the debt securities will have interest coupons attached. “Bearer form” securities are payable to whomever physically holds them from time to time. Debt securities in bearer form will not be offered, sold, resold or delivered in connection with their original issuance in the United States or to any United States person other than through offices of certain United States financial institutions located outside the United States. Purchasers of debt securities in bearer form will be subject to certification procedures and may be affected by United States tax law limitations. These procedures and limitations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Transfer, Payment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payments on the debt securities will be made at our office or agency maintained for that purpose. We have appointed an agency in New York, New York to make payments on the debt securities; however, we may change our agent from time to time. Any transfer of the debt securities will be registerable at the same place. In addition, we may choose to pay interest by check mailed to the address in the security register of the person in whose name the debt security is registered at the close of business on the applicable record date. (Sections 1002 and 307)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we indicate otherwise in the applicable prospectus supplement, any interest and any additional amounts with respect to any debt securities which is payable, but not punctually paid or duly provided for, may be paid to the holders as of a special record date fixed by the applicable indenture trustee or in any other lawful manner. (Section 307)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payments of principal of, premium, if any, and interest on debt securities in bearer form will be made at the office outside the United States specified in the applicable prospectus supplement and as we may designate from time to time. Payment can also be made by check or by transfer to an account maintained by the payee with a bank located outside the United States. Unless we indicate otherwise in the applicable prospectus supplement, payment on debt securities in bearer form will be made only if the holder surrenders the coupon relating to the interest payment date. We will not make any payments on any debt security in bearer form at any office or agency in the United States, by check mailed to any address in the United States or by transfer to any account maintained with a bank located in the United States. (Sections 1001 and 1002) </w:t>
      </w:r>
    </w:p>
    <w:p>
      <w:pPr>
        <w:pStyle w:val="TextBody"/>
        <w:bidi w:val="0"/>
        <w:spacing w:before="360" w:after="0"/>
        <w:jc w:val="left"/>
        <w:rPr>
          <w:rFonts w:ascii="Times New Roman" w:hAnsi="Times New Roman"/>
          <w:b/>
          <w:sz w:val="20"/>
        </w:rPr>
      </w:pPr>
      <w:r>
        <w:rPr>
          <w:rFonts w:ascii="Times New Roman" w:hAnsi="Times New Roman"/>
          <w:b/>
          <w:sz w:val="20"/>
        </w:rPr>
        <w:t xml:space="preserve">Global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for a series of debt securities, each series of debt securities will be issued in global form, which means that we will deposit with the depositary identified in the applicable prospectus supplement (or its custodian) one or more certificates representing the entire series, as described below under “Book-Entry Procedures and Settlement.” Global debt securities may be issued in either temporary or permanent form. (Sections 201 and 203)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any limitations and restrictions relating to a series of global senior or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Under the senior indenture, we agree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as described in this prospectus under “Description of Debt Securities—Consolidation, Merger and Sale of Assets,” we will preserve and keep in full force and effect our corporate existence and the corporate existence of each of our significant subsidiaries (as defined below) and our rights (charter and statutory) and franchises and those of each of our significant subsidiaries. However, neither we nor any of our significant subsidiaries will be required to preserve any of these rights or franchises if we or the significant subsidiary, as the case may be, determine that the preservation of these rights or franchises is no longer desirable in the conduct of our or its business, as applicable, and that the loss of these rights or franchises is not disadvantageous in any material respect to the holders of the senior debt securities. (Section 1007);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indenture contains a covenant by us limiting our ability to dispose of the voting stock of a significant subsidiary. A “significant subsidiary” is any of our majority-owned subsidiaries the consolidated assets of which (as reflected on our consolidated balance sheet) constitute 20% or more of our consolidated assets. This covenant generally provides that, except as permitted as described in this prospectus under “Description of Debt Securities—Consolidation, Merger and Sale of Assets,” as long as any of the senior debt securities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any of our significant subsidiaries will sell, assign, transfer or otherwise dispose of the voting stock of a significant subsidiary or securities convertible into or options, warrants or rights to subscribe for or purchase such voting stock, and we will not permit a significant subsidiary to issue voting stock, or securities convertible into or options, warrants or rights to subscribe for or purchase such voting stock, in each case if, after giving effect to such transaction and to the issuance of the maximum number of shares of voting stock of the significant subsidiary issuable upon the exercise of all such convertibles securities, options, warrants or rights, such significant subsidiary would cease to be a controlled subsidiary (as defined below);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permit a significant subsidiary to merge or consolidate with or into any corporation unless the survivor is us or is, or upon consummation of the merger or consolidation will become, a controlled subsidiary, or to lease, sell or transfer all or substantially all of its properties and assets except to us or a controlled subsidiary or a person that upon such lease, sale or transfer will become a controlled subsidiary. (Section 1005).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“controlled subsidiary” is a significant subsidiary at least 80% of the voting stock of which is owned by us and/or one or more of our controlled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described above do not apply to certain transactions required by law, rule, regulation or governmental order (including as a condition to an acquisition of another entity by us) or to any sale or transfer of assets in a securitization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the subordinated indenture, we agree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as described in this prospectus under “Description of Debt Securities—Consolidation, Merger and Sale of Assets,” we will preserve and keep in full force and effect our corporate existence and our rights (charter and statutory) and franchises. However, we will not be required to preserve any of these rights or franchises if we determine that the preservation of these rights or franchises is no longer desirable in the conduct of our business and that the loss of these rights or franchises is not disadvantageous in any material respect to the holders of the subordinated debt securities. (Section 1007)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senior indenture contains a covenant by us limiting our ability to create liens on the voting stock of a significant subsidiary. This covenant generally provides that, as long as any of the senior debt securities are outstanding, neither we nor any of our subsidiaries will create, assume or incur any pledge, encumbrance or lien, as security for indebtedness for borrowed money, upon a significant subsidiary’s voting stock, or upon securities convertible into or options, warrants or rights to subscribe for or purchase, a significant subsidiary’s voting stock, directly or indirectly, to secure indebtedness for borrowed money, if, treating such pledge, encumbrance or lien as a transfer of the significant subsidiary’s voting stock or securities convertible into or options, warrants or rights to subscribe for or purchase the significant subsidiary’s voting stock to the secured party (in each case after giving effect to such transaction and to the issuance of the maximum number of shares of voting stock of the significant subsidiary issuable upon the exercise of all such convertible securities, options, warrants or rights), the significant subsidiary would not continue to be a controlled subsidiary, unless the senior debt securities are equally and ratably secured with any and all such indebtedness by this pledge, encumbrance or lien. (Section 1006)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the following provisions will apply to subordinated debt securities. Section references are to sections of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Subordinated debt securities will be subordinated in right of payment to all “senior indebtedness,” as defined below. Payments on subordinated debt securities also will be effectively subordinated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involved in insolvency, bankruptcy or similar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of any series of our subordinated debt securities is accelerated because of certain events of bankruptcy, insolvency or reorganization of us or a major depositary institution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the principal of, premium, if any, or interest on any senior indebtedness when due, or an event of default occurs and is continuing with respect to any senior indebtedness permitting the holders of such senior indebtedness to declare the senior indebtedness due and payable prior to the date on which it would otherwise have become due and payable. (Section 1601)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this subordination, some of our creditors may receive more, ratably, than holders of subordinated debt securities if we are insolvent. </w:t>
      </w:r>
    </w:p>
    <w:p>
      <w:pPr>
        <w:pStyle w:val="TextBody"/>
        <w:bidi w:val="0"/>
        <w:spacing w:before="240" w:after="0"/>
        <w:jc w:val="left"/>
        <w:rPr>
          <w:rFonts w:ascii="Times New Roman" w:hAnsi="Times New Roman"/>
          <w:sz w:val="20"/>
        </w:rPr>
      </w:pPr>
      <w:r>
        <w:rPr>
          <w:rFonts w:ascii="Times New Roman" w:hAnsi="Times New Roman"/>
          <w:sz w:val="20"/>
        </w:rPr>
        <w:t xml:space="preserve">After all payments have been made to the holders of senior indebtedness, any holders of subordinated debt securities will be subrogated to the rights of holders of senior indebtedness to receive payments or distributions of cash, property or securities from us applicable to such senior indebtedness until all amounts owing on the subordinated debt securities have been paid in full. (Section 1602) </w:t>
      </w:r>
    </w:p>
    <w:p>
      <w:pPr>
        <w:pStyle w:val="TextBody"/>
        <w:bidi w:val="0"/>
        <w:spacing w:before="240" w:after="0"/>
        <w:jc w:val="left"/>
        <w:rPr>
          <w:rFonts w:ascii="Times New Roman" w:hAnsi="Times New Roman"/>
          <w:sz w:val="20"/>
        </w:rPr>
      </w:pPr>
      <w:r>
        <w:rPr>
          <w:rFonts w:ascii="Times New Roman" w:hAnsi="Times New Roman"/>
          <w:sz w:val="20"/>
        </w:rPr>
        <w:t xml:space="preserve">In addition, holders of subordinated debt securities may be fully subordinated to interests held by the U.S. government in the event that we enter into a receivership, insolvency, liquidation or similar proceeding. </w:t>
      </w:r>
    </w:p>
    <w:p>
      <w:pPr>
        <w:pStyle w:val="TextBody"/>
        <w:bidi w:val="0"/>
        <w:spacing w:before="240" w:after="0"/>
        <w:jc w:val="left"/>
        <w:rPr/>
      </w:pPr>
      <w:r>
        <w:rPr/>
        <w:t>“</w:t>
      </w:r>
      <w:r>
        <w:rPr>
          <w:rFonts w:ascii="Times New Roman" w:hAnsi="Times New Roman"/>
          <w:sz w:val="20"/>
        </w:rPr>
        <w:t xml:space="preserve">Senior indebtedness” includes: (1) the principal of, premium, if any, and interest on, whether outstanding now or incurred later, (a) all indebtedness for money borrowed by us, including indebtedness of others that we guarantee, other than the subordinated debt securities and the junior subordinated debt securities and other indebtedness that is expressly stated as not senior, and (b) any amendments, renewals, extensions, modifications and refundings of any indebtedness, unless in either case the instrument evidencing the indebtedness provides that it is not senior in right of payment to the subordinated debt securities; (2) all our capital lease obligations and any synthetic lease or tax retention operating lease; (3) all our obligations issued or assumed as the deferred purchase price of property, and all conditional sale or title retention agreements, but excluding trade accounts payable in the ordinary course of business; (4) all our obligations, contingent or otherwise, in respect of any letters of credit, bankers acceptances, security purchase facilities and similar credit transactions; (5) all our obligations in respect of interest rate swap, cap or similar agreements, interest rate future or options contracts, currency swap agreements, currency future or option contracts, commodity contracts and other similar agreements; (6) all obligations of the type referred to in clauses (1) through (5) of other persons for the payment of which we are responsible or liable as obligor, guarantor or otherwise; and (7) all obligations of the type referred to in clauses (1) through (6) of other persons secured by any lien on any of our property or assets whether or not such obligation is assumed by us.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does not include: (1) subordinated debt securities; (2) any indebtedness that by its terms is subordinated to, or ranks on an equal basis with, subordinated debt securities; and (3) any indebtedness between or among us and our affiliates, including (a) any junior subordinated debt securities, (b) trust preferred securities guarantees and (c) all other debt securities and guarantees in respect of those debt securities, issued to any trust, or a trustee of such trust, partnership or other entity affiliated with us which is our financing vehicle in connection with the issuance by such financing vehicle of trust preferred securities or other securities guaranteed by us pursuant to an instrument that ranks on an equal basis with, or junior to, the trust preferred securities guarantees.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generally permits a consolidation or merger between us and another corporation and the conveyance, transfer or lease by us of all or substantially all of our property or assets, in each case without the consent of the holders of any outstanding debt securities, subject to certain requirements. Under each indenture, these transactions are permitted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purchaser is a corporation organized under the laws of the United States of America, any state thereof or the District of Columbia and expressly assumes our obligations on the debt securities under the applicable indenture, except that in the case of the senior indenture, this requirement does not apply to the conveyance, transfer or lease by us of all or substantially all of our assets to one or more of our subsidiaries where we own or control directly or indirectly more than 50% of the shares of voting stock (as a result, if we were to undertake such a transaction, such subsidiary or subsidiaries would not be required to assume our obligations under the notes and we would remain the sole obligor on such senior debt securities, including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which, after notice or lapse of time, would become an event of default or, in the case of the senior indenture, a covenant breach, will have occurred and be continuing pursuant to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or the successor person has delivered to the applicable indenture trustee an officer’s certificate and an opinion of counsel stating the consolidation, merger, transfer or lease, as applicable, complied with these provisions and all conditions precedent of the applicable indenture. (Section 801)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consolidation, merger, conveyance, transfer or lease of this kind (other than, where permitted and described above in the case of the senior indenture, a conveyance, transfer or lease by us of all or substantially all of our assets to one or more of our subsidiaries where we own or control directly or indirectly more than 50% of the shares of voting stock), the successor shall be substituted for us as if it had been an original party to the indentures and the debt securities. Thereafter, such successor may exercise our rights and powers under the indentures and the debt securities and, except in the case of a lease, we will be released from all of our obligations and covenants under those documents. (Section 802)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Registered debt securities may be exchanged for an equal aggregate principal amount of registered debt securities of the same series containing identical terms and provisions in authorized denominations requested by the holders upon surrender of the registered debt securities at an office or agency that we maintain for that purpose and upon fulfillment of all other requirements set forth in the indentures. (Section 305)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Exchangeability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debt securities that are convertible into our common stock or exchangeable into other securities will be entitled to convert or exchange the debt securities under some circumstances. The terms of any conversion or exchange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Covenant Breach </w:t>
      </w:r>
    </w:p>
    <w:p>
      <w:pPr>
        <w:pStyle w:val="TextBody"/>
        <w:bidi w:val="0"/>
        <w:spacing w:before="12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for any series of debt securities, events of default with respect to any series of debt securities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senior indenture, failure to pay the interest on any debt security of such series when due and payable, and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failure to pay the interest or any additional amounts payable, on any debt security of such series when due and payable, and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of or any premium on any debt security of such series when due and payable at its maturity and, in the case of the senior debt securities,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debt securities, failure to deposit any sinking fund payment when and as due by the terms of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debt securities, failure to perform or the breach of any covenant or warranty in the subordinated indenture or the subordinated debt securities (other than a covenant or warranty included solely for the benefit of a series of debt securities other than such series) that continues for 60 days after we are given written notice by the subordinated debt trustee or we and the subordinated debt trustee are given written notice by the holders of at least 25% of the outstanding debt securities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us and, in the case of the subordinated debt securities, a major depositary institution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included in any indenture or supplemental indenture.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default occurs with respect to any series of senior or subordinated debt securities, the applicable indenture trustee will give the holders of those debt securities notice of the default as and to the extent provided by the Trust Indenture Act and as described in the applicable indenture. (Section 501)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Breaches under the Senior Indenture </w:t>
      </w:r>
    </w:p>
    <w:p>
      <w:pPr>
        <w:pStyle w:val="TextBody"/>
        <w:bidi w:val="0"/>
        <w:spacing w:before="120" w:after="0"/>
        <w:jc w:val="left"/>
        <w:rPr>
          <w:rFonts w:ascii="Times New Roman" w:hAnsi="Times New Roman"/>
          <w:sz w:val="20"/>
        </w:rPr>
      </w:pPr>
      <w:r>
        <w:rPr>
          <w:rFonts w:ascii="Times New Roman" w:hAnsi="Times New Roman"/>
          <w:sz w:val="20"/>
        </w:rPr>
        <w:t xml:space="preserve">Under the senior indenture, any one of the following events constitutes a “covenant breach”: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deposit any sinking fund payment when and as due by the terms of any debt security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covenant or warranty in the senior indenture or the senior debt securities (other than a covenant or warranty specified as an event of default or included solely for the benefit of a series of senior debt securities other than such series) that continues for 90 days after we are given written notice by the senior debt trustee or we and the senior debt trustee are given written notice by the holders of at least 25% in principal amount of the outstanding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change, eliminate or add to the definition of “covenant breach” with respect to any particular series of senior debt securities, as indicated in the applicable prospectus supplement relating to such series. A covenant breach will not be an event of default with respect to any senior debt security except to the extent otherwise specified in or provided pursuant to, the senior indenture or a supplement thereto, with respect to such series of senior debt securities. (Section 101)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if an Event of Default or Covenant Breach Occurs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series of senior debt securities, if an event of default occurs and continues, either the senior debt trustee or the holders of not less than 25% of the aggregate principal amount of the outstanding senior debt securities of that series may declare the principal amount (or such lesser amount as may be provided for the senior debt securities of such series) of all the senior debt securities of that series to be due and payable immediately by a notice in writing to the Company (and to the senior debt trustee if given by holders of such series of senior debt securities). Unless otherwise specified for a series of senior debt securities, there shall be no other rights of acceleration for such series of senior debt securities. In addition, for the avoidance of doubt, unless otherwise specified for a series of senior debt securities, neither the senior debt trustee nor holders of such series of senior debt securities shall have the right to accelerate the payment of such series of senior debt securities, nor shall the payment of any such series of senior debt securities be otherwise accelerated, as a result of a covenant breach. Furthermore, for the avoidance of doubt, if an event of default as described under the senior indenture is specified for a series of senior debt securities, there will be no right to accelerate payment of such series of senior debt securities unless such acceleration rights are granted specifically for such series of senior debt securities as contemplated by the senior debt indenture. (Section 502)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series of subordinated debt securities, payment of the principal of such series of subordinated debt securities may be accelerated only in the case of certain events of bankruptcy, insolvency or reorganization of us or one of our major depositary institution subsidiaries. Subordinated debt securities cannot be accelerated if we default in our performance of any other covenant, including payment of principal or interest. (Section 502) </w:t>
      </w:r>
    </w:p>
    <w:p>
      <w:pPr>
        <w:pStyle w:val="TextBody"/>
        <w:bidi w:val="0"/>
        <w:spacing w:before="240" w:after="0"/>
        <w:jc w:val="left"/>
        <w:rPr>
          <w:rFonts w:ascii="Times New Roman" w:hAnsi="Times New Roman"/>
          <w:sz w:val="20"/>
        </w:rPr>
      </w:pPr>
      <w:r>
        <w:rPr>
          <w:rFonts w:ascii="Times New Roman" w:hAnsi="Times New Roman"/>
          <w:sz w:val="20"/>
        </w:rPr>
        <w:t xml:space="preserve">Any time after a declaration of acceleration has been made and before a judgment or decree for payment of the money due has been obtained the majority holders may, under certain circumstances, void the declaration.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Majority holders” are the holders of a majority of the aggregate principal amount of outstanding senior or subordinated debt securities of that series. (Section 502) </w:t>
      </w:r>
    </w:p>
    <w:p>
      <w:pPr>
        <w:pStyle w:val="TextBody"/>
        <w:bidi w:val="0"/>
        <w:spacing w:before="240" w:after="0"/>
        <w:jc w:val="left"/>
        <w:rPr>
          <w:rFonts w:ascii="Times New Roman" w:hAnsi="Times New Roman"/>
          <w:sz w:val="20"/>
        </w:rPr>
      </w:pPr>
      <w:r>
        <w:rPr>
          <w:rFonts w:ascii="Times New Roman" w:hAnsi="Times New Roman"/>
          <w:sz w:val="20"/>
        </w:rPr>
        <w:t xml:space="preserve">The majority holders may direct the time, method and place of conducting any proceeding for any remedy available to the applicable indenture trustee, or exercising any trust or power conferred on the applicable indenture trustee, for the senior or subordinated debt securities of that series. (Section 512). The applicable indenture trustee generally is not obligated to exercise any of its rights or powers under any senior or subordinated indenture at the request or direction of any of the holders, unless those holders offer the applicable indenture trustee reasonable indemnity. (Section 601) </w:t>
      </w:r>
    </w:p>
    <w:p>
      <w:pPr>
        <w:pStyle w:val="TextBody"/>
        <w:bidi w:val="0"/>
        <w:spacing w:before="240" w:after="0"/>
        <w:jc w:val="left"/>
        <w:rPr>
          <w:rFonts w:ascii="Times New Roman" w:hAnsi="Times New Roman"/>
          <w:sz w:val="20"/>
        </w:rPr>
      </w:pPr>
      <w:r>
        <w:rPr>
          <w:rFonts w:ascii="Times New Roman" w:hAnsi="Times New Roman"/>
          <w:sz w:val="20"/>
        </w:rPr>
        <w:t xml:space="preserve">A holder does not have the right to institute a proceeding with respect to the indenture, for the appointment of a receiver or a trustee, or for any other remedy,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written notice to the applicable indenture trustee of a continuing event of default or, in the case of the senior indenture, covenant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of the aggregate principal amount of the outstanding debt securities of the applicable series have made a written request to the applicable indenture trustee to institute proceedings in respect of such event of default or, in the case of the senior indenture, covenant breach, in its own name as trustee under the applicable indenture, and such holders have offered to the applicable indenture trustee reasonable indemnity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indenture trustee has failed to institute a proceeding within 60 days after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indenture trustee has not received an inconsistent direction from the majority holders within such 60-day period. (Section 507)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these limitations do not apply to a suit for the enforcement of payment or conversion rights instituted on or after the respective due dates of the senior and subordinated debt securities of the applicable series. (Section 508) </w:t>
      </w:r>
    </w:p>
    <w:p>
      <w:pPr>
        <w:pStyle w:val="TextBody"/>
        <w:bidi w:val="0"/>
        <w:spacing w:before="360" w:after="0"/>
        <w:jc w:val="left"/>
        <w:rPr>
          <w:rFonts w:ascii="Times New Roman" w:hAnsi="Times New Roman"/>
          <w:b/>
          <w:sz w:val="20"/>
        </w:rPr>
      </w:pPr>
      <w:r>
        <w:rPr>
          <w:rFonts w:ascii="Times New Roman" w:hAnsi="Times New Roman"/>
          <w:b/>
          <w:sz w:val="20"/>
        </w:rPr>
        <w:t xml:space="preserve">Waivers of Certain Covenants and Past Defaults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of the aggregate principal amount of the outstanding senior and subordinated debt securities of each series may, on behalf of all holders of that series, waive our compliance with certain restrictive provisions of the applicable indenture. They also may waive any past default with respect to that series under the applicable indenture, except (1) a default in the payment of principal of, premium, if any, interest on or any additional amount, or (2) a default in the performance of certain covenants which cannot be modified without the consent of all of the holders of the applicable series. For purposes of this provision, a “default” means any event which is, or after notice or the lapse of time or both would become, an event of default, or, with respect to the senior indenture, an event of default or a covenant breach, with respect to the securities of such series. (Sections 513 and 1008)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the Indentures </w:t>
      </w:r>
    </w:p>
    <w:p>
      <w:pPr>
        <w:pStyle w:val="TextBody"/>
        <w:bidi w:val="0"/>
        <w:spacing w:before="120" w:after="0"/>
        <w:jc w:val="left"/>
        <w:rPr>
          <w:rFonts w:ascii="Times New Roman" w:hAnsi="Times New Roman"/>
          <w:i/>
          <w:sz w:val="20"/>
        </w:rPr>
      </w:pPr>
      <w:r>
        <w:rPr>
          <w:rFonts w:ascii="Times New Roman" w:hAnsi="Times New Roman"/>
          <w:i/>
          <w:sz w:val="20"/>
        </w:rPr>
        <w:t xml:space="preserve">Supplemental Indentures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we and the applicable indenture trustee may modify or amend an indenture, with the consent of the holders of at least 66-2/3% in principal amount of each series of the senior or subordinated debt securities affected by the modification or amendment. However, no modification or amendment may, without the consent of each holder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due date of the principal of, or any premium or installment of interest on, or any additional amounts with respect to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of interest on, or any additional amounts or premium, if any, payable with respect to any debt security, or, except as otherwise permitted, change an obligation to pay additional amounts with respect to any debt security, or adversely affect the right of repayment at the option of any holder,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the currency in which the principal of, any premium, if any, or interest on, or any additional amounts with respect to any debt security is payable or impair the right to institute suit for the enforcement of any such payment on or after the due date thereof (or, in the case of redemption, on or after the redemption date or, in the case of repayment at the option of the holder, on or after the date for 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outstanding debt securities of any series the consent of whose holders is required for any supplemental indenture, or the consent of whose holders is required for any waiver (of compliance with certain provisions of the applicable indenture or certain defaults thereunder and their consequences) under the applicable indenture or reduce requirements for quorum or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in the applicable indenture provisions described above under “Waivers of Certain Covenants and Past Defaults” and in this section “Amendments to the Indentures—Supplemental Indentures with Consent of Holders,” except to increase any percentage in principal amount of outstanding debt securities of any series the consent of whose holders is required for a supplemental indenture or waiver, or to provide that certain other provisions of the applicable indenture cannot be modified or waived without the consent of the holders of each outstanding debt security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right of any holder to convert any convertible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modify the subordination provisions in a manner adverse to the holders of the subordinated debt securities. (Section 902)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Supplemental Indentures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applicable prospectus supplement, we and the applicable indenture trustee may modify and amend an indenture without the consent of any holder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and the assumption by the successor of our covenants in the applicable indenture and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of all or any series of debt securities or to surrender any right or power conferred upon us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the applicable indenture to provide that bearer debt securities may be registrable as to principal, to change or eliminate restrictions on payments with respect to debt securities, to permit registered securities to be exchanged for bearer securities, to permit bearer securities to be exchanged for bearer securities of other authorized denominations or to permit or facilitate the issuance of securities in uncertificated form, provided any such action does not adversely affect the interests of the holders of any debt securities or related coupons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and to add to or change any provisions of the applicable indenture as necessary to provide for or facilitate the administration of the trusts under the applicable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correct or supplement any provision in the applicable indenture that may be defective or inconsistent with any other provision of the applicable indenture, or to make any other provisions with respect to matters or questions arising under the applicable indenture which do not adversely affect the interests of the holders of any debt securities or related coupons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the conditions, limitations and restrictions on the authorized amount, terms or purposes of issue, authentication and delivery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applicable indenture to the extent necessary to permit or facilitate the defeasance and discharge of any series of debt securities, provided the action does not adversely affect the interests of the holders of any debt securities of that series or related coupons or any other debt securities or related coupons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supplement any provision of the applicable indenture or any supplemental indenture, provided that the amendment or supplement does not materially adversely affect the interests of the holders of outstanding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certain provisions with respect to conversion rights. (Section 901)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provides for defeasance, we may at any time elect to defease and will be deemed to have paid and discharged our obligations on the applicable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with respect to the senior indenture, covenant breach, has occurred and is continuing, or would occur upon the giving of notice or lapse of time, at the time of the satisfaction and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we have irrevocably deposited with the applicable indenture trustee sufficient cash or government securities to pay when due all the principal of, premium, if any, interest on and additional amounts, if any, with respect to the applicable debt securities, through the stated maturity or redemption date of the applicable debt securities (or, in the case of debt securities which have become due and payable, through the date of such deposit), or (2) we have properly fulfilled such other means of satisfaction and discharge as is provided in or pursuant to the applicable indenture for the applicable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all other sums payable under the applicable indenture with respect to the applicable debt securities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applicable indenture trustee a certificate of our independent public accountants certifying as to the sufficiency of the amounts deposited by us, and an officers’ certificate and opinion of counsel as required by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applicable indenture trustee an opinion of counsel to the effect that the holders will have no federal income tax consequences as a result of the deposit or termination and if the applicable debt securities are listed on the New York Stock Exchange, an opinion of counsel that the applicable debt securities will not be delisted.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defeasance, the holders of the applicable debt securities of the series will not be entitled to the benefits of the applicable indenture, except for the registration of transfer or exchange and the replacement of stolen, lost or mutilated applicable debt securities and the requirements regarding the maintenance of an office or agency where the applicable debt securities can be surrendered for payment or registration of transfer or exchange and the right of the holders of the applicable debt securities to receive from the deposited funds payment of the principal of, premium, if any, interest on, and any additional amounts, if any, with respect to the applicable debt securities when due. (Section 402) </w:t>
      </w:r>
    </w:p>
    <w:p>
      <w:pPr>
        <w:pStyle w:val="TextBody"/>
        <w:bidi w:val="0"/>
        <w:spacing w:before="360" w:after="0"/>
        <w:jc w:val="left"/>
        <w:rPr>
          <w:rFonts w:ascii="Times New Roman" w:hAnsi="Times New Roman"/>
          <w:b/>
          <w:sz w:val="20"/>
        </w:rPr>
      </w:pPr>
      <w:r>
        <w:rPr>
          <w:rFonts w:ascii="Times New Roman" w:hAnsi="Times New Roman"/>
          <w:b/>
          <w:sz w:val="20"/>
        </w:rPr>
        <w:t xml:space="preserve">Determining the Outstanding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or pursuant to the applicable indenture, we will consider the following factors in determining whether the holders of the requisite principal amount of outstanding debt securities have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request, demand, authorization, direction, notice, consent or waiver under the applicable indenture or are present at a meeting of holders of debt securities for quorum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debt security that by its terms provides for declaration of a principal amount less than the principal face amount of the debt security to be due and payable upon acceleration, the principal amount that will be deemed to be outstanding will be the principal amount that would be declared to be due and payable upon a declaration of acceleration thereof at the time of such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indexed security, the principal amount that will be deemed to be outstanding will be the principal face amount of the indexed security at original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debt security denominated in one or more foreign currency units, the principal amount that will be deemed to be outstanding will be the U.S. dollar equivalent based on the applicable exchange rate or rates at the time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debt securities owned by us or any other obligor upon the debt securities or any of our or such other obligor’s affiliates, will be disregarded and deemed not to be outstanding. (Section 101)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Indenture Trustees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we and our subsidiaries conduct banking transactions with the indenture trustees, and the indenture trustees conduct banking transactions with us and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28156_7"/>
      <w:bookmarkEnd w:id="23"/>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dated July 26, 2023 (our “Restated Certificate of Incorporation”), authorizes our Board of Directors, or the Board, to create and provide for the issuance of one or more series of preferred stock, par value $.01 per share, without the approval of our stockholders. The Board can also determine the terms, including the designations, powers, preferences and rights (including conversion, voting and other rights) and the qualifications, limitations or restrictions, of any preferred stock. Currently, 50,000,000 shares of our authorized capital stock are classified as preferred stock under our Restated Certificate of Incorporation. As of December 31, 2023, 4,975,000 shares of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general terms and provisions of our authorized preferred stock. The particular terms of any series of preferred stock we offer will be described in the related prospectus supplement. You should read the particular terms of any series of preferred stock we offer described in the related prospectus supplement, together with the more detailed provisions of our Restated Certificate of Incorporation and the certificate of designation relating to the particular series of preferred stock, for provisions that may be important to you. Our Restated Certificate of Incorporation has been filed as an exhibit to the registration statement of which this prospectus is a part. The certificate of designation relating to the particular series of preferred stock will be filed as an exhibit to a document incorporated by reference in the registration statement. The prospectus supplement will also state whether any of the terms summarized below do not apply to the series of preferred stock being offered. Terms which could be included in a prospectus supplement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its method of calculation, and the dates on which dividends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dividends will be cumulative or noncumulative, and, if cumulative, the dates from which dividends will commence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preferred stock will be convertible into or exchangeable for common stock or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voting, dividend, liquidation, redemption, sinking fund and other rights, preferences, privileges, limitations and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and have no preemptive rights. Preferred stock will have the dividend, liquidation, and voting rights described below, unless we indicate otherwise in the applicable prospectus supplement relating to a particular series of preferred stock. You should read the prospectus supplement relating to any series of preferred stock for the series’ specific terms.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receive, when, as and if declared by the Board, dividends at rates and on the dates described in the applicable prospectus supplement. Dividends must be declared by the Board out of legally available funds. Each dividend will be payable to the holders of record as they appear on our stock record books of the Corporation or, if applicable, the records of the depositary on the record dates fixed by the Board or its committee. Dividends on any series of preferred stock may be cumulative or noncumulative. The Corporation’s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pay dividends on the preferred stock depends on the ability of our subsidiaries, including CONA, to pay dividends to the Corporation. The ability of the Corporation and CONA to pay dividends in the future is subject to bank regulatory requirements and capital guidelines and policies established by the Federal Reserve Board and the Office of the Comptroller of the Currency, as well as the authority of the Federal Reserve Board, the Office of the Comptroller of the Currency and the Federal Deposit Insurance Corporation to limit the payment of dividends by the banking organizations they supervise (including the Company and CONA) if, in the banking regulator’s opinion, payment of a dividend would constitute an unsafe or unsound practice in light of the financial condition of the banking organization.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declare or pay or set apart funds for the payment of dividends on any securities which rank equally with the preferred stock unless we have paid or set apart funds for the payment of dividends on the preferred stock. If full dividends are not paid, the preferred stock will share dividends pro rata with any equally ranked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relating to a particular series of preferred stock or expressly required by law, the holders of the preferred stock will not have any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we liquidate, dissolve or wind up our affairs, either voluntarily or involuntarily, the holders of each series of preferred stock will be entitled to receive liquidation distributions. These will be in the amounts set forth in the applicable prospectus supplement, plus accrued and unpaid dividends and, if the series of the preferred stock is cumulative, accrued and unpaid dividends for all prior dividend periods. If we do not pay in full all amounts payable on any series of preferred stock, the holders of the preferred stock will share proportionately with any equally ranked securities in any distribution of our assets. After the holders of any series of preferred stock are paid in full, they will not have any further claim to any of our remaining assets. In addition, holders of preferred stock may be fully subordinated to interests held by the U.S. government in the event that we enter into a receivership, insolvency, liquidation or similar proceeding. </w:t>
      </w:r>
    </w:p>
    <w:p>
      <w:pPr>
        <w:pStyle w:val="TextBody"/>
        <w:bidi w:val="0"/>
        <w:spacing w:before="240" w:after="0"/>
        <w:jc w:val="left"/>
        <w:rPr>
          <w:rFonts w:ascii="Times New Roman" w:hAnsi="Times New Roman"/>
          <w:sz w:val="20"/>
        </w:rPr>
      </w:pPr>
      <w:r>
        <w:rPr>
          <w:rFonts w:ascii="Times New Roman" w:hAnsi="Times New Roman"/>
          <w:sz w:val="20"/>
        </w:rPr>
        <w:t xml:space="preserve">Because the Corporation is a holding company, the rights of its stockholders to participate in the assets of any subsidiary, including CONA, upon the subsidiary’s liquidation or recapitalization may be subject to the prior claims of the subsidiary’s creditors, except to the extent that the Corporation may itself be a creditor with recognized claims against the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 series of preferred stock may be redeemable, in whole or in part, at our option or at the option of the holder of the stock, and may be subject to mandatory redemption pursuant to a sinking fund, under the terms described in any applicable prospectus supplement. Any redemption of preferred stock is subject to our receipt of any required prior approval by the Federal Reserve Board and to the satisfaction of any conditions set forth in the capital regulations and guidelines of the Federal Reserve Board applicable to the redemption of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partial redemptions of preferred stock, the Board or its committee will determine the method for selecting the shares to be redeemed, which may be by lot or pro rata or by any other method the Board or its committee determines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unless we default in the payment of the redemption price, dividends will cease to accrue on shares of preferred stock which were called for redemption. In addition, all rights of holders of the preferred shares will terminate except for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for any series of preferred stock will state the terms and conditions, if any, on which shares of that series are convertible into or exchangeable for our common stock or other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other securities into which the shares of preferred stock are convertible or for which the shares of preferred stock may be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exchange price or manner of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or exchange will be at the option of the holders of the preferred stock or at our option,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requiring an adjustment of the conversion price or exchange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the redemption of the series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28156_8"/>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is authorized to issue 1,000,000,000 shares of common stock, par value $.01 per share. As of December 31, 2023, 380,389,609 shares of common stock were issued and outstanding. The common stock is traded on the New York Stock Exchange under the symbol “COF.” All outstanding shares of common stock are and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is not complete, and you should refer to the applicable provisions of the Delaware General Corporation Law, our Restated Certificate of Incorporation and our Amended and Restated Bylaws, dated September 23, 2021 (our “Amended and Restated Bylaws”), for additional information.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is entitled to one vote on all matters submitted to a vote of stockholders. Except as otherwise provided by law, our Restated Certificate of Incorporation or our Amended and Restated Bylaws, a majority of the votes cast is required for all actions to be taken by stockholders. Directors in uncontested elections shall be elected by a majority of votes cast; however, in contested elections, a plurality standard shall apply. Stockholders do not have cumulative voting rights in the election of directors, which means that the holders of a majority of the votes cast in an election of directors can elect all of the directors. Shares of common stock also do not have any preemptive, subscription, redemption, sinking fund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rights may be subject to voting and other rights that we may grant from time to time to the holders of other classes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the terms of these and similar rights granted to the holders of other classes of our securities, please refer to the applicable prospectus supplement for any offering of our common stock pursuant to this registration statement, to our Restated Certificate of Incorporation, and to the documents and other information that we incorporate by reference elsewhere in this prospectus.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outstanding preferred stock provides for a dividend preference, any dividends payable on our common stock are subject to such preference. Dividends must be declared by the Board out of legally available funds. If we liquidate, dissolve or wind up our affairs, common stockholders are entitled to share proportionately in the assets available for distribution to common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our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our Restated Certificate of Incorporation and our Amended and Restated Bylaws could make more difficult or discourage a tender offer, proxy contest or other takeover attempt that is opposed by the Board but which might be favored by the stockholders. Our Restated Certificate of Incorporation and our Amended and Restated Bylaws are filed as exhibits to the registration statement, and certain provisions are summarized below.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Our Restated Certificate of Incorporation and our Amended and Restated Bylaws provide that, other than directors elected by any series of preferred stock, directors will be elected annually to one-year terms in office.  </w:t>
      </w:r>
    </w:p>
    <w:p>
      <w:pPr>
        <w:pStyle w:val="TextBody"/>
        <w:bidi w:val="0"/>
        <w:spacing w:before="240" w:after="0"/>
        <w:jc w:val="left"/>
        <w:rPr>
          <w:rFonts w:ascii="Times New Roman" w:hAnsi="Times New Roman"/>
          <w:sz w:val="20"/>
        </w:rPr>
      </w:pPr>
      <w:r>
        <w:rPr>
          <w:rFonts w:ascii="Times New Roman" w:hAnsi="Times New Roman"/>
          <w:i/>
          <w:sz w:val="20"/>
        </w:rPr>
        <w:t>Number of Directors; Removal; Filling Vacancies</w:t>
      </w:r>
      <w:r>
        <w:rPr>
          <w:rFonts w:ascii="Times New Roman" w:hAnsi="Times New Roman"/>
          <w:sz w:val="20"/>
        </w:rPr>
        <w:t xml:space="preserve">. Our Amended and Restated Bylaws provide that our Board must consist of between three and seventeen directors, and vacancies will be filled only by the affirmative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of a majority of the remaining directors, even if less than a quorum remains in office, unless the Board determines otherwise. Therefore, unless our Amended and Restated Bylaws are further amended (or the Board determines otherwise), the Board could prevent any stockholder from enlarging the Board of Directors and filling the new directorships with the stockholder’s own nominees.  </w:t>
      </w:r>
    </w:p>
    <w:p>
      <w:pPr>
        <w:pStyle w:val="TextBody"/>
        <w:bidi w:val="0"/>
        <w:spacing w:before="240" w:after="0"/>
        <w:jc w:val="left"/>
        <w:rPr>
          <w:rFonts w:ascii="Times New Roman" w:hAnsi="Times New Roman"/>
          <w:sz w:val="20"/>
        </w:rPr>
      </w:pPr>
      <w:r>
        <w:rPr>
          <w:rFonts w:ascii="Times New Roman" w:hAnsi="Times New Roman"/>
          <w:sz w:val="20"/>
        </w:rPr>
        <w:t xml:space="preserve">Under Delaware law and our Restated Certificate of Incorporation, directors may be removed for or without cause. Our Restated Certificate of Incorporation also provides that directors may only be removed, whether for or without cause, upon the affirmative vote of holders of at least a majority of the voting power of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i/>
          <w:sz w:val="20"/>
        </w:rPr>
        <w:t>Blank Check Preferred</w:t>
      </w:r>
      <w:r>
        <w:rPr>
          <w:rFonts w:ascii="Times New Roman" w:hAnsi="Times New Roman"/>
          <w:sz w:val="20"/>
        </w:rPr>
        <w:t xml:space="preserve">. Our Board is authorized, without stockholder approval, to create and provide for the issuance of up to an aggregate of 50,000,000 shares of preferred stock in series, to establish from time to time the number of shares to be included in each such series, and to fix the designations, powers, preferences and rights of the shares of each such series and the qualifications, limitations or restrictions on the shares of each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authority to designate preferred stock may be used to issue a series of preferred stock, or rights to acquire preferred stock, that could dilute the interest of, or impair the voting power of, holders of the common stock, or be used as a method of determining, delaying or preventing a change of control. </w:t>
      </w:r>
    </w:p>
    <w:p>
      <w:pPr>
        <w:pStyle w:val="TextBody"/>
        <w:bidi w:val="0"/>
        <w:spacing w:before="240" w:after="0"/>
        <w:jc w:val="left"/>
        <w:rPr>
          <w:rFonts w:ascii="Times New Roman" w:hAnsi="Times New Roman"/>
          <w:sz w:val="20"/>
        </w:rPr>
      </w:pPr>
      <w:r>
        <w:rPr>
          <w:rFonts w:ascii="Times New Roman" w:hAnsi="Times New Roman"/>
          <w:i/>
          <w:sz w:val="20"/>
        </w:rPr>
        <w:t>Stockholder Action by Written Consent; Special Meetings</w:t>
      </w:r>
      <w:r>
        <w:rPr>
          <w:rFonts w:ascii="Times New Roman" w:hAnsi="Times New Roman"/>
          <w:sz w:val="20"/>
        </w:rPr>
        <w:t xml:space="preserve">. Stockholder action can be taken only at an annual or special meeting of stockholders or by written consent in accordance with the applicable provisions set forth in our Restated Certificate of Incorporation and our Amended and Restated Bylaws. Under circumstances described in our Restated Certificate of Incorporation and our Amended and Restated Bylaws, special meetings of stockholders can be called by the Chair of the Board or by the Board pursuant to a resolution adopted by a majority of the authorized number of directors. Under our Restated Certificate of Incorporation, stockholders have the right to request that the Corporation call a special meeting of stockholders or to request that stockholder action be taken by written consent in lieu of a meeting, provided in each case that the requesting stockholders own 25% or more of the then-outstanding shares of stock entitled to vote on the matters proposed to be brought before the special meeting or the actions proposed to be taken by written consent, as applicable, and satisfy certain requirements set forth in our Restated Certificate of Incorporation and our Amended and Restated Bylaws. These requirements include a “net long” definition of stock ownership for purposes of determining whether stockholders requesting a special meeting or action by written consent satisfy the 25% ownership threshold, so that only stockholders with full and continuing economic interest and voting rights in our stock can request a special meeting or action by written consent. In addition, our Amended and Restated Bylaws set forth certain procedural requirements that the Board believes are appropriate to avoid duplicative or unnecessary special meetings or actions by written consent. Moreover, any special meeting of stockholders is limited to the business in the notice of the special meeting sent to the stockholders before the meeting, including any business stated in a valid special meeting request (in the case of a stockholder-requested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ability to take stockholder action by written consent or to request special meetings may be precluded if stockholders fail to satisfy the requirements in our Restated Certificate of Incorporation and our Amended and Restated Bylaws. You should refer to these documents for more information about the requirements. </w:t>
      </w:r>
    </w:p>
    <w:p>
      <w:pPr>
        <w:pStyle w:val="TextBody"/>
        <w:bidi w:val="0"/>
        <w:spacing w:before="240" w:after="0"/>
        <w:jc w:val="left"/>
        <w:rPr>
          <w:rFonts w:ascii="Times New Roman" w:hAnsi="Times New Roman"/>
          <w:sz w:val="20"/>
        </w:rPr>
      </w:pPr>
      <w:r>
        <w:rPr>
          <w:rFonts w:ascii="Times New Roman" w:hAnsi="Times New Roman"/>
          <w:i/>
          <w:sz w:val="20"/>
        </w:rPr>
        <w:t>Advance Notice Provisions for Stockholder Nominations and Stockholder Proposals</w:t>
      </w:r>
      <w:r>
        <w:rPr>
          <w:rFonts w:ascii="Times New Roman" w:hAnsi="Times New Roman"/>
          <w:sz w:val="20"/>
        </w:rPr>
        <w:t xml:space="preserve">. Only people who are nominated by, or at the direction of, the Board, or by a stockholder who has given proper written notice prior to a meeting at which directors are to be elected, will be eligible for election as directors. Business conducted at an annual meeting is limited to the business brought before the meeting by, or at the direction of, the Chair of the Board, the Board or a stockholder who has given proper notice. A stockholder’s notice to us proposing to nominate a person for election as a director must contain certain information described in our Amended and Restated Bylaws and be submitted in compliance with the time frames specified in our Amended and Restated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refer to our Amended and Restated Bylaws for more information, including the process and timing requirements for a stockholder notice. </w:t>
      </w:r>
    </w:p>
    <w:p>
      <w:pPr>
        <w:pStyle w:val="TextBody"/>
        <w:bidi w:val="0"/>
        <w:spacing w:before="240" w:after="0"/>
        <w:jc w:val="left"/>
        <w:rPr>
          <w:rFonts w:ascii="Times New Roman" w:hAnsi="Times New Roman"/>
          <w:sz w:val="20"/>
        </w:rPr>
      </w:pPr>
      <w:r>
        <w:rPr>
          <w:rFonts w:ascii="Times New Roman" w:hAnsi="Times New Roman"/>
          <w:sz w:val="20"/>
        </w:rPr>
        <w:t xml:space="preserve">Some of the effects of the provisions described above and in our Amended and Restated Bylaws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will have a longer period to consider the qualifications of the proposed nominees or the substance of other business proposed to be brought before an annual meeting and, if deemed necessary or desirable, to inform stockholders about the Board’s views on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be an orderly procedure for conducting annual meetings of stockholders and informing stockholders, prior to the meetings, of any nominations or other business proposed to be conducted at the meetings, including any Board recommendations;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contests for the election of directors or the consideration of stockholder proposals will be precluded if the procedures are not followed. Third parties may therefore be discouraged from conducting a solicitation of proxies to elect their own slate of directors or to approve their own proposal. </w:t>
            </w:r>
          </w:p>
        </w:tc>
      </w:tr>
    </w:tbl>
    <w:p>
      <w:pPr>
        <w:pStyle w:val="TextBody"/>
        <w:bidi w:val="0"/>
        <w:spacing w:before="240" w:after="0"/>
        <w:jc w:val="left"/>
        <w:rPr>
          <w:rFonts w:ascii="Times New Roman" w:hAnsi="Times New Roman"/>
          <w:sz w:val="20"/>
        </w:rPr>
      </w:pPr>
      <w:r>
        <w:rPr>
          <w:rFonts w:ascii="Times New Roman" w:hAnsi="Times New Roman"/>
          <w:i/>
          <w:sz w:val="20"/>
        </w:rPr>
        <w:t>Business Combinations</w:t>
      </w:r>
      <w:r>
        <w:rPr>
          <w:rFonts w:ascii="Times New Roman" w:hAnsi="Times New Roman"/>
          <w:sz w:val="20"/>
        </w:rPr>
        <w:t xml:space="preserve">. Under our Restated Certificate of Incorporation, certain mergers, share exchanges or sales of our assets with or to interested stockholders, as defined below, must be approved by the affirmative vote of the holders of at least a majority of the then-outstanding shares of stock entitled to vote generally in the election of directors, voting together as a single class, including the affirmative vote of a majority of such stock not owned directly or indirectly by any interested stockholder or any affiliate of any interested stockholder. Our Restated Certificate of Incorporation requires this affirmative vote even if no vote is required, or a lesser percentage is specified, by law or any national securities exchange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majority affirmative vote is not required in two situations (and a business combination shall require only the vote required by law or any other applicable provision of our Restated Certificate of Incorporation). First, it is not required if the business combination has been approved by a majority of uninterested, continuing directors. Second, it is not required if certain price and procedure requirements designed to ensure that our stockholders receive a “fair price” for their common stock are satisfied. Our Restated Certificate of Incorporation defines an interested stockholder as any person, other than us or any of our subsidiaries, who 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itself or along with its affiliates beneficially owns, directly or indirectly, more than 5% of the then-outstanding shares of stock entitled to vote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affiliate of the Corporation and at any time within the two-year period immediately prior to the date in question itself or along with its affiliates beneficially owned, directly or indirectly, 5% or more of the then-outstanding shares of stock entitled to vote generally in the election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owns any shares of the then-outstanding shares of stock entitled to vote generally in the election of directors which were at any time within the two-year period immediately prior to the date in question beneficially owned by any interested stockholder, if the transfer of ownership occurred in the course of a non-public transaction or series of non-public transactions. </w:t>
            </w:r>
          </w:p>
        </w:tc>
      </w:tr>
    </w:tbl>
    <w:p>
      <w:pPr>
        <w:pStyle w:val="TextBody"/>
        <w:bidi w:val="0"/>
        <w:spacing w:before="240" w:after="0"/>
        <w:jc w:val="left"/>
        <w:rPr>
          <w:rFonts w:ascii="Times New Roman" w:hAnsi="Times New Roman"/>
          <w:sz w:val="20"/>
        </w:rPr>
      </w:pPr>
      <w:r>
        <w:rPr>
          <w:rFonts w:ascii="Times New Roman" w:hAnsi="Times New Roman"/>
          <w:i/>
          <w:sz w:val="20"/>
        </w:rPr>
        <w:t>Liability of Directors; Indemnification</w:t>
      </w:r>
      <w:r>
        <w:rPr>
          <w:rFonts w:ascii="Times New Roman" w:hAnsi="Times New Roman"/>
          <w:sz w:val="20"/>
        </w:rPr>
        <w:t xml:space="preserve">. A director generally will not be personally liable for monetary damages to us or our stockholders for breach of fiduciary duty as a director. A director may be held liable, however,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 dividend or approving a stock repurchase in violation of Delaware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Corporation indemnifies and advances expenses to our officers and directors in connection with legal proceedings to the fullest extent of the law. The Corporation may agree with any person to provide an indemnification greater than or different from the indemnification provided by our Restated Certificate of Incorporation or our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Amendments</w:t>
      </w:r>
      <w:r>
        <w:rPr>
          <w:rFonts w:ascii="Times New Roman" w:hAnsi="Times New Roman"/>
          <w:sz w:val="20"/>
        </w:rPr>
        <w:t xml:space="preserve">. Our Restated Certificate of Incorporation may be amended with a majority vote of the stockholders. Our Restated Certificate of Incorporation provides that amendments to our Restated Certificate of Incorporation and our Amended and Restated Bylaws can be approved by a majority vote of the then-outstanding shares of stock entitled to vote generally in the election of directors. Our Restated Certificate of Incorporation includes a majority voting provision that applies to the amendment or repeal of, or the adoption of any provision inconsistent with, the provisions of our Restated Certificate of Incorporation related to business combinations, which can only be amended with an affirmative vote of the holders of at least a majority of the then-outstanding shares of stock entitled to vote generally in the election of directors, including the affirmative vote of the holders of a majority of the then-outstanding shares of such stock not owned directly or indirectly by any interested stockholder or any affiliate of any interested stockholder. Our Amended and Restated Bylaws generally may be amended by the Board or by the stockholders; provided that in the case of amendments by the stockholders the affirmative vote of at least a majority of the then-outstanding shares of stock entitled to vote generally in the election of directors is required. These vote requirements may have the effect of preventing a stockholder with less than a majority of the common stock from circumventing the requirements of our Amended and Restated Bylaws or a stockholder with only a majority of the common stock from circumventing certain provisions of our Restated Certificate of Incorporation by simply amending or repealing them.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not to be subject to the provisions of Section 203 of the Delaware General Corporation Law. This provision generally states that, subject to some exceptions, a corporation cannot engage in any business combination with any “interested stockholder” for three years after the time that the stockholder became an interested stockholder unless the business combination is approved by the board of directors and authorized by the affirmative vote of at least 66-2/3% of the outstanding voting stock of the corporation which is not owned by the interested stockholder. Delaware law defines an interested stockholder to include any person, and its affiliates and associates, that owns 15% or more of the outstanding voting stock of the corporation, or that is an affiliate or associate of the corporation and was the owner of 15% or more of the outstanding voting stock of the corporation at any time within three years immediately prior to the relevant date. Business combinations are discussed more fully above.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Our dividend reinvestment and stock purchase plan (as amended and supplemented, the “DRIP Program”) provides stockholders with the opportunity to purchase additional shares of our common stock by reinvesting all or a portion of their dividends on shares of common stock. It also provides existing stockholders with the option to make cash investments monthly, subject to certain limitations. We use proceeds from the DRIP Program for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28156_9"/>
      <w:bookmarkEnd w:id="25"/>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depositary shares, purchase contracts, warrants or units issued by us that may be offered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28156_10"/>
      <w:bookmarkEnd w:id="26"/>
      <w:r>
        <w:rPr>
          <w:rFonts w:ascii="Times New Roman" w:hAnsi="Times New Roman"/>
          <w:b/>
          <w:sz w:val="20"/>
        </w:rPr>
        <w:t xml:space="preserve">RESALE BY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use this prospectus in connection with offering our securities for resale. The applicable prospectus supplement will identify the selling securityholders and the terms of the securities offered for resale. Selling securityholders may be deemed to be underwriters in connection with the securities they resell and any profits on the resales may be deemed to be underwriting discounts and commissions under the Securities Act. The selling securityholders will receive all the proceeds from the resale of our securities. We will not receive any proceeds from resales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28156_11"/>
      <w:bookmarkEnd w:id="27"/>
      <w:r>
        <w:rPr>
          <w:rFonts w:ascii="Times New Roman" w:hAnsi="Times New Roman"/>
          <w:b/>
          <w:sz w:val="20"/>
        </w:rPr>
        <w:t xml:space="preserve">BOOK-ENTRY PROCEDURES AND SETTLEMENT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the debt securities, common stock, preferred stock, depositary shares or other securities described herein, which we refer to collectively as the securities, will be book-entry securities. All book-entry securities of the same issue initially will be represented by one or more fully registered global securities. Each global security will be deposited upon issuance with, or on behalf of, The Depository Trust Company, as depositary (“DTC”), and will be registered in the name of DTC or a nominee of DTC, in each case for credit to an account of a direct or indirect participant in DTC as described below. DTC will thus be the only registered holder of the securities and will be considered the sole owner of the securities for purposes of any indenture, warrant agreement, unit agreement, deposit agreement, purchase contract, or similar agreement governing the terms of such securities, as applicable, which we refer to as a governing agreement. </w:t>
      </w:r>
    </w:p>
    <w:p>
      <w:pPr>
        <w:pStyle w:val="TextBody"/>
        <w:bidi w:val="0"/>
        <w:spacing w:before="240" w:after="0"/>
        <w:jc w:val="left"/>
        <w:rPr>
          <w:rFonts w:ascii="Times New Roman" w:hAnsi="Times New Roman"/>
          <w:sz w:val="20"/>
        </w:rPr>
      </w:pPr>
      <w:r>
        <w:rPr>
          <w:rFonts w:ascii="Times New Roman" w:hAnsi="Times New Roman"/>
          <w:sz w:val="20"/>
        </w:rPr>
        <w:t xml:space="preserve">Global securities may be transferred, in whole and not in part, only to another nominee of DTC or to a successor of DTC or its nominee. Beneficial interests in the global securities may be held through the Euroclear System, or Euroclear, and Clearstream Banking, S.A., or Clearstream, each as indirect participants in DTC. Transfers of beneficial interests in the global securities will be subject to the applicable rules and procedures of DTC and its direct and indirect participants, including, if applicable, those of Euroclear and Clearstream, which may change from time to time. DTC has advised us as follows: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participants deposit with it. DTC also facilitates the post-trade settlement among participants of sales and other securities transactions in deposited securities through electronic computerized book entry transfers and pledges between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 DTC’s system include both U.S. and non-U.S. securities brokers and dealers, banks, trust companies, clearing corporations, and certain other organizations. Access to DTC’s system also is available to others such as both U.S. and non-U.S.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Securities and Exchange Commission. More information about DTC can be found at http://www.dtcc.com/ and http://www.dtc.org/.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upon the issuance of a global security evidencing any securities, it will credit, on its book-entry registration and transfer system, the respective principal or face amounts of the securities evidenced thereby to the designated accounts of participants. Ownership of beneficial interests in the global securities will be limited to participants or persons that may hold interests through participants. Ownership of beneficial interests in the global securities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securities that are participants may hold their interests therein directly through DTC. Investors in the global securities that are not participants may hold their interests therein indirectly through organizations (including Euroclear and Clearstream) that are participants in such system. Euroclear and Clearstream will hold interests in the global securities on behalf of their participants through customers’ securities accounts in their respective names on the books of their respective depositaries. All interests in a global security, including those held through Euroclear or Clearstream, may be subject to the procedures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of DTC. 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purchasers of securities take physical delivery of those securities in definitive form. These laws may impair the ability of holders to transfer beneficial interests in global securities to certain purchasers. Because DTC can act only on behalf of the participants, which in turn act on behalf of the indirect participants, the ability of a person having beneficial interests in a global security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any successor depositary for a global security, or any nominee, is the registered holder of such global security, DTC or such successor depositary or nominee will be considered the sole owner or holder of the securities represented by such global security for all purposes under the governing agreement applicable to that global security.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for any purpose under the governing agreement applicable to that global security. Accordingly, each person owning a beneficial interest in a global security must rely on the procedures of DTC and, if such person is not a participant, on the procedures of the participant through which such person owns its interest, to exercise any rights of a holder of securities under the governing agreement applicable to that global security. We understand that, under existing industry practices, in the event that we request any action of holders or that an owner of a beneficial interest in a global security desires to give any consent or take any action under the governing agreement applicable to that global security,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any payments due with respect to any securities (including payments of principal and interest with respect to debt securities and dividends with respect to equity securities) that are registered in the name of or held by DTC or any successor depositary or nominee will be payable to DTC or such successor depositary or nominee, as the case may be, in its capacity as registered holder of the global securities representing the securities. Neither we, nor any trustee, registrar, paying agent or other agent in respect of the securities, nor any other agent of us or any such person will have any responsibility or liability for any aspect of the records relating to, or payments made on account of, beneficial ownership interests in the global securities, for maintaining, supervising or reviewing any records relating to such beneficial ownership interests, or for any other matter relating to the actions and practices of DTC or any of its participants or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DTC that its current practice, upon receipt of any payment in respect of a global security, is to credit participants’ accounts with payments on the payment date, unless DTC has reason to believe it will not receive payments on such payment date. Each relevant participant is credited with an amount proportionate to its beneficial ownership of an interest in the principal or face amount of the relevant security as shown on the records of DTC. Payments by participants and indirect participants to owners of beneficial interests in a global security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trustee, registrar, paying agent or other agent in respect of the securities, nor any agent of us or of any such person. Neither we nor any such person or agent will be liable for any delay by DTC or by any participant or indirect participant in identifying the beneficial owners of the securities, and we and any such person or agent may conclusively rely on and will be protected in relying on instructions from DTC or its nominee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security in DTC, and making or receiving payment in accordance with normal procedures for same- day funds settlement applicable to DTC. Euroclear participants and Clearstream participants may not deliver instructions directly to the depositories for Euroclear or Clearstream. DTC has advised us that it will take any action permitted to be taken by a holder of securities only at the direction of one or more participants to whose account DTC has credited the interests in the applicable global security and only in respect of such portion of the aggregate principal or face amount of the securities as to which such participant or participants has or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applicable prospectus supplement, owners of beneficial interests in a global security will not be entitled to receive physical delivery of the related securities in certificated form and will not be considered the holders of the related securities for any purpose under the governing agreement applicable to that global security, and no global security will be exchangeable, except for another global security of the same denomination and tenor to be registered in the name of DTC or a successor depositary or nominee. Accordingly, each beneficial owner must rely on the procedures of DTC and, if the beneficial owner is not a participant, on the procedures of the participant or indirect participant through which the beneficial owner owns its interest to exercise any rights of a holder under the applicable governing agreement. However, if there is an event of default under any applicable governing agreement, DTC reserves the right to exchange the relevant global securities for securities in certificated form, and to distribute such securities to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indenture trustee, nor any agent of us or of any such person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including any description of the operations and procedures of DTC, Euroclear and Clearstream, has been provided solely as a matter of convenience. We do not take any responsibility for the accuracy of this information, and this information is not intended to serve as a representation, warranty or contract modification of any kind. The operations and procedures of DTC, Euroclear and Clearstream are solely within the control of such settlement systems and are subject to changes by them. We urge investors to contact such systems or their participants directly to discuss these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28156_12"/>
      <w:bookmarkEnd w:id="28"/>
      <w:r>
        <w:rPr>
          <w:rFonts w:ascii="Times New Roman" w:hAnsi="Times New Roman"/>
          <w:b/>
          <w:sz w:val="20"/>
        </w:rPr>
        <w:t xml:space="preserve">CERTAIN LEGAL MATTERS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will pass upon certain legal matters in connection with the securities. Davis Polk &amp; Wardwell LLP has from time to time acted as counsel for us and our subsidiaries and affiliates and may do so in the future. Mayer Brown LLP will pass upon certain legal matters for the underwriters. </w:t>
      </w:r>
    </w:p>
    <w:p>
      <w:pPr>
        <w:pStyle w:val="TextBody"/>
        <w:bidi w:val="0"/>
        <w:spacing w:before="480" w:after="0"/>
        <w:jc w:val="center"/>
        <w:rPr>
          <w:rFonts w:ascii="Times New Roman" w:hAnsi="Times New Roman"/>
          <w:b/>
          <w:sz w:val="20"/>
        </w:rPr>
      </w:pPr>
      <w:bookmarkStart w:id="29" w:name="toc28156_13"/>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an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pPr>
      <w:r>
        <w:rPr>
          <w:rFonts w:ascii="Times New Roman" w:hAnsi="Times New Roman"/>
          <w:sz w:val="20"/>
        </w:rPr>
        <w:t xml:space="preserve">The consolidated financial statements of Discover Financial Services and its subsidiaries as of December 31, 2023 and 2022, and for each of the three years in the period ended December  31, 2023, incorporated in this prospectus by reference to our </w:t>
      </w:r>
      <w:hyperlink r:id="rId24">
        <w:r>
          <w:rPr>
            <w:rStyle w:val="InternetLink"/>
            <w:rFonts w:ascii="Times New Roman" w:hAnsi="Times New Roman"/>
            <w:sz w:val="20"/>
          </w:rPr>
          <w:t>Form 8-K filed with the SEC on March 11, 2024</w:t>
        </w:r>
      </w:hyperlink>
      <w:r>
        <w:rPr>
          <w:rFonts w:ascii="Times New Roman" w:hAnsi="Times New Roman"/>
          <w:sz w:val="20"/>
        </w:rPr>
        <w:t xml:space="preserve">, and the effectiveness of Discover Financial Services’ internal control over financial reporting have been audited by Deloitte &amp; Touche LLP, an independent registered public accounting firm, as stated in their reports. Such financial statements are incorporated by reference herein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3175" cy="9131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2543175" cy="913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Capital One Financial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       % Fixed-to-Floating Rate Senior Notes Due 2032 </w:t>
      </w:r>
    </w:p>
    <w:p>
      <w:pPr>
        <w:pStyle w:val="TextBody"/>
        <w:bidi w:val="0"/>
        <w:spacing w:before="0" w:after="0"/>
        <w:jc w:val="center"/>
        <w:rPr>
          <w:rFonts w:ascii="Times New Roman" w:hAnsi="Times New Roman"/>
          <w:b/>
          <w:sz w:val="28"/>
        </w:rPr>
      </w:pPr>
      <w:r>
        <w:rPr>
          <w:rFonts w:ascii="Times New Roman" w:hAnsi="Times New Roman"/>
          <w:b/>
          <w:sz w:val="28"/>
        </w:rPr>
        <w:t xml:space="preserve">       % Fixed-to-Floating Rate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Barclays </w:t>
      </w:r>
    </w:p>
    <w:p>
      <w:pPr>
        <w:pStyle w:val="TextBody"/>
        <w:bidi w:val="0"/>
        <w:spacing w:before="120" w:after="0"/>
        <w:jc w:val="center"/>
        <w:rPr>
          <w:rFonts w:ascii="Times New Roman" w:hAnsi="Times New Roman"/>
          <w:b/>
          <w:sz w:val="32"/>
        </w:rPr>
      </w:pPr>
      <w:r>
        <w:rPr>
          <w:rFonts w:ascii="Times New Roman" w:hAnsi="Times New Roman"/>
          <w:b/>
          <w:sz w:val="32"/>
        </w:rPr>
        <w:t xml:space="preserve">Deutsche Bank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Capital One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27628/000092762826000024/cof-20251231.htm" TargetMode="External"/><Relationship Id="rId4" Type="http://schemas.openxmlformats.org/officeDocument/2006/relationships/hyperlink" Target="http://www.sec.gov/Archives/edgar/data/../../../ix?doc=/Archives/edgar/data/927628/000119312526124131/d701179ddef14a.htm" TargetMode="External"/><Relationship Id="rId5" Type="http://schemas.openxmlformats.org/officeDocument/2006/relationships/hyperlink" Target="http://www.sec.gov/Archives/edgar/data/../../../ix?doc=/Archives/edgar/data/0000927628/000092762826000048/cof-20260331.htm" TargetMode="External"/><Relationship Id="rId6" Type="http://schemas.openxmlformats.org/officeDocument/2006/relationships/hyperlink" Target="http://www.sec.gov/Archives/edgar/data/../../../ix?doc=/Archives/edgar/data/927628/000092762826000089/cof-20260630.htm" TargetMode="External"/><Relationship Id="rId7" Type="http://schemas.openxmlformats.org/officeDocument/2006/relationships/hyperlink" Target="http://www.sec.gov/Archives/edgar/data/../../../ix?doc=/Archives/edgar/data/927628/000119312525125037/d942157d8ka.htm" TargetMode="External"/><Relationship Id="rId8" Type="http://schemas.openxmlformats.org/officeDocument/2006/relationships/hyperlink" Target="http://www.sec.gov/Archives/edgar/data/../../../ix?doc=/Archives/edgar/data/927628/000119312526019543/d97758d8k.htm" TargetMode="External"/><Relationship Id="rId9" Type="http://schemas.openxmlformats.org/officeDocument/2006/relationships/hyperlink" Target="http://www.sec.gov/Archives/edgar/data/../../../ix?doc=/Archives/edgar/data/927628/000119312526033632/d66948d8k.htm" TargetMode="External"/><Relationship Id="rId10" Type="http://schemas.openxmlformats.org/officeDocument/2006/relationships/hyperlink" Target="http://www.sec.gov/Archives/edgar/data/../../../ix?doc=/Archives/edgar/data/927628/000092762826000011/cof-20260203.htm" TargetMode="External"/><Relationship Id="rId11" Type="http://schemas.openxmlformats.org/officeDocument/2006/relationships/hyperlink" Target="http://www.sec.gov/Archives/edgar/data/../../../ix?doc=/Archives/edgar/data/927628/000119312526145764/d85207d8k.htm" TargetMode="External"/><Relationship Id="rId12" Type="http://schemas.openxmlformats.org/officeDocument/2006/relationships/hyperlink" Target="http://www.sec.gov/Archives/edgar/data/../../../ix?doc=/Archives/edgar/data/927628/000119312526171745/d253456d8k.htm" TargetMode="External"/><Relationship Id="rId13" Type="http://schemas.openxmlformats.org/officeDocument/2006/relationships/hyperlink" Target="http://www.sec.gov/Archives/edgar/data/../../../ix?doc=/Archives/edgar/data/927628/000092762826000050/cof-20260508.htm" TargetMode="External"/><Relationship Id="rId14" Type="http://schemas.openxmlformats.org/officeDocument/2006/relationships/hyperlink" Target="http://www.sec.gov/Archives/edgar/data/../../../ix?doc=/Archives/edgar/data/927628/000119312526263735/d94250d8k.htm" TargetMode="External"/><Relationship Id="rId15" Type="http://schemas.openxmlformats.org/officeDocument/2006/relationships/hyperlink" Target="http://www.sec.gov/Archives/edgar/data/../../../ix?doc=/Archives/edgar/data/927628/000119312526358268/d825041d8k.htm" TargetMode="External"/><Relationship Id="rId16" Type="http://schemas.openxmlformats.org/officeDocument/2006/relationships/hyperlink" Target="http://www.sec.gov/Archives/edgar/data/../../../ix?doc=/Archives/edgar/data/927628/000119312526378455/d477310d8k.htm" TargetMode="External"/><Relationship Id="rId17" Type="http://schemas.openxmlformats.org/officeDocument/2006/relationships/hyperlink" Target="http://www.sec.gov/Archives/edgar/data/../../../ix?doc=/Archives/edgar/data/927628/000092762824000094/cof-20231231.htm" TargetMode="External"/><Relationship Id="rId18" Type="http://schemas.openxmlformats.org/officeDocument/2006/relationships/hyperlink" Target="http://www.sec.gov/Archives/edgar/data/../../../ix?doc=/Archives/edgar/data/927628/000119312524021852/d765671d8k.htm" TargetMode="External"/><Relationship Id="rId19" Type="http://schemas.openxmlformats.org/officeDocument/2006/relationships/hyperlink" Target="http://www.sec.gov/Archives/edgar/data/../../../ix?doc=/Archives/edgar/data/927628/000092762824000034/cof-20240205.htm" TargetMode="External"/><Relationship Id="rId20" Type="http://schemas.openxmlformats.org/officeDocument/2006/relationships/hyperlink" Target="http://www.sec.gov/Archives/edgar/data/../../../ix?doc=/Archives/edgar/data/927628/000119312524039233/d772981d8k.htm" TargetMode="External"/><Relationship Id="rId21" Type="http://schemas.openxmlformats.org/officeDocument/2006/relationships/hyperlink" Target="http://www.sec.gov/Archives/edgar/data/../../../ix?doc=/Archives/edgar/data/927628/000119312524042826/d780383d8k.htm" TargetMode="External"/><Relationship Id="rId22" Type="http://schemas.openxmlformats.org/officeDocument/2006/relationships/hyperlink" Target="http://www.sec.gov/Archives/edgar/data/../../../ix?doc=/Archives/edgar/data/927628/000092762824000103/cof-20240228.htm" TargetMode="External"/><Relationship Id="rId23" Type="http://schemas.openxmlformats.org/officeDocument/2006/relationships/hyperlink" Target="http://www.sec.gov/Archives/edgar/data/../../../ix?doc=/Archives/edgar/data/927628/000119312524064248/d796210d8k.htm" TargetMode="External"/><Relationship Id="rId24" Type="http://schemas.openxmlformats.org/officeDocument/2006/relationships/hyperlink" Target="http://www.sec.gov/Archives/edgar/data/../../../ix?doc=/Archives/edgar/data/927628/000119312524064248/d796210d8k.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50837</Words>
  <Characters>265582</Characters>
  <CharactersWithSpaces>317545</CharactersWithSpaces>
  <Paragraphs>2467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